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00" w:type="dxa"/>
        <w:tblCellMar>
          <w:left w:w="70" w:type="dxa"/>
          <w:right w:w="70" w:type="dxa"/>
        </w:tblCellMar>
        <w:tblLook w:val="04A0" w:firstRow="1" w:lastRow="0" w:firstColumn="1" w:lastColumn="0" w:noHBand="0" w:noVBand="1"/>
      </w:tblPr>
      <w:tblGrid>
        <w:gridCol w:w="260"/>
        <w:gridCol w:w="8114"/>
        <w:gridCol w:w="584"/>
        <w:gridCol w:w="506"/>
      </w:tblGrid>
      <w:tr w:rsidR="00F56356" w:rsidRPr="00F56356" w14:paraId="3465B61D" w14:textId="77777777" w:rsidTr="00F56356">
        <w:trPr>
          <w:trHeight w:val="106"/>
        </w:trPr>
        <w:tc>
          <w:tcPr>
            <w:tcW w:w="9400" w:type="dxa"/>
            <w:gridSpan w:val="4"/>
            <w:tcBorders>
              <w:top w:val="nil"/>
              <w:left w:val="nil"/>
              <w:bottom w:val="nil"/>
              <w:right w:val="nil"/>
            </w:tcBorders>
            <w:shd w:val="clear" w:color="auto" w:fill="auto"/>
            <w:noWrap/>
            <w:vAlign w:val="center"/>
            <w:hideMark/>
          </w:tcPr>
          <w:p w14:paraId="13E78854" w14:textId="77777777" w:rsidR="00F56356" w:rsidRPr="00F56356" w:rsidRDefault="00F56356" w:rsidP="00F56356">
            <w:pPr>
              <w:spacing w:after="0" w:line="240" w:lineRule="auto"/>
              <w:jc w:val="center"/>
              <w:rPr>
                <w:rFonts w:ascii="Times New Roman" w:eastAsia="Times New Roman" w:hAnsi="Times New Roman" w:cs="Times New Roman"/>
                <w:b/>
                <w:bCs/>
                <w:sz w:val="32"/>
                <w:szCs w:val="32"/>
                <w:lang w:eastAsia="it-IT"/>
              </w:rPr>
            </w:pPr>
            <w:bookmarkStart w:id="0" w:name="_Hlk97909360"/>
            <w:r w:rsidRPr="00F56356">
              <w:rPr>
                <w:rFonts w:ascii="Times New Roman" w:eastAsia="Times New Roman" w:hAnsi="Times New Roman" w:cs="Times New Roman"/>
                <w:b/>
                <w:bCs/>
                <w:sz w:val="32"/>
                <w:szCs w:val="32"/>
                <w:lang w:eastAsia="it-IT"/>
              </w:rPr>
              <w:t>INDICE</w:t>
            </w:r>
          </w:p>
        </w:tc>
      </w:tr>
      <w:tr w:rsidR="00F56356" w:rsidRPr="00F56356" w14:paraId="01B8934B" w14:textId="77777777" w:rsidTr="00F56356">
        <w:trPr>
          <w:trHeight w:val="570"/>
        </w:trPr>
        <w:tc>
          <w:tcPr>
            <w:tcW w:w="9400" w:type="dxa"/>
            <w:gridSpan w:val="4"/>
            <w:tcBorders>
              <w:top w:val="nil"/>
              <w:left w:val="nil"/>
              <w:bottom w:val="nil"/>
              <w:right w:val="nil"/>
            </w:tcBorders>
            <w:shd w:val="clear" w:color="auto" w:fill="auto"/>
            <w:noWrap/>
            <w:vAlign w:val="bottom"/>
            <w:hideMark/>
          </w:tcPr>
          <w:p w14:paraId="3D0847D5" w14:textId="77777777" w:rsidR="00F56356" w:rsidRPr="00F56356" w:rsidRDefault="00F56356" w:rsidP="00F56356">
            <w:pPr>
              <w:spacing w:after="0" w:line="240" w:lineRule="auto"/>
              <w:jc w:val="center"/>
              <w:rPr>
                <w:rFonts w:ascii="Times New Roman" w:eastAsia="Times New Roman" w:hAnsi="Times New Roman" w:cs="Times New Roman"/>
                <w:b/>
                <w:bCs/>
                <w:sz w:val="32"/>
                <w:szCs w:val="32"/>
                <w:lang w:eastAsia="it-IT"/>
              </w:rPr>
            </w:pPr>
            <w:r w:rsidRPr="00F56356">
              <w:rPr>
                <w:rFonts w:ascii="Times New Roman" w:eastAsia="Times New Roman" w:hAnsi="Times New Roman" w:cs="Times New Roman"/>
                <w:b/>
                <w:bCs/>
                <w:sz w:val="32"/>
                <w:szCs w:val="32"/>
                <w:lang w:eastAsia="it-IT"/>
              </w:rPr>
              <w:t>SEZIONE I – PARTE GENERALE</w:t>
            </w:r>
          </w:p>
        </w:tc>
      </w:tr>
      <w:tr w:rsidR="00F56356" w:rsidRPr="00F56356" w14:paraId="14044C73" w14:textId="77777777" w:rsidTr="00F56356">
        <w:trPr>
          <w:trHeight w:val="402"/>
        </w:trPr>
        <w:tc>
          <w:tcPr>
            <w:tcW w:w="196" w:type="dxa"/>
            <w:tcBorders>
              <w:top w:val="nil"/>
              <w:left w:val="nil"/>
              <w:bottom w:val="nil"/>
              <w:right w:val="nil"/>
            </w:tcBorders>
            <w:shd w:val="clear" w:color="auto" w:fill="auto"/>
            <w:noWrap/>
            <w:vAlign w:val="center"/>
            <w:hideMark/>
          </w:tcPr>
          <w:p w14:paraId="20F760B7"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w:t>
            </w:r>
          </w:p>
        </w:tc>
        <w:tc>
          <w:tcPr>
            <w:tcW w:w="8114" w:type="dxa"/>
            <w:tcBorders>
              <w:top w:val="nil"/>
              <w:left w:val="nil"/>
              <w:bottom w:val="nil"/>
              <w:right w:val="nil"/>
            </w:tcBorders>
            <w:shd w:val="clear" w:color="auto" w:fill="auto"/>
            <w:noWrap/>
            <w:vAlign w:val="center"/>
            <w:hideMark/>
          </w:tcPr>
          <w:p w14:paraId="4D46165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Premessa</w:t>
            </w:r>
          </w:p>
        </w:tc>
        <w:tc>
          <w:tcPr>
            <w:tcW w:w="584" w:type="dxa"/>
            <w:tcBorders>
              <w:top w:val="nil"/>
              <w:left w:val="nil"/>
              <w:bottom w:val="nil"/>
              <w:right w:val="nil"/>
            </w:tcBorders>
            <w:shd w:val="clear" w:color="auto" w:fill="auto"/>
            <w:noWrap/>
            <w:vAlign w:val="center"/>
            <w:hideMark/>
          </w:tcPr>
          <w:p w14:paraId="14D4BC0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403D8AD8"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w:t>
            </w:r>
          </w:p>
        </w:tc>
      </w:tr>
      <w:tr w:rsidR="00F56356" w:rsidRPr="00F56356" w14:paraId="36841A52" w14:textId="77777777" w:rsidTr="00F56356">
        <w:trPr>
          <w:trHeight w:val="402"/>
        </w:trPr>
        <w:tc>
          <w:tcPr>
            <w:tcW w:w="196" w:type="dxa"/>
            <w:tcBorders>
              <w:top w:val="nil"/>
              <w:left w:val="nil"/>
              <w:bottom w:val="nil"/>
              <w:right w:val="nil"/>
            </w:tcBorders>
            <w:shd w:val="clear" w:color="auto" w:fill="auto"/>
            <w:noWrap/>
            <w:vAlign w:val="center"/>
            <w:hideMark/>
          </w:tcPr>
          <w:p w14:paraId="03F5924D"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w:t>
            </w:r>
          </w:p>
        </w:tc>
        <w:tc>
          <w:tcPr>
            <w:tcW w:w="8114" w:type="dxa"/>
            <w:tcBorders>
              <w:top w:val="nil"/>
              <w:left w:val="nil"/>
              <w:bottom w:val="nil"/>
              <w:right w:val="nil"/>
            </w:tcBorders>
            <w:shd w:val="clear" w:color="auto" w:fill="auto"/>
            <w:noWrap/>
            <w:vAlign w:val="center"/>
            <w:hideMark/>
          </w:tcPr>
          <w:p w14:paraId="7EFA422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Struttura del conto finanziario</w:t>
            </w:r>
          </w:p>
        </w:tc>
        <w:tc>
          <w:tcPr>
            <w:tcW w:w="584" w:type="dxa"/>
            <w:tcBorders>
              <w:top w:val="nil"/>
              <w:left w:val="nil"/>
              <w:bottom w:val="nil"/>
              <w:right w:val="nil"/>
            </w:tcBorders>
            <w:shd w:val="clear" w:color="auto" w:fill="auto"/>
            <w:noWrap/>
            <w:vAlign w:val="center"/>
            <w:hideMark/>
          </w:tcPr>
          <w:p w14:paraId="61C7C1A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475C2F01"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w:t>
            </w:r>
          </w:p>
        </w:tc>
      </w:tr>
      <w:tr w:rsidR="00F56356" w:rsidRPr="00F56356" w14:paraId="7306C041" w14:textId="77777777" w:rsidTr="00F56356">
        <w:trPr>
          <w:trHeight w:val="402"/>
        </w:trPr>
        <w:tc>
          <w:tcPr>
            <w:tcW w:w="196" w:type="dxa"/>
            <w:tcBorders>
              <w:top w:val="nil"/>
              <w:left w:val="nil"/>
              <w:bottom w:val="nil"/>
              <w:right w:val="nil"/>
            </w:tcBorders>
            <w:shd w:val="clear" w:color="auto" w:fill="auto"/>
            <w:noWrap/>
            <w:vAlign w:val="center"/>
            <w:hideMark/>
          </w:tcPr>
          <w:p w14:paraId="04F29748"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3</w:t>
            </w:r>
          </w:p>
        </w:tc>
        <w:tc>
          <w:tcPr>
            <w:tcW w:w="8114" w:type="dxa"/>
            <w:tcBorders>
              <w:top w:val="nil"/>
              <w:left w:val="nil"/>
              <w:bottom w:val="nil"/>
              <w:right w:val="nil"/>
            </w:tcBorders>
            <w:shd w:val="clear" w:color="auto" w:fill="auto"/>
            <w:noWrap/>
            <w:vAlign w:val="center"/>
            <w:hideMark/>
          </w:tcPr>
          <w:p w14:paraId="69A2505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Mission della Presidenza del Consiglio dei ministri</w:t>
            </w:r>
          </w:p>
        </w:tc>
        <w:tc>
          <w:tcPr>
            <w:tcW w:w="584" w:type="dxa"/>
            <w:tcBorders>
              <w:top w:val="nil"/>
              <w:left w:val="nil"/>
              <w:bottom w:val="nil"/>
              <w:right w:val="nil"/>
            </w:tcBorders>
            <w:shd w:val="clear" w:color="auto" w:fill="auto"/>
            <w:noWrap/>
            <w:vAlign w:val="center"/>
            <w:hideMark/>
          </w:tcPr>
          <w:p w14:paraId="12EFFEE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1C11D435"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w:t>
            </w:r>
          </w:p>
        </w:tc>
      </w:tr>
      <w:tr w:rsidR="00F56356" w:rsidRPr="00F56356" w14:paraId="35F78EC0" w14:textId="77777777" w:rsidTr="00F56356">
        <w:trPr>
          <w:trHeight w:val="402"/>
        </w:trPr>
        <w:tc>
          <w:tcPr>
            <w:tcW w:w="196" w:type="dxa"/>
            <w:tcBorders>
              <w:top w:val="nil"/>
              <w:left w:val="nil"/>
              <w:bottom w:val="nil"/>
              <w:right w:val="nil"/>
            </w:tcBorders>
            <w:shd w:val="clear" w:color="auto" w:fill="auto"/>
            <w:noWrap/>
            <w:vAlign w:val="center"/>
            <w:hideMark/>
          </w:tcPr>
          <w:p w14:paraId="650A76FF"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4</w:t>
            </w:r>
          </w:p>
        </w:tc>
        <w:tc>
          <w:tcPr>
            <w:tcW w:w="8114" w:type="dxa"/>
            <w:tcBorders>
              <w:top w:val="nil"/>
              <w:left w:val="nil"/>
              <w:bottom w:val="nil"/>
              <w:right w:val="nil"/>
            </w:tcBorders>
            <w:shd w:val="clear" w:color="auto" w:fill="auto"/>
            <w:noWrap/>
            <w:vAlign w:val="center"/>
            <w:hideMark/>
          </w:tcPr>
          <w:p w14:paraId="5D83F85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Obiettivi strategici perseguiti con il bilancio di previsione 2022</w:t>
            </w:r>
          </w:p>
        </w:tc>
        <w:tc>
          <w:tcPr>
            <w:tcW w:w="584" w:type="dxa"/>
            <w:tcBorders>
              <w:top w:val="nil"/>
              <w:left w:val="nil"/>
              <w:bottom w:val="nil"/>
              <w:right w:val="nil"/>
            </w:tcBorders>
            <w:shd w:val="clear" w:color="auto" w:fill="auto"/>
            <w:noWrap/>
            <w:vAlign w:val="center"/>
            <w:hideMark/>
          </w:tcPr>
          <w:p w14:paraId="2ADBFEE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54CF763B"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3</w:t>
            </w:r>
          </w:p>
        </w:tc>
      </w:tr>
      <w:tr w:rsidR="00F56356" w:rsidRPr="00F56356" w14:paraId="2A18003F" w14:textId="77777777" w:rsidTr="00F56356">
        <w:trPr>
          <w:trHeight w:val="402"/>
        </w:trPr>
        <w:tc>
          <w:tcPr>
            <w:tcW w:w="196" w:type="dxa"/>
            <w:tcBorders>
              <w:top w:val="nil"/>
              <w:left w:val="nil"/>
              <w:bottom w:val="nil"/>
              <w:right w:val="nil"/>
            </w:tcBorders>
            <w:shd w:val="clear" w:color="auto" w:fill="auto"/>
            <w:noWrap/>
            <w:vAlign w:val="center"/>
            <w:hideMark/>
          </w:tcPr>
          <w:p w14:paraId="752C2301"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5</w:t>
            </w:r>
          </w:p>
        </w:tc>
        <w:tc>
          <w:tcPr>
            <w:tcW w:w="8114" w:type="dxa"/>
            <w:tcBorders>
              <w:top w:val="nil"/>
              <w:left w:val="nil"/>
              <w:bottom w:val="nil"/>
              <w:right w:val="nil"/>
            </w:tcBorders>
            <w:shd w:val="clear" w:color="auto" w:fill="auto"/>
            <w:noWrap/>
            <w:vAlign w:val="center"/>
            <w:hideMark/>
          </w:tcPr>
          <w:p w14:paraId="3947D39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Aspetti rilevanti della gestione 2022</w:t>
            </w:r>
          </w:p>
        </w:tc>
        <w:tc>
          <w:tcPr>
            <w:tcW w:w="584" w:type="dxa"/>
            <w:tcBorders>
              <w:top w:val="nil"/>
              <w:left w:val="nil"/>
              <w:bottom w:val="nil"/>
              <w:right w:val="nil"/>
            </w:tcBorders>
            <w:shd w:val="clear" w:color="auto" w:fill="auto"/>
            <w:noWrap/>
            <w:vAlign w:val="center"/>
            <w:hideMark/>
          </w:tcPr>
          <w:p w14:paraId="138D86B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37754D01"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5</w:t>
            </w:r>
          </w:p>
        </w:tc>
      </w:tr>
      <w:tr w:rsidR="00F56356" w:rsidRPr="00F56356" w14:paraId="09BAD565" w14:textId="77777777" w:rsidTr="00F56356">
        <w:trPr>
          <w:trHeight w:val="402"/>
        </w:trPr>
        <w:tc>
          <w:tcPr>
            <w:tcW w:w="196" w:type="dxa"/>
            <w:tcBorders>
              <w:top w:val="nil"/>
              <w:left w:val="nil"/>
              <w:bottom w:val="nil"/>
              <w:right w:val="nil"/>
            </w:tcBorders>
            <w:shd w:val="clear" w:color="auto" w:fill="auto"/>
            <w:noWrap/>
            <w:vAlign w:val="center"/>
            <w:hideMark/>
          </w:tcPr>
          <w:p w14:paraId="75CE4567"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6</w:t>
            </w:r>
          </w:p>
        </w:tc>
        <w:tc>
          <w:tcPr>
            <w:tcW w:w="8114" w:type="dxa"/>
            <w:tcBorders>
              <w:top w:val="nil"/>
              <w:left w:val="nil"/>
              <w:bottom w:val="nil"/>
              <w:right w:val="nil"/>
            </w:tcBorders>
            <w:shd w:val="clear" w:color="auto" w:fill="auto"/>
            <w:noWrap/>
            <w:vAlign w:val="center"/>
            <w:hideMark/>
          </w:tcPr>
          <w:p w14:paraId="05497C6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Entrate</w:t>
            </w:r>
          </w:p>
        </w:tc>
        <w:tc>
          <w:tcPr>
            <w:tcW w:w="584" w:type="dxa"/>
            <w:tcBorders>
              <w:top w:val="nil"/>
              <w:left w:val="nil"/>
              <w:bottom w:val="nil"/>
              <w:right w:val="nil"/>
            </w:tcBorders>
            <w:shd w:val="clear" w:color="auto" w:fill="auto"/>
            <w:noWrap/>
            <w:vAlign w:val="center"/>
            <w:hideMark/>
          </w:tcPr>
          <w:p w14:paraId="6F372CC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32BCA2B5"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10</w:t>
            </w:r>
          </w:p>
        </w:tc>
      </w:tr>
      <w:tr w:rsidR="00F56356" w:rsidRPr="00F56356" w14:paraId="459BBE7A" w14:textId="77777777" w:rsidTr="00F56356">
        <w:trPr>
          <w:trHeight w:val="187"/>
        </w:trPr>
        <w:tc>
          <w:tcPr>
            <w:tcW w:w="196" w:type="dxa"/>
            <w:tcBorders>
              <w:top w:val="nil"/>
              <w:left w:val="nil"/>
              <w:bottom w:val="nil"/>
              <w:right w:val="nil"/>
            </w:tcBorders>
            <w:shd w:val="clear" w:color="auto" w:fill="auto"/>
            <w:noWrap/>
            <w:vAlign w:val="center"/>
            <w:hideMark/>
          </w:tcPr>
          <w:p w14:paraId="5F993CC9"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7</w:t>
            </w:r>
          </w:p>
        </w:tc>
        <w:tc>
          <w:tcPr>
            <w:tcW w:w="8114" w:type="dxa"/>
            <w:tcBorders>
              <w:top w:val="nil"/>
              <w:left w:val="nil"/>
              <w:bottom w:val="nil"/>
              <w:right w:val="nil"/>
            </w:tcBorders>
            <w:shd w:val="clear" w:color="auto" w:fill="auto"/>
            <w:noWrap/>
            <w:vAlign w:val="center"/>
            <w:hideMark/>
          </w:tcPr>
          <w:p w14:paraId="14BDD49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Spese</w:t>
            </w:r>
          </w:p>
        </w:tc>
        <w:tc>
          <w:tcPr>
            <w:tcW w:w="584" w:type="dxa"/>
            <w:tcBorders>
              <w:top w:val="nil"/>
              <w:left w:val="nil"/>
              <w:bottom w:val="nil"/>
              <w:right w:val="nil"/>
            </w:tcBorders>
            <w:shd w:val="clear" w:color="auto" w:fill="auto"/>
            <w:noWrap/>
            <w:vAlign w:val="center"/>
            <w:hideMark/>
          </w:tcPr>
          <w:p w14:paraId="5191A26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auto" w:fill="auto"/>
            <w:noWrap/>
            <w:vAlign w:val="center"/>
            <w:hideMark/>
          </w:tcPr>
          <w:p w14:paraId="5B1166A5"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32</w:t>
            </w:r>
          </w:p>
        </w:tc>
      </w:tr>
      <w:tr w:rsidR="00F56356" w:rsidRPr="00F56356" w14:paraId="2BA02CB3" w14:textId="77777777" w:rsidTr="00F56356">
        <w:trPr>
          <w:trHeight w:val="106"/>
        </w:trPr>
        <w:tc>
          <w:tcPr>
            <w:tcW w:w="196" w:type="dxa"/>
            <w:tcBorders>
              <w:top w:val="nil"/>
              <w:left w:val="nil"/>
              <w:bottom w:val="nil"/>
              <w:right w:val="nil"/>
            </w:tcBorders>
            <w:shd w:val="clear" w:color="auto" w:fill="auto"/>
            <w:noWrap/>
            <w:vAlign w:val="center"/>
            <w:hideMark/>
          </w:tcPr>
          <w:p w14:paraId="02E735CD"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p>
        </w:tc>
        <w:tc>
          <w:tcPr>
            <w:tcW w:w="8114" w:type="dxa"/>
            <w:tcBorders>
              <w:top w:val="nil"/>
              <w:left w:val="nil"/>
              <w:bottom w:val="nil"/>
              <w:right w:val="nil"/>
            </w:tcBorders>
            <w:shd w:val="clear" w:color="auto" w:fill="auto"/>
            <w:noWrap/>
            <w:vAlign w:val="center"/>
            <w:hideMark/>
          </w:tcPr>
          <w:p w14:paraId="7B07A70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584" w:type="dxa"/>
            <w:tcBorders>
              <w:top w:val="nil"/>
              <w:left w:val="nil"/>
              <w:bottom w:val="nil"/>
              <w:right w:val="nil"/>
            </w:tcBorders>
            <w:shd w:val="clear" w:color="auto" w:fill="auto"/>
            <w:noWrap/>
            <w:vAlign w:val="center"/>
            <w:hideMark/>
          </w:tcPr>
          <w:p w14:paraId="6F9FA22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506" w:type="dxa"/>
            <w:tcBorders>
              <w:top w:val="nil"/>
              <w:left w:val="nil"/>
              <w:bottom w:val="nil"/>
              <w:right w:val="nil"/>
            </w:tcBorders>
            <w:shd w:val="clear" w:color="auto" w:fill="auto"/>
            <w:noWrap/>
            <w:vAlign w:val="center"/>
            <w:hideMark/>
          </w:tcPr>
          <w:p w14:paraId="5A1D284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31DF7880" w14:textId="77777777" w:rsidTr="00F56356">
        <w:trPr>
          <w:trHeight w:val="465"/>
        </w:trPr>
        <w:tc>
          <w:tcPr>
            <w:tcW w:w="9400" w:type="dxa"/>
            <w:gridSpan w:val="4"/>
            <w:tcBorders>
              <w:top w:val="nil"/>
              <w:left w:val="nil"/>
              <w:bottom w:val="nil"/>
              <w:right w:val="nil"/>
            </w:tcBorders>
            <w:shd w:val="clear" w:color="auto" w:fill="auto"/>
            <w:noWrap/>
            <w:vAlign w:val="center"/>
            <w:hideMark/>
          </w:tcPr>
          <w:p w14:paraId="3ADFAC3D" w14:textId="77777777" w:rsidR="00F56356" w:rsidRPr="00F56356" w:rsidRDefault="00F56356" w:rsidP="00F56356">
            <w:pPr>
              <w:spacing w:after="0" w:line="240" w:lineRule="auto"/>
              <w:jc w:val="center"/>
              <w:rPr>
                <w:rFonts w:ascii="Times New Roman" w:eastAsia="Times New Roman" w:hAnsi="Times New Roman" w:cs="Times New Roman"/>
                <w:b/>
                <w:bCs/>
                <w:sz w:val="32"/>
                <w:szCs w:val="32"/>
                <w:lang w:eastAsia="it-IT"/>
              </w:rPr>
            </w:pPr>
            <w:r w:rsidRPr="00F56356">
              <w:rPr>
                <w:rFonts w:ascii="Times New Roman" w:eastAsia="Times New Roman" w:hAnsi="Times New Roman" w:cs="Times New Roman"/>
                <w:b/>
                <w:bCs/>
                <w:sz w:val="32"/>
                <w:szCs w:val="32"/>
                <w:lang w:eastAsia="it-IT"/>
              </w:rPr>
              <w:t>SEZIONE II – CENTRI DI RESPONSABILITA’</w:t>
            </w:r>
          </w:p>
        </w:tc>
      </w:tr>
      <w:tr w:rsidR="00F56356" w:rsidRPr="00F56356" w14:paraId="63DD110F" w14:textId="77777777" w:rsidTr="00F56356">
        <w:trPr>
          <w:trHeight w:val="465"/>
        </w:trPr>
        <w:tc>
          <w:tcPr>
            <w:tcW w:w="9400" w:type="dxa"/>
            <w:gridSpan w:val="4"/>
            <w:tcBorders>
              <w:top w:val="nil"/>
              <w:left w:val="nil"/>
              <w:bottom w:val="nil"/>
              <w:right w:val="nil"/>
            </w:tcBorders>
            <w:shd w:val="clear" w:color="auto" w:fill="auto"/>
            <w:noWrap/>
            <w:vAlign w:val="center"/>
            <w:hideMark/>
          </w:tcPr>
          <w:p w14:paraId="651EA642" w14:textId="77777777" w:rsidR="00F56356" w:rsidRPr="00F56356" w:rsidRDefault="00F56356" w:rsidP="00F56356">
            <w:pPr>
              <w:spacing w:after="0" w:line="240" w:lineRule="auto"/>
              <w:jc w:val="center"/>
              <w:rPr>
                <w:rFonts w:ascii="Times New Roman" w:eastAsia="Times New Roman" w:hAnsi="Times New Roman" w:cs="Times New Roman"/>
                <w:b/>
                <w:bCs/>
                <w:sz w:val="32"/>
                <w:szCs w:val="32"/>
                <w:lang w:eastAsia="it-IT"/>
              </w:rPr>
            </w:pPr>
            <w:r w:rsidRPr="00F56356">
              <w:rPr>
                <w:rFonts w:ascii="Times New Roman" w:eastAsia="Times New Roman" w:hAnsi="Times New Roman" w:cs="Times New Roman"/>
                <w:b/>
                <w:bCs/>
                <w:sz w:val="32"/>
                <w:szCs w:val="32"/>
                <w:lang w:eastAsia="it-IT"/>
              </w:rPr>
              <w:t>(Missioni e Programmi)</w:t>
            </w:r>
          </w:p>
        </w:tc>
      </w:tr>
      <w:tr w:rsidR="00F56356" w:rsidRPr="00F56356" w14:paraId="0AB76CC3" w14:textId="77777777" w:rsidTr="00F56356">
        <w:trPr>
          <w:trHeight w:val="180"/>
        </w:trPr>
        <w:tc>
          <w:tcPr>
            <w:tcW w:w="196" w:type="dxa"/>
            <w:tcBorders>
              <w:top w:val="nil"/>
              <w:left w:val="nil"/>
              <w:bottom w:val="nil"/>
              <w:right w:val="nil"/>
            </w:tcBorders>
            <w:shd w:val="clear" w:color="auto" w:fill="auto"/>
            <w:noWrap/>
            <w:vAlign w:val="center"/>
            <w:hideMark/>
          </w:tcPr>
          <w:p w14:paraId="32E4598C" w14:textId="77777777" w:rsidR="00F56356" w:rsidRPr="00F56356" w:rsidRDefault="00F56356" w:rsidP="00F56356">
            <w:pPr>
              <w:spacing w:after="0" w:line="240" w:lineRule="auto"/>
              <w:jc w:val="center"/>
              <w:rPr>
                <w:rFonts w:ascii="Times New Roman" w:eastAsia="Times New Roman" w:hAnsi="Times New Roman" w:cs="Times New Roman"/>
                <w:b/>
                <w:bCs/>
                <w:sz w:val="32"/>
                <w:szCs w:val="32"/>
                <w:lang w:eastAsia="it-IT"/>
              </w:rPr>
            </w:pPr>
          </w:p>
        </w:tc>
        <w:tc>
          <w:tcPr>
            <w:tcW w:w="8114" w:type="dxa"/>
            <w:tcBorders>
              <w:top w:val="nil"/>
              <w:left w:val="nil"/>
              <w:bottom w:val="nil"/>
              <w:right w:val="nil"/>
            </w:tcBorders>
            <w:shd w:val="clear" w:color="auto" w:fill="auto"/>
            <w:noWrap/>
            <w:vAlign w:val="center"/>
            <w:hideMark/>
          </w:tcPr>
          <w:p w14:paraId="7D4C155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584" w:type="dxa"/>
            <w:tcBorders>
              <w:top w:val="nil"/>
              <w:left w:val="nil"/>
              <w:bottom w:val="nil"/>
              <w:right w:val="nil"/>
            </w:tcBorders>
            <w:shd w:val="clear" w:color="auto" w:fill="auto"/>
            <w:noWrap/>
            <w:vAlign w:val="center"/>
            <w:hideMark/>
          </w:tcPr>
          <w:p w14:paraId="6ADAACE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506" w:type="dxa"/>
            <w:tcBorders>
              <w:top w:val="nil"/>
              <w:left w:val="nil"/>
              <w:bottom w:val="nil"/>
              <w:right w:val="nil"/>
            </w:tcBorders>
            <w:shd w:val="clear" w:color="auto" w:fill="auto"/>
            <w:noWrap/>
            <w:vAlign w:val="center"/>
            <w:hideMark/>
          </w:tcPr>
          <w:p w14:paraId="6226EF4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7D53782F"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39D43E1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1 - Segretariato generale</w:t>
            </w:r>
          </w:p>
        </w:tc>
        <w:tc>
          <w:tcPr>
            <w:tcW w:w="584" w:type="dxa"/>
            <w:tcBorders>
              <w:top w:val="nil"/>
              <w:left w:val="nil"/>
              <w:bottom w:val="nil"/>
              <w:right w:val="nil"/>
            </w:tcBorders>
            <w:shd w:val="clear" w:color="auto" w:fill="auto"/>
            <w:noWrap/>
            <w:vAlign w:val="center"/>
            <w:hideMark/>
          </w:tcPr>
          <w:p w14:paraId="1E5FF77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62A55FA7"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w:t>
            </w:r>
          </w:p>
        </w:tc>
      </w:tr>
      <w:tr w:rsidR="00F56356" w:rsidRPr="00F56356" w14:paraId="61A6DF9A"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0636A03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3 - Rapporti con il Parlamento</w:t>
            </w:r>
          </w:p>
        </w:tc>
        <w:tc>
          <w:tcPr>
            <w:tcW w:w="584" w:type="dxa"/>
            <w:tcBorders>
              <w:top w:val="nil"/>
              <w:left w:val="nil"/>
              <w:bottom w:val="nil"/>
              <w:right w:val="nil"/>
            </w:tcBorders>
            <w:shd w:val="clear" w:color="auto" w:fill="auto"/>
            <w:noWrap/>
            <w:vAlign w:val="center"/>
            <w:hideMark/>
          </w:tcPr>
          <w:p w14:paraId="78ACD1E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18FDF4D9"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67</w:t>
            </w:r>
          </w:p>
        </w:tc>
      </w:tr>
      <w:tr w:rsidR="00F56356" w:rsidRPr="00F56356" w14:paraId="3936F86E"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59DD0EA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4 - Politiche europee </w:t>
            </w:r>
          </w:p>
        </w:tc>
        <w:tc>
          <w:tcPr>
            <w:tcW w:w="584" w:type="dxa"/>
            <w:tcBorders>
              <w:top w:val="nil"/>
              <w:left w:val="nil"/>
              <w:bottom w:val="nil"/>
              <w:right w:val="nil"/>
            </w:tcBorders>
            <w:shd w:val="clear" w:color="auto" w:fill="auto"/>
            <w:noWrap/>
            <w:vAlign w:val="center"/>
            <w:hideMark/>
          </w:tcPr>
          <w:p w14:paraId="10890D18"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74C80A10"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70</w:t>
            </w:r>
          </w:p>
        </w:tc>
      </w:tr>
      <w:tr w:rsidR="00F56356" w:rsidRPr="00F56356" w14:paraId="7D98C969"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0CE56E1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5 - Riforme istituzionali</w:t>
            </w:r>
          </w:p>
        </w:tc>
        <w:tc>
          <w:tcPr>
            <w:tcW w:w="584" w:type="dxa"/>
            <w:tcBorders>
              <w:top w:val="nil"/>
              <w:left w:val="nil"/>
              <w:bottom w:val="nil"/>
              <w:right w:val="nil"/>
            </w:tcBorders>
            <w:shd w:val="clear" w:color="auto" w:fill="auto"/>
            <w:noWrap/>
            <w:vAlign w:val="center"/>
            <w:hideMark/>
          </w:tcPr>
          <w:p w14:paraId="58BDA2A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7E14C364"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76</w:t>
            </w:r>
          </w:p>
        </w:tc>
      </w:tr>
      <w:tr w:rsidR="00F56356" w:rsidRPr="00F56356" w14:paraId="0BA98FCF"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6973CB8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6 - Funzione pubblica</w:t>
            </w:r>
          </w:p>
        </w:tc>
        <w:tc>
          <w:tcPr>
            <w:tcW w:w="584" w:type="dxa"/>
            <w:tcBorders>
              <w:top w:val="nil"/>
              <w:left w:val="nil"/>
              <w:bottom w:val="nil"/>
              <w:right w:val="nil"/>
            </w:tcBorders>
            <w:shd w:val="clear" w:color="auto" w:fill="auto"/>
            <w:noWrap/>
            <w:vAlign w:val="center"/>
            <w:hideMark/>
          </w:tcPr>
          <w:p w14:paraId="1A54337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2B4831C1"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80</w:t>
            </w:r>
          </w:p>
        </w:tc>
      </w:tr>
      <w:tr w:rsidR="00F56356" w:rsidRPr="00F56356" w14:paraId="0202357C"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02FEB1C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7 - Affari regionali e autonomie </w:t>
            </w:r>
          </w:p>
        </w:tc>
        <w:tc>
          <w:tcPr>
            <w:tcW w:w="584" w:type="dxa"/>
            <w:tcBorders>
              <w:top w:val="nil"/>
              <w:left w:val="nil"/>
              <w:bottom w:val="nil"/>
              <w:right w:val="nil"/>
            </w:tcBorders>
            <w:shd w:val="clear" w:color="auto" w:fill="auto"/>
            <w:noWrap/>
            <w:vAlign w:val="center"/>
            <w:hideMark/>
          </w:tcPr>
          <w:p w14:paraId="7FF5B30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0FE291DB"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97</w:t>
            </w:r>
          </w:p>
        </w:tc>
      </w:tr>
      <w:tr w:rsidR="00F56356" w:rsidRPr="00F56356" w14:paraId="7839F250"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29CA8EF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8 - Pari opportunità</w:t>
            </w:r>
          </w:p>
        </w:tc>
        <w:tc>
          <w:tcPr>
            <w:tcW w:w="584" w:type="dxa"/>
            <w:tcBorders>
              <w:top w:val="nil"/>
              <w:left w:val="nil"/>
              <w:bottom w:val="nil"/>
              <w:right w:val="nil"/>
            </w:tcBorders>
            <w:shd w:val="clear" w:color="auto" w:fill="auto"/>
            <w:noWrap/>
            <w:vAlign w:val="center"/>
            <w:hideMark/>
          </w:tcPr>
          <w:p w14:paraId="5ADC81E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5870BE1B"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113</w:t>
            </w:r>
          </w:p>
        </w:tc>
      </w:tr>
      <w:tr w:rsidR="00F56356" w:rsidRPr="00F56356" w14:paraId="295EC4F4"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6211E57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9 - Informazione ed editoria  </w:t>
            </w:r>
          </w:p>
        </w:tc>
        <w:tc>
          <w:tcPr>
            <w:tcW w:w="584" w:type="dxa"/>
            <w:tcBorders>
              <w:top w:val="nil"/>
              <w:left w:val="nil"/>
              <w:bottom w:val="nil"/>
              <w:right w:val="nil"/>
            </w:tcBorders>
            <w:shd w:val="clear" w:color="auto" w:fill="auto"/>
            <w:noWrap/>
            <w:vAlign w:val="center"/>
            <w:hideMark/>
          </w:tcPr>
          <w:p w14:paraId="639CF08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16C547C3"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128</w:t>
            </w:r>
          </w:p>
        </w:tc>
      </w:tr>
      <w:tr w:rsidR="00F56356" w:rsidRPr="00F56356" w14:paraId="6362AC22"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33B6989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10 - Programma di Governo</w:t>
            </w:r>
          </w:p>
        </w:tc>
        <w:tc>
          <w:tcPr>
            <w:tcW w:w="584" w:type="dxa"/>
            <w:tcBorders>
              <w:top w:val="nil"/>
              <w:left w:val="nil"/>
              <w:bottom w:val="nil"/>
              <w:right w:val="nil"/>
            </w:tcBorders>
            <w:shd w:val="clear" w:color="auto" w:fill="auto"/>
            <w:noWrap/>
            <w:vAlign w:val="center"/>
            <w:hideMark/>
          </w:tcPr>
          <w:p w14:paraId="7F07909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60421D16"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145</w:t>
            </w:r>
          </w:p>
        </w:tc>
      </w:tr>
      <w:tr w:rsidR="00F56356" w:rsidRPr="00F56356" w14:paraId="46BE744F"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5B7277B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11 - Programmazione e coordinamento della politica economica </w:t>
            </w:r>
          </w:p>
        </w:tc>
        <w:tc>
          <w:tcPr>
            <w:tcW w:w="584" w:type="dxa"/>
            <w:tcBorders>
              <w:top w:val="nil"/>
              <w:left w:val="nil"/>
              <w:bottom w:val="nil"/>
              <w:right w:val="nil"/>
            </w:tcBorders>
            <w:shd w:val="clear" w:color="auto" w:fill="auto"/>
            <w:noWrap/>
            <w:vAlign w:val="center"/>
            <w:hideMark/>
          </w:tcPr>
          <w:p w14:paraId="51672F0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7E84C675"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150</w:t>
            </w:r>
          </w:p>
        </w:tc>
      </w:tr>
      <w:tr w:rsidR="00F56356" w:rsidRPr="00F56356" w14:paraId="5BE76FDC"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1380D3A4"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12 - Innovazione </w:t>
            </w:r>
            <w:proofErr w:type="spellStart"/>
            <w:r w:rsidRPr="00F56356">
              <w:rPr>
                <w:rFonts w:ascii="Times New Roman" w:eastAsia="Times New Roman" w:hAnsi="Times New Roman" w:cs="Times New Roman"/>
                <w:sz w:val="24"/>
                <w:szCs w:val="24"/>
                <w:lang w:eastAsia="it-IT"/>
              </w:rPr>
              <w:t>tecnoliogica</w:t>
            </w:r>
            <w:proofErr w:type="spellEnd"/>
            <w:r w:rsidRPr="00F56356">
              <w:rPr>
                <w:rFonts w:ascii="Times New Roman" w:eastAsia="Times New Roman" w:hAnsi="Times New Roman" w:cs="Times New Roman"/>
                <w:sz w:val="24"/>
                <w:szCs w:val="24"/>
                <w:lang w:eastAsia="it-IT"/>
              </w:rPr>
              <w:t xml:space="preserve"> e trasformazione digitale</w:t>
            </w:r>
          </w:p>
        </w:tc>
        <w:tc>
          <w:tcPr>
            <w:tcW w:w="584" w:type="dxa"/>
            <w:tcBorders>
              <w:top w:val="nil"/>
              <w:left w:val="nil"/>
              <w:bottom w:val="nil"/>
              <w:right w:val="nil"/>
            </w:tcBorders>
            <w:shd w:val="clear" w:color="auto" w:fill="auto"/>
            <w:noWrap/>
            <w:vAlign w:val="center"/>
            <w:hideMark/>
          </w:tcPr>
          <w:p w14:paraId="5044055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5C8E5889"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157</w:t>
            </w:r>
          </w:p>
        </w:tc>
      </w:tr>
      <w:tr w:rsidR="00F56356" w:rsidRPr="00F56356" w14:paraId="0F5C17A7"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58BB40E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13 - Protezione civile</w:t>
            </w:r>
          </w:p>
        </w:tc>
        <w:tc>
          <w:tcPr>
            <w:tcW w:w="584" w:type="dxa"/>
            <w:tcBorders>
              <w:top w:val="nil"/>
              <w:left w:val="nil"/>
              <w:bottom w:val="nil"/>
              <w:right w:val="nil"/>
            </w:tcBorders>
            <w:shd w:val="clear" w:color="auto" w:fill="auto"/>
            <w:noWrap/>
            <w:vAlign w:val="center"/>
            <w:hideMark/>
          </w:tcPr>
          <w:p w14:paraId="22B6EDE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5ED0E7DE"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176</w:t>
            </w:r>
          </w:p>
        </w:tc>
      </w:tr>
      <w:tr w:rsidR="00F56356" w:rsidRPr="00F56356" w14:paraId="3D28597D"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5B0419A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14 - Politiche antidroga</w:t>
            </w:r>
          </w:p>
        </w:tc>
        <w:tc>
          <w:tcPr>
            <w:tcW w:w="584" w:type="dxa"/>
            <w:tcBorders>
              <w:top w:val="nil"/>
              <w:left w:val="nil"/>
              <w:bottom w:val="nil"/>
              <w:right w:val="nil"/>
            </w:tcBorders>
            <w:shd w:val="clear" w:color="auto" w:fill="auto"/>
            <w:noWrap/>
            <w:vAlign w:val="center"/>
            <w:hideMark/>
          </w:tcPr>
          <w:p w14:paraId="4758765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27C1495E"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205</w:t>
            </w:r>
          </w:p>
        </w:tc>
      </w:tr>
      <w:tr w:rsidR="00F56356" w:rsidRPr="00F56356" w14:paraId="2AF8DBD4"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4FFDEF0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15 - Politiche per la famiglia</w:t>
            </w:r>
          </w:p>
        </w:tc>
        <w:tc>
          <w:tcPr>
            <w:tcW w:w="584" w:type="dxa"/>
            <w:tcBorders>
              <w:top w:val="nil"/>
              <w:left w:val="nil"/>
              <w:bottom w:val="nil"/>
              <w:right w:val="nil"/>
            </w:tcBorders>
            <w:shd w:val="clear" w:color="auto" w:fill="auto"/>
            <w:noWrap/>
            <w:vAlign w:val="center"/>
            <w:hideMark/>
          </w:tcPr>
          <w:p w14:paraId="5BC862A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317D3221"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218</w:t>
            </w:r>
          </w:p>
        </w:tc>
      </w:tr>
      <w:tr w:rsidR="00F56356" w:rsidRPr="00F56356" w14:paraId="68F95FCF"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2816249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16 - Politiche giovanili e servizio civile universale</w:t>
            </w:r>
          </w:p>
        </w:tc>
        <w:tc>
          <w:tcPr>
            <w:tcW w:w="584" w:type="dxa"/>
            <w:tcBorders>
              <w:top w:val="nil"/>
              <w:left w:val="nil"/>
              <w:bottom w:val="nil"/>
              <w:right w:val="nil"/>
            </w:tcBorders>
            <w:shd w:val="clear" w:color="auto" w:fill="auto"/>
            <w:noWrap/>
            <w:vAlign w:val="center"/>
            <w:hideMark/>
          </w:tcPr>
          <w:p w14:paraId="74858C44"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4262F262"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245</w:t>
            </w:r>
          </w:p>
        </w:tc>
      </w:tr>
      <w:tr w:rsidR="00F56356" w:rsidRPr="00F56356" w14:paraId="27719A47"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41DD699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17 - Sport                                                                                                  </w:t>
            </w:r>
          </w:p>
        </w:tc>
        <w:tc>
          <w:tcPr>
            <w:tcW w:w="584" w:type="dxa"/>
            <w:tcBorders>
              <w:top w:val="nil"/>
              <w:left w:val="nil"/>
              <w:bottom w:val="nil"/>
              <w:right w:val="nil"/>
            </w:tcBorders>
            <w:shd w:val="clear" w:color="auto" w:fill="auto"/>
            <w:noWrap/>
            <w:vAlign w:val="center"/>
            <w:hideMark/>
          </w:tcPr>
          <w:p w14:paraId="66293E3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5745AFAE"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260</w:t>
            </w:r>
          </w:p>
        </w:tc>
      </w:tr>
      <w:tr w:rsidR="00F56356" w:rsidRPr="00F56356" w14:paraId="4E898776"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4C38572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18 - Politiche di coesione                                                                   </w:t>
            </w:r>
          </w:p>
        </w:tc>
        <w:tc>
          <w:tcPr>
            <w:tcW w:w="584" w:type="dxa"/>
            <w:tcBorders>
              <w:top w:val="nil"/>
              <w:left w:val="nil"/>
              <w:bottom w:val="nil"/>
              <w:right w:val="nil"/>
            </w:tcBorders>
            <w:shd w:val="clear" w:color="auto" w:fill="auto"/>
            <w:noWrap/>
            <w:vAlign w:val="center"/>
            <w:hideMark/>
          </w:tcPr>
          <w:p w14:paraId="287375D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707B8AD2"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286</w:t>
            </w:r>
          </w:p>
        </w:tc>
      </w:tr>
      <w:tr w:rsidR="00F56356" w:rsidRPr="00F56356" w14:paraId="6A4AC20A"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0D1E865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20 - Politiche in favore delle persone con disabilità                                                                   </w:t>
            </w:r>
          </w:p>
        </w:tc>
        <w:tc>
          <w:tcPr>
            <w:tcW w:w="584" w:type="dxa"/>
            <w:tcBorders>
              <w:top w:val="nil"/>
              <w:left w:val="nil"/>
              <w:bottom w:val="nil"/>
              <w:right w:val="nil"/>
            </w:tcBorders>
            <w:shd w:val="clear" w:color="auto" w:fill="auto"/>
            <w:noWrap/>
            <w:vAlign w:val="center"/>
            <w:hideMark/>
          </w:tcPr>
          <w:p w14:paraId="6715AF7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45F88673"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295</w:t>
            </w:r>
          </w:p>
        </w:tc>
      </w:tr>
      <w:tr w:rsidR="00F56356" w:rsidRPr="00F56356" w14:paraId="03A0EA05" w14:textId="77777777" w:rsidTr="00F56356">
        <w:trPr>
          <w:trHeight w:val="360"/>
        </w:trPr>
        <w:tc>
          <w:tcPr>
            <w:tcW w:w="8310" w:type="dxa"/>
            <w:gridSpan w:val="2"/>
            <w:tcBorders>
              <w:top w:val="nil"/>
              <w:left w:val="nil"/>
              <w:bottom w:val="nil"/>
              <w:right w:val="nil"/>
            </w:tcBorders>
            <w:shd w:val="clear" w:color="auto" w:fill="auto"/>
            <w:noWrap/>
            <w:vAlign w:val="center"/>
            <w:hideMark/>
          </w:tcPr>
          <w:p w14:paraId="5102F8C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roofErr w:type="spellStart"/>
            <w:r w:rsidRPr="00F56356">
              <w:rPr>
                <w:rFonts w:ascii="Times New Roman" w:eastAsia="Times New Roman" w:hAnsi="Times New Roman" w:cs="Times New Roman"/>
                <w:sz w:val="24"/>
                <w:szCs w:val="24"/>
                <w:lang w:eastAsia="it-IT"/>
              </w:rPr>
              <w:t>CdR</w:t>
            </w:r>
            <w:proofErr w:type="spellEnd"/>
            <w:r w:rsidRPr="00F56356">
              <w:rPr>
                <w:rFonts w:ascii="Times New Roman" w:eastAsia="Times New Roman" w:hAnsi="Times New Roman" w:cs="Times New Roman"/>
                <w:sz w:val="24"/>
                <w:szCs w:val="24"/>
                <w:lang w:eastAsia="it-IT"/>
              </w:rPr>
              <w:t xml:space="preserve"> 21 - Politiche spaziali e aerospaziali                                                                   </w:t>
            </w:r>
          </w:p>
        </w:tc>
        <w:tc>
          <w:tcPr>
            <w:tcW w:w="584" w:type="dxa"/>
            <w:tcBorders>
              <w:top w:val="nil"/>
              <w:left w:val="nil"/>
              <w:bottom w:val="nil"/>
              <w:right w:val="nil"/>
            </w:tcBorders>
            <w:shd w:val="clear" w:color="auto" w:fill="auto"/>
            <w:noWrap/>
            <w:vAlign w:val="center"/>
            <w:hideMark/>
          </w:tcPr>
          <w:p w14:paraId="7A0F1A3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Pag.   </w:t>
            </w:r>
          </w:p>
        </w:tc>
        <w:tc>
          <w:tcPr>
            <w:tcW w:w="506" w:type="dxa"/>
            <w:tcBorders>
              <w:top w:val="nil"/>
              <w:left w:val="nil"/>
              <w:bottom w:val="nil"/>
              <w:right w:val="nil"/>
            </w:tcBorders>
            <w:shd w:val="clear" w:color="000000" w:fill="FFFFFF"/>
            <w:noWrap/>
            <w:vAlign w:val="center"/>
            <w:hideMark/>
          </w:tcPr>
          <w:p w14:paraId="306DE96E" w14:textId="77777777" w:rsidR="00F56356" w:rsidRPr="00F56356" w:rsidRDefault="00F56356" w:rsidP="00F56356">
            <w:pPr>
              <w:spacing w:after="0" w:line="240" w:lineRule="auto"/>
              <w:jc w:val="right"/>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305</w:t>
            </w:r>
          </w:p>
        </w:tc>
      </w:tr>
      <w:tr w:rsidR="00F56356" w:rsidRPr="00F56356" w14:paraId="070D1869"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4F3E791D" w14:textId="77777777" w:rsidR="00F56356" w:rsidRPr="00F56356" w:rsidRDefault="00F56356" w:rsidP="00F56356">
            <w:pPr>
              <w:spacing w:after="0" w:line="240" w:lineRule="auto"/>
              <w:rPr>
                <w:rFonts w:ascii="Times New Roman" w:eastAsia="Times New Roman" w:hAnsi="Times New Roman" w:cs="Times New Roman"/>
                <w:sz w:val="24"/>
                <w:szCs w:val="24"/>
                <w:u w:val="single"/>
                <w:lang w:eastAsia="it-IT"/>
              </w:rPr>
            </w:pPr>
            <w:r w:rsidRPr="00F56356">
              <w:rPr>
                <w:rFonts w:ascii="Times New Roman" w:eastAsia="Times New Roman" w:hAnsi="Times New Roman" w:cs="Times New Roman"/>
                <w:sz w:val="24"/>
                <w:szCs w:val="24"/>
                <w:u w:val="single"/>
                <w:lang w:eastAsia="it-IT"/>
              </w:rPr>
              <w:t>Prospetti contabili</w:t>
            </w:r>
          </w:p>
        </w:tc>
        <w:tc>
          <w:tcPr>
            <w:tcW w:w="584" w:type="dxa"/>
            <w:tcBorders>
              <w:top w:val="nil"/>
              <w:left w:val="nil"/>
              <w:bottom w:val="nil"/>
              <w:right w:val="nil"/>
            </w:tcBorders>
            <w:shd w:val="clear" w:color="auto" w:fill="auto"/>
            <w:noWrap/>
            <w:vAlign w:val="center"/>
            <w:hideMark/>
          </w:tcPr>
          <w:p w14:paraId="2AB92953" w14:textId="77777777" w:rsidR="00F56356" w:rsidRPr="00F56356" w:rsidRDefault="00F56356" w:rsidP="00F56356">
            <w:pPr>
              <w:spacing w:after="0" w:line="240" w:lineRule="auto"/>
              <w:rPr>
                <w:rFonts w:ascii="Times New Roman" w:eastAsia="Times New Roman" w:hAnsi="Times New Roman" w:cs="Times New Roman"/>
                <w:sz w:val="24"/>
                <w:szCs w:val="24"/>
                <w:u w:val="single"/>
                <w:lang w:eastAsia="it-IT"/>
              </w:rPr>
            </w:pPr>
          </w:p>
        </w:tc>
        <w:tc>
          <w:tcPr>
            <w:tcW w:w="506" w:type="dxa"/>
            <w:tcBorders>
              <w:top w:val="nil"/>
              <w:left w:val="nil"/>
              <w:bottom w:val="nil"/>
              <w:right w:val="nil"/>
            </w:tcBorders>
            <w:shd w:val="clear" w:color="auto" w:fill="auto"/>
            <w:noWrap/>
            <w:vAlign w:val="center"/>
            <w:hideMark/>
          </w:tcPr>
          <w:p w14:paraId="1C731C3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2DDE9848" w14:textId="77777777" w:rsidTr="00F56356">
        <w:trPr>
          <w:trHeight w:val="315"/>
        </w:trPr>
        <w:tc>
          <w:tcPr>
            <w:tcW w:w="196" w:type="dxa"/>
            <w:tcBorders>
              <w:top w:val="nil"/>
              <w:left w:val="nil"/>
              <w:bottom w:val="nil"/>
              <w:right w:val="nil"/>
            </w:tcBorders>
            <w:shd w:val="clear" w:color="auto" w:fill="auto"/>
            <w:noWrap/>
            <w:vAlign w:val="bottom"/>
            <w:hideMark/>
          </w:tcPr>
          <w:p w14:paraId="1C6E25C0" w14:textId="77777777" w:rsidR="00F56356" w:rsidRPr="00F56356" w:rsidRDefault="00F56356" w:rsidP="00F56356">
            <w:pPr>
              <w:spacing w:after="0" w:line="240" w:lineRule="auto"/>
              <w:jc w:val="right"/>
              <w:rPr>
                <w:rFonts w:ascii="Times New Roman" w:eastAsia="Times New Roman" w:hAnsi="Times New Roman" w:cs="Times New Roman"/>
                <w:sz w:val="20"/>
                <w:szCs w:val="20"/>
                <w:lang w:eastAsia="it-IT"/>
              </w:rPr>
            </w:pPr>
          </w:p>
        </w:tc>
        <w:tc>
          <w:tcPr>
            <w:tcW w:w="8114" w:type="dxa"/>
            <w:tcBorders>
              <w:top w:val="nil"/>
              <w:left w:val="nil"/>
              <w:bottom w:val="nil"/>
              <w:right w:val="nil"/>
            </w:tcBorders>
            <w:shd w:val="clear" w:color="auto" w:fill="auto"/>
            <w:noWrap/>
            <w:vAlign w:val="center"/>
            <w:hideMark/>
          </w:tcPr>
          <w:p w14:paraId="48AAF3AB" w14:textId="77777777" w:rsidR="00F56356" w:rsidRPr="00F56356" w:rsidRDefault="00F56356" w:rsidP="00F56356">
            <w:pPr>
              <w:spacing w:after="0" w:line="240" w:lineRule="auto"/>
              <w:rPr>
                <w:rFonts w:ascii="Times New Roman" w:eastAsia="Times New Roman" w:hAnsi="Times New Roman" w:cs="Times New Roman"/>
                <w:sz w:val="2"/>
                <w:szCs w:val="20"/>
                <w:lang w:eastAsia="it-IT"/>
              </w:rPr>
            </w:pPr>
          </w:p>
        </w:tc>
        <w:tc>
          <w:tcPr>
            <w:tcW w:w="584" w:type="dxa"/>
            <w:tcBorders>
              <w:top w:val="nil"/>
              <w:left w:val="nil"/>
              <w:bottom w:val="nil"/>
              <w:right w:val="nil"/>
            </w:tcBorders>
            <w:shd w:val="clear" w:color="auto" w:fill="auto"/>
            <w:noWrap/>
            <w:vAlign w:val="center"/>
            <w:hideMark/>
          </w:tcPr>
          <w:p w14:paraId="6152B47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506" w:type="dxa"/>
            <w:tcBorders>
              <w:top w:val="nil"/>
              <w:left w:val="nil"/>
              <w:bottom w:val="nil"/>
              <w:right w:val="nil"/>
            </w:tcBorders>
            <w:shd w:val="clear" w:color="auto" w:fill="auto"/>
            <w:noWrap/>
            <w:vAlign w:val="center"/>
            <w:hideMark/>
          </w:tcPr>
          <w:p w14:paraId="3CE164A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66F46679"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4F84DE8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Prospetto 1 - Situazione patrimoniale al 31 dicembre 2022</w:t>
            </w:r>
          </w:p>
        </w:tc>
        <w:tc>
          <w:tcPr>
            <w:tcW w:w="584" w:type="dxa"/>
            <w:tcBorders>
              <w:top w:val="nil"/>
              <w:left w:val="nil"/>
              <w:bottom w:val="nil"/>
              <w:right w:val="nil"/>
            </w:tcBorders>
            <w:shd w:val="clear" w:color="auto" w:fill="auto"/>
            <w:noWrap/>
            <w:vAlign w:val="center"/>
            <w:hideMark/>
          </w:tcPr>
          <w:p w14:paraId="375A52E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1F2B9B6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2E4EE1C9"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490C1D6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Prospetto 2 - Elenco perenti al 31 dicembre 2022</w:t>
            </w:r>
          </w:p>
        </w:tc>
        <w:tc>
          <w:tcPr>
            <w:tcW w:w="584" w:type="dxa"/>
            <w:tcBorders>
              <w:top w:val="nil"/>
              <w:left w:val="nil"/>
              <w:bottom w:val="nil"/>
              <w:right w:val="nil"/>
            </w:tcBorders>
            <w:shd w:val="clear" w:color="auto" w:fill="auto"/>
            <w:noWrap/>
            <w:vAlign w:val="center"/>
            <w:hideMark/>
          </w:tcPr>
          <w:p w14:paraId="70D1C6E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3AC8396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799EC05C"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2338ACC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Prospetto 3 - Decreti di variazioni alle previsioni di entrata</w:t>
            </w:r>
          </w:p>
        </w:tc>
        <w:tc>
          <w:tcPr>
            <w:tcW w:w="584" w:type="dxa"/>
            <w:tcBorders>
              <w:top w:val="nil"/>
              <w:left w:val="nil"/>
              <w:bottom w:val="nil"/>
              <w:right w:val="nil"/>
            </w:tcBorders>
            <w:shd w:val="clear" w:color="auto" w:fill="auto"/>
            <w:noWrap/>
            <w:vAlign w:val="center"/>
            <w:hideMark/>
          </w:tcPr>
          <w:p w14:paraId="5049BA3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377AB5D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49DA148A"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5A467FA8"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Prospetto 4 - Decreti di variazioni alle previsioni di spesa</w:t>
            </w:r>
          </w:p>
        </w:tc>
        <w:tc>
          <w:tcPr>
            <w:tcW w:w="584" w:type="dxa"/>
            <w:tcBorders>
              <w:top w:val="nil"/>
              <w:left w:val="nil"/>
              <w:bottom w:val="nil"/>
              <w:right w:val="nil"/>
            </w:tcBorders>
            <w:shd w:val="clear" w:color="auto" w:fill="auto"/>
            <w:noWrap/>
            <w:vAlign w:val="center"/>
            <w:hideMark/>
          </w:tcPr>
          <w:p w14:paraId="5D9C422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4EA277C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6D368111"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4E52C6A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Prospetto 5 - Avanzo di amministrazione al 31 dicembre 2022</w:t>
            </w:r>
          </w:p>
        </w:tc>
        <w:tc>
          <w:tcPr>
            <w:tcW w:w="584" w:type="dxa"/>
            <w:tcBorders>
              <w:top w:val="nil"/>
              <w:left w:val="nil"/>
              <w:bottom w:val="nil"/>
              <w:right w:val="nil"/>
            </w:tcBorders>
            <w:shd w:val="clear" w:color="auto" w:fill="auto"/>
            <w:noWrap/>
            <w:vAlign w:val="center"/>
            <w:hideMark/>
          </w:tcPr>
          <w:p w14:paraId="589BCA4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6BAD2A2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51668462"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5F0248D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Prospetto 6 - Rilevazione della tempestività dei pagamenti delle </w:t>
            </w:r>
          </w:p>
        </w:tc>
        <w:tc>
          <w:tcPr>
            <w:tcW w:w="584" w:type="dxa"/>
            <w:tcBorders>
              <w:top w:val="nil"/>
              <w:left w:val="nil"/>
              <w:bottom w:val="nil"/>
              <w:right w:val="nil"/>
            </w:tcBorders>
            <w:shd w:val="clear" w:color="auto" w:fill="auto"/>
            <w:noWrap/>
            <w:vAlign w:val="center"/>
            <w:hideMark/>
          </w:tcPr>
          <w:p w14:paraId="75B1F81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4788425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r w:rsidR="00F56356" w:rsidRPr="00F56356" w14:paraId="57A958E4" w14:textId="77777777" w:rsidTr="00F56356">
        <w:trPr>
          <w:trHeight w:val="315"/>
        </w:trPr>
        <w:tc>
          <w:tcPr>
            <w:tcW w:w="8310" w:type="dxa"/>
            <w:gridSpan w:val="2"/>
            <w:tcBorders>
              <w:top w:val="nil"/>
              <w:left w:val="nil"/>
              <w:bottom w:val="nil"/>
              <w:right w:val="nil"/>
            </w:tcBorders>
            <w:shd w:val="clear" w:color="auto" w:fill="auto"/>
            <w:noWrap/>
            <w:vAlign w:val="bottom"/>
            <w:hideMark/>
          </w:tcPr>
          <w:p w14:paraId="64F18FF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                      transazioni commerciali</w:t>
            </w:r>
          </w:p>
        </w:tc>
        <w:tc>
          <w:tcPr>
            <w:tcW w:w="584" w:type="dxa"/>
            <w:tcBorders>
              <w:top w:val="nil"/>
              <w:left w:val="nil"/>
              <w:bottom w:val="nil"/>
              <w:right w:val="nil"/>
            </w:tcBorders>
            <w:shd w:val="clear" w:color="auto" w:fill="auto"/>
            <w:noWrap/>
            <w:vAlign w:val="center"/>
            <w:hideMark/>
          </w:tcPr>
          <w:p w14:paraId="222C29C8"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506" w:type="dxa"/>
            <w:tcBorders>
              <w:top w:val="nil"/>
              <w:left w:val="nil"/>
              <w:bottom w:val="nil"/>
              <w:right w:val="nil"/>
            </w:tcBorders>
            <w:shd w:val="clear" w:color="auto" w:fill="auto"/>
            <w:noWrap/>
            <w:vAlign w:val="center"/>
            <w:hideMark/>
          </w:tcPr>
          <w:p w14:paraId="134BA29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r>
    </w:tbl>
    <w:p w14:paraId="134DFDAC" w14:textId="219B1B80"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08DFC793" w14:textId="5E23E48C"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2203C759" w14:textId="060357CF"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494C55B3" w14:textId="10808208"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2D0923C1" w14:textId="52AD7B74"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6465F0E6" w14:textId="35D786A4"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28550850" w14:textId="612CAA85"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099698C5" w14:textId="716F78FB"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5C8136F5" w14:textId="642645EB"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2B553E4F" w14:textId="77777777"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46930890" w14:textId="11BC5C73"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02335CFB" w14:textId="0782BB50"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3D58B366" w14:textId="0EE71788"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527E6B89" w14:textId="56F04A46"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5B5E41A9" w14:textId="4A09CF41"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7560C8CD" w14:textId="1D0458A9"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4ACA0C5B" w14:textId="4448EB68"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3C7BC149" w14:textId="72B2D273"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51408A2D" w14:textId="3401B8B0"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411717B2" w14:textId="2DF4E6C0"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27451A7C" w14:textId="2115CC82"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5C535950" w14:textId="049633D9" w:rsid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114FC0E2" w14:textId="77777777" w:rsidR="00F56356" w:rsidRPr="00F56356" w:rsidRDefault="00F56356" w:rsidP="00F56356">
      <w:pPr>
        <w:autoSpaceDE w:val="0"/>
        <w:autoSpaceDN w:val="0"/>
        <w:adjustRightInd w:val="0"/>
        <w:spacing w:after="0" w:line="240" w:lineRule="auto"/>
        <w:rPr>
          <w:rFonts w:ascii="Times New Roman" w:hAnsi="Times New Roman" w:cs="Times New Roman"/>
          <w:color w:val="000000"/>
          <w:sz w:val="24"/>
          <w:szCs w:val="24"/>
        </w:rPr>
      </w:pPr>
    </w:p>
    <w:p w14:paraId="320960DD" w14:textId="004432CC"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r w:rsidRPr="00F56356">
        <w:rPr>
          <w:rFonts w:ascii="Times New Roman" w:hAnsi="Times New Roman" w:cs="Times New Roman"/>
          <w:color w:val="000000"/>
          <w:sz w:val="23"/>
          <w:szCs w:val="23"/>
        </w:rPr>
        <w:t>SEZIONE I</w:t>
      </w:r>
    </w:p>
    <w:p w14:paraId="535D6445" w14:textId="77777777" w:rsidR="00F56356" w:rsidRP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44AF5926" w14:textId="2CD5CCA9" w:rsidR="00F56356" w:rsidRDefault="00F56356" w:rsidP="00F56356">
      <w:pPr>
        <w:spacing w:line="360" w:lineRule="auto"/>
        <w:ind w:left="284" w:hanging="284"/>
        <w:jc w:val="center"/>
      </w:pPr>
      <w:r w:rsidRPr="00F56356">
        <w:rPr>
          <w:rFonts w:ascii="Times New Roman" w:hAnsi="Times New Roman" w:cs="Times New Roman"/>
          <w:color w:val="000000"/>
          <w:sz w:val="23"/>
          <w:szCs w:val="23"/>
        </w:rPr>
        <w:t>PARTE GENERALE</w:t>
      </w:r>
    </w:p>
    <w:p w14:paraId="78288B2A" w14:textId="466FD21A" w:rsidR="00F56356" w:rsidRDefault="00F56356" w:rsidP="00CE6817">
      <w:pPr>
        <w:spacing w:line="360" w:lineRule="auto"/>
        <w:ind w:left="284" w:hanging="284"/>
        <w:jc w:val="both"/>
      </w:pPr>
    </w:p>
    <w:p w14:paraId="4ADC156C" w14:textId="782EB23D" w:rsidR="00F56356" w:rsidRDefault="00F56356" w:rsidP="00CE6817">
      <w:pPr>
        <w:spacing w:line="360" w:lineRule="auto"/>
        <w:ind w:left="284" w:hanging="284"/>
        <w:jc w:val="both"/>
      </w:pPr>
    </w:p>
    <w:p w14:paraId="3278BE7B" w14:textId="5D3032F3" w:rsidR="00F56356" w:rsidRDefault="00F56356" w:rsidP="00CE6817">
      <w:pPr>
        <w:spacing w:line="360" w:lineRule="auto"/>
        <w:ind w:left="284" w:hanging="284"/>
        <w:jc w:val="both"/>
      </w:pPr>
    </w:p>
    <w:p w14:paraId="1D1F6BF2" w14:textId="597CEA52" w:rsidR="00F56356" w:rsidRDefault="00F56356" w:rsidP="00CE6817">
      <w:pPr>
        <w:spacing w:line="360" w:lineRule="auto"/>
        <w:ind w:left="284" w:hanging="284"/>
        <w:jc w:val="both"/>
      </w:pPr>
    </w:p>
    <w:p w14:paraId="2836299A" w14:textId="40E6BC4E" w:rsidR="00F56356" w:rsidRDefault="00F56356" w:rsidP="00CE6817">
      <w:pPr>
        <w:spacing w:line="360" w:lineRule="auto"/>
        <w:ind w:left="284" w:hanging="284"/>
        <w:jc w:val="both"/>
      </w:pPr>
    </w:p>
    <w:p w14:paraId="6ED2E17D" w14:textId="2B215A7E" w:rsidR="00F56356" w:rsidRDefault="00F56356" w:rsidP="00CE6817">
      <w:pPr>
        <w:spacing w:line="360" w:lineRule="auto"/>
        <w:ind w:left="284" w:hanging="284"/>
        <w:jc w:val="both"/>
      </w:pPr>
    </w:p>
    <w:p w14:paraId="399964C6" w14:textId="4CBBC0F8" w:rsidR="00F56356" w:rsidRDefault="00F56356" w:rsidP="00CE6817">
      <w:pPr>
        <w:spacing w:line="360" w:lineRule="auto"/>
        <w:ind w:left="284" w:hanging="284"/>
        <w:jc w:val="both"/>
      </w:pPr>
    </w:p>
    <w:p w14:paraId="59E6B70B" w14:textId="03090FBF" w:rsidR="00F56356" w:rsidRDefault="00F56356" w:rsidP="00CE6817">
      <w:pPr>
        <w:spacing w:line="360" w:lineRule="auto"/>
        <w:ind w:left="284" w:hanging="284"/>
        <w:jc w:val="both"/>
      </w:pPr>
    </w:p>
    <w:p w14:paraId="0DADB156" w14:textId="5B78E465" w:rsidR="00F56356" w:rsidRDefault="00F56356" w:rsidP="00CE6817">
      <w:pPr>
        <w:spacing w:line="360" w:lineRule="auto"/>
        <w:ind w:left="284" w:hanging="284"/>
        <w:jc w:val="both"/>
      </w:pPr>
    </w:p>
    <w:p w14:paraId="47DED15B" w14:textId="4A1261A8" w:rsidR="00F56356" w:rsidRDefault="00F56356" w:rsidP="00CE6817">
      <w:pPr>
        <w:spacing w:line="360" w:lineRule="auto"/>
        <w:ind w:left="284" w:hanging="284"/>
        <w:jc w:val="both"/>
      </w:pPr>
    </w:p>
    <w:p w14:paraId="3E393C74" w14:textId="34D1007D" w:rsidR="00F56356" w:rsidRDefault="00F56356" w:rsidP="00CE6817">
      <w:pPr>
        <w:spacing w:line="360" w:lineRule="auto"/>
        <w:ind w:left="284" w:hanging="284"/>
        <w:jc w:val="both"/>
      </w:pPr>
    </w:p>
    <w:p w14:paraId="3A90273A" w14:textId="473DAEB7" w:rsidR="00F56356" w:rsidRDefault="00F56356" w:rsidP="00CE6817">
      <w:pPr>
        <w:spacing w:line="360" w:lineRule="auto"/>
        <w:ind w:left="284" w:hanging="284"/>
        <w:jc w:val="both"/>
      </w:pPr>
    </w:p>
    <w:p w14:paraId="3FB111C2" w14:textId="77777777" w:rsidR="00CE6817" w:rsidRPr="001A05F2" w:rsidRDefault="00CE6817" w:rsidP="00CE6817">
      <w:pPr>
        <w:pStyle w:val="Paragrafoelenco"/>
        <w:numPr>
          <w:ilvl w:val="0"/>
          <w:numId w:val="12"/>
        </w:numPr>
        <w:spacing w:line="360" w:lineRule="auto"/>
        <w:ind w:left="284" w:hanging="284"/>
        <w:jc w:val="both"/>
        <w:rPr>
          <w:b/>
          <w:bCs/>
          <w:sz w:val="24"/>
          <w:szCs w:val="24"/>
        </w:rPr>
      </w:pPr>
      <w:r w:rsidRPr="001A05F2">
        <w:rPr>
          <w:b/>
          <w:bCs/>
          <w:sz w:val="24"/>
          <w:szCs w:val="24"/>
        </w:rPr>
        <w:lastRenderedPageBreak/>
        <w:t>PREMESSA</w:t>
      </w:r>
    </w:p>
    <w:p w14:paraId="0703090F" w14:textId="0BB7BDC9" w:rsidR="00CE6817" w:rsidRPr="001A05F2" w:rsidRDefault="00CE6817" w:rsidP="00CE6817">
      <w:pPr>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color w:val="000000"/>
          <w:sz w:val="24"/>
          <w:szCs w:val="24"/>
        </w:rPr>
        <w:t>Il conto finanziario 2022 della Presidenza del Consiglio dei ministri è redatto in conformità al disposto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articolo 13 del decreto del Presidente del Consiglio dei ministri 22 novembre 2010, che </w:t>
      </w:r>
      <w:r w:rsidRPr="001A05F2">
        <w:rPr>
          <w:rFonts w:ascii="Times New Roman" w:hAnsi="Times New Roman" w:cs="Times New Roman"/>
          <w:iCs/>
          <w:color w:val="000000"/>
          <w:sz w:val="24"/>
          <w:szCs w:val="24"/>
        </w:rPr>
        <w:t>disciplina l</w:t>
      </w:r>
      <w:r w:rsidR="00877AAF">
        <w:rPr>
          <w:rFonts w:ascii="Times New Roman" w:hAnsi="Times New Roman" w:cs="Times New Roman"/>
          <w:iCs/>
          <w:color w:val="000000"/>
          <w:sz w:val="24"/>
          <w:szCs w:val="24"/>
        </w:rPr>
        <w:t>’</w:t>
      </w:r>
      <w:r w:rsidRPr="001A05F2">
        <w:rPr>
          <w:rFonts w:ascii="Times New Roman" w:hAnsi="Times New Roman" w:cs="Times New Roman"/>
          <w:iCs/>
          <w:color w:val="000000"/>
          <w:sz w:val="24"/>
          <w:szCs w:val="24"/>
        </w:rPr>
        <w:t xml:space="preserve">autonomia finanziaria e contabile della Presidenza del Consiglio dei ministri </w:t>
      </w:r>
      <w:r w:rsidRPr="001A05F2">
        <w:rPr>
          <w:rFonts w:ascii="Times New Roman" w:hAnsi="Times New Roman" w:cs="Times New Roman"/>
          <w:color w:val="000000"/>
          <w:sz w:val="24"/>
          <w:szCs w:val="24"/>
        </w:rPr>
        <w:t xml:space="preserve">ed espone i risultati della gestione del bilancio di previsione 2022, </w:t>
      </w:r>
      <w:r w:rsidRPr="001A05F2">
        <w:rPr>
          <w:rFonts w:ascii="Times New Roman" w:hAnsi="Times New Roman" w:cs="Times New Roman"/>
          <w:color w:val="000000" w:themeColor="text1"/>
          <w:sz w:val="24"/>
          <w:szCs w:val="24"/>
        </w:rPr>
        <w:t>approvato con decreto del Presidente del Consiglio dei ministri 20 dicembre 2021.</w:t>
      </w:r>
    </w:p>
    <w:p w14:paraId="1A7F462A" w14:textId="11A21236"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Il documento illustra i risultati della gestione del bilancio per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entrata e la spesa distintamente per competenza e residui. In particolare, nel conto finanziario sono illustrate le entrate iniziali e definitive di competenza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anno, accertate, riscosse e rimaste da riscuotere, nonché le spese di competenza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anno iniziali e definitive, impegnate, pagate e rimaste da pagare. </w:t>
      </w:r>
      <w:r>
        <w:rPr>
          <w:rFonts w:ascii="Times New Roman" w:hAnsi="Times New Roman" w:cs="Times New Roman"/>
          <w:color w:val="000000"/>
          <w:sz w:val="24"/>
          <w:szCs w:val="24"/>
        </w:rPr>
        <w:t>È</w:t>
      </w:r>
      <w:r w:rsidRPr="001A05F2">
        <w:rPr>
          <w:rFonts w:ascii="Times New Roman" w:hAnsi="Times New Roman" w:cs="Times New Roman"/>
          <w:color w:val="000000"/>
          <w:sz w:val="24"/>
          <w:szCs w:val="24"/>
        </w:rPr>
        <w:t>, altresì, evidenziato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avanzo di esercizio e, con evidenza separata, è rappresentata la gestione dei residui passivi degli esercizi precedenti. Al conto finanziario sono allegati il prospetto riepilogativo della situazione patrimoniale (cfr. Prospetto 1),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elenco dei residui passivi perenti (cfr. Prospetto 2),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elenco dei decreti di variazione di bilancio (cfr. Prospetti 3 e 4)</w:t>
      </w:r>
      <w:r w:rsidR="00C4179D">
        <w:rPr>
          <w:rFonts w:ascii="Times New Roman" w:hAnsi="Times New Roman" w:cs="Times New Roman"/>
          <w:color w:val="000000"/>
          <w:sz w:val="24"/>
          <w:szCs w:val="24"/>
        </w:rPr>
        <w:t xml:space="preserve"> e</w:t>
      </w:r>
      <w:r w:rsidRPr="001A05F2">
        <w:rPr>
          <w:rFonts w:ascii="Times New Roman" w:hAnsi="Times New Roman" w:cs="Times New Roman"/>
          <w:color w:val="000000"/>
          <w:sz w:val="24"/>
          <w:szCs w:val="24"/>
        </w:rPr>
        <w:t xml:space="preserve"> il prospetto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avanzo di amministrazione (cfr. Prospetto 5). Inoltre, ai sensi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articolo 41, comma 1, del decreto-legge 24 aprile 2014, n. 66, convertito, con modificazioni, dalla legge 23 giugno 2014, n. 89, è allegato il prospetto attestante l</w:t>
      </w:r>
      <w:r w:rsidR="00877AAF">
        <w:rPr>
          <w:rFonts w:ascii="Times New Roman" w:hAnsi="Times New Roman" w:cs="Times New Roman"/>
          <w:color w:val="000000"/>
          <w:sz w:val="24"/>
          <w:szCs w:val="24"/>
        </w:rPr>
        <w:t>’</w:t>
      </w:r>
      <w:r w:rsidR="003B189C">
        <w:rPr>
          <w:rFonts w:ascii="Times New Roman" w:hAnsi="Times New Roman" w:cs="Times New Roman"/>
          <w:color w:val="000000"/>
          <w:sz w:val="24"/>
          <w:szCs w:val="24"/>
        </w:rPr>
        <w:t xml:space="preserve">importo dei pagamenti, </w:t>
      </w:r>
      <w:r w:rsidRPr="001A05F2">
        <w:rPr>
          <w:rFonts w:ascii="Times New Roman" w:hAnsi="Times New Roman" w:cs="Times New Roman"/>
          <w:color w:val="000000"/>
          <w:sz w:val="24"/>
          <w:szCs w:val="24"/>
        </w:rPr>
        <w:t>relativi a transazioni commerciali</w:t>
      </w:r>
      <w:r w:rsidR="002E6199">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 effettuati nel corso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anno 2022 dopo la scadenza dei termini previsti dal decreto legislativo 9 ottobre 2002, n. 231, e successive modificazioni, nonché le misure adottate o previste per consentire la tempestiva effettuazione dei pagamenti. In tale prospetto, è riportato anche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indicatore dei tempi medi di pagamento per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anno 2022, così come disposto dalla suindicata normativa.</w:t>
      </w:r>
    </w:p>
    <w:p w14:paraId="1FB37833" w14:textId="77777777" w:rsidR="00CE6817" w:rsidRPr="001A05F2" w:rsidRDefault="00CE6817" w:rsidP="00CE6817">
      <w:pPr>
        <w:spacing w:after="0" w:line="360" w:lineRule="auto"/>
        <w:jc w:val="both"/>
        <w:rPr>
          <w:rFonts w:ascii="Times New Roman" w:hAnsi="Times New Roman" w:cs="Times New Roman"/>
          <w:color w:val="000000"/>
          <w:sz w:val="24"/>
          <w:szCs w:val="24"/>
        </w:rPr>
      </w:pPr>
    </w:p>
    <w:p w14:paraId="4317062F" w14:textId="77777777" w:rsidR="00CE6817" w:rsidRPr="001A05F2" w:rsidRDefault="00CE6817" w:rsidP="00CE6817">
      <w:pPr>
        <w:spacing w:after="0" w:line="360" w:lineRule="auto"/>
        <w:jc w:val="both"/>
        <w:rPr>
          <w:rFonts w:ascii="Times New Roman" w:hAnsi="Times New Roman" w:cs="Times New Roman"/>
          <w:b/>
          <w:color w:val="000000"/>
          <w:sz w:val="24"/>
          <w:szCs w:val="24"/>
        </w:rPr>
      </w:pPr>
      <w:r w:rsidRPr="001A05F2">
        <w:rPr>
          <w:rFonts w:ascii="Times New Roman" w:hAnsi="Times New Roman" w:cs="Times New Roman"/>
          <w:b/>
          <w:color w:val="000000"/>
          <w:sz w:val="24"/>
          <w:szCs w:val="24"/>
        </w:rPr>
        <w:t>2. STRUTTURA DEL CONTO FINANZIARIO</w:t>
      </w:r>
    </w:p>
    <w:p w14:paraId="655501C1" w14:textId="4EA656AA"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Nel conto finanziario della Presidenza del Consiglio dei ministri i dati finanziari relativi all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entrata sono articolati in titoli, categorie e capitoli. Per la spesa, i dati sono articolati per missioni e programmi, affidati a ciascun centro di responsabilità. Tale rappresentazione riflette la struttura del bilancio di previsione, articolato per missioni e programmi corrispondenti a quelli iscritti nel bilancio dello Stato, che consente un chiaro raccordo contabile e finanziario con le risorse appostate su quest</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ultimo e assicura la tracciabilità dei flussi finanziari. I programmi di spesa sono disaggregati in titoli per tipologia di spesa, a loro volta ripartiti in </w:t>
      </w:r>
      <w:proofErr w:type="spellStart"/>
      <w:r w:rsidRPr="001A05F2">
        <w:rPr>
          <w:rFonts w:ascii="Times New Roman" w:hAnsi="Times New Roman" w:cs="Times New Roman"/>
          <w:color w:val="000000"/>
          <w:sz w:val="24"/>
          <w:szCs w:val="24"/>
        </w:rPr>
        <w:t>macroaggregati</w:t>
      </w:r>
      <w:proofErr w:type="spellEnd"/>
      <w:r w:rsidRPr="001A05F2">
        <w:rPr>
          <w:rFonts w:ascii="Times New Roman" w:hAnsi="Times New Roman" w:cs="Times New Roman"/>
          <w:color w:val="000000"/>
          <w:sz w:val="24"/>
          <w:szCs w:val="24"/>
        </w:rPr>
        <w:t xml:space="preserve"> - funzionamento, interventi, spese in conto capitale e partite di giro - all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interno dei quali sono presenti i capitoli denominati secondo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oggetto della spesa. Per ogni capitolo è indicata la categoria economica e la classificazione funzionale in base allo </w:t>
      </w:r>
      <w:r w:rsidRPr="00C74D3C">
        <w:rPr>
          <w:rFonts w:ascii="Times New Roman" w:hAnsi="Times New Roman" w:cs="Times New Roman"/>
          <w:i/>
          <w:color w:val="000000"/>
          <w:sz w:val="24"/>
          <w:szCs w:val="24"/>
        </w:rPr>
        <w:t>standard</w:t>
      </w:r>
      <w:r w:rsidRPr="001A05F2">
        <w:rPr>
          <w:rFonts w:ascii="Times New Roman" w:hAnsi="Times New Roman" w:cs="Times New Roman"/>
          <w:color w:val="000000"/>
          <w:sz w:val="24"/>
          <w:szCs w:val="24"/>
        </w:rPr>
        <w:t xml:space="preserve"> internazionale (COFOG).</w:t>
      </w:r>
    </w:p>
    <w:p w14:paraId="09312A4D" w14:textId="615C8209"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Il conto finanziario, ai sensi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articolo 13, comma 4, del citato decreto del Presidente del Consiglio dei ministri 22 novembre 2010, è altresì accompagnato da una relazione del Segretario generale che si </w:t>
      </w:r>
      <w:r w:rsidRPr="001A05F2">
        <w:rPr>
          <w:rFonts w:ascii="Times New Roman" w:hAnsi="Times New Roman" w:cs="Times New Roman"/>
          <w:color w:val="000000"/>
          <w:sz w:val="24"/>
          <w:szCs w:val="24"/>
        </w:rPr>
        <w:lastRenderedPageBreak/>
        <w:t xml:space="preserve">articola in due sezioni. La prima illustra “i risultati complessivi della gestione in correlazione con la programmazione finanziaria esposta nel bilancio di previsione”; la seconda evidenzia “i risultati della gestione dei singoli programmi riferiti a ciascun centro di responsabilità”. </w:t>
      </w:r>
    </w:p>
    <w:p w14:paraId="3E306FA4" w14:textId="1463B2E2"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Tale relazione dà conto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allocazione e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impiego delle risorse in coerenza con le missioni istituzionali. Espone, rispetto alle azioni programmate e agli obiettivi perseguiti, le attività realizzate evidenziando i destinatari dell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intervento o del servizio, nonché i risultati raggiunti.</w:t>
      </w:r>
    </w:p>
    <w:p w14:paraId="6337ABBC" w14:textId="6FAB40D8"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Nella prima parte della relazione, le diverse componenti della spesa - personale, beni e servizi, interventi e investimenti - sono rappresentate mettendo in evidenza, con apposite tabelle e grafici, i risultati della gestione nonché il loro andamento nel triennio 2020-2022.</w:t>
      </w:r>
    </w:p>
    <w:p w14:paraId="69C43E3C" w14:textId="77777777"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 xml:space="preserve">Nella seconda parte, per ciascun centro di responsabilità, viene data dimostrazione degli obiettivi perseguiti, delle attività svolte e dei risultati ottenuti. </w:t>
      </w:r>
    </w:p>
    <w:p w14:paraId="28947610" w14:textId="323957B2" w:rsidR="00CE6817" w:rsidRPr="001A05F2" w:rsidRDefault="00CE6817" w:rsidP="00CE6817">
      <w:pPr>
        <w:spacing w:after="0" w:line="360" w:lineRule="auto"/>
        <w:jc w:val="both"/>
        <w:rPr>
          <w:rFonts w:ascii="Times New Roman" w:hAnsi="Times New Roman" w:cs="Times New Roman"/>
          <w:sz w:val="24"/>
          <w:szCs w:val="24"/>
        </w:rPr>
      </w:pPr>
      <w:r w:rsidRPr="001A05F2">
        <w:rPr>
          <w:rFonts w:ascii="Times New Roman" w:hAnsi="Times New Roman" w:cs="Times New Roman"/>
          <w:sz w:val="24"/>
          <w:szCs w:val="24"/>
        </w:rPr>
        <w:t>Nel 2022, come negli anni precedenti, oltre agli indicatori di realizzazione finanziaria - capacità di impegno, capacità di pagamento e</w:t>
      </w:r>
      <w:r w:rsidR="00D66758">
        <w:rPr>
          <w:rFonts w:ascii="Times New Roman" w:hAnsi="Times New Roman" w:cs="Times New Roman"/>
          <w:sz w:val="24"/>
          <w:szCs w:val="24"/>
        </w:rPr>
        <w:t xml:space="preserve"> capacità</w:t>
      </w:r>
      <w:r w:rsidRPr="001A05F2">
        <w:rPr>
          <w:rFonts w:ascii="Times New Roman" w:hAnsi="Times New Roman" w:cs="Times New Roman"/>
          <w:sz w:val="24"/>
          <w:szCs w:val="24"/>
        </w:rPr>
        <w:t xml:space="preserve"> di smaltimento dei residui - sono stati individuati, da ciascun centro di responsabilità, anche specifici indicatori di risultato ritenuti rispondenti a rappresentare gli obiettivi da perseguire, in relazione alla propria </w:t>
      </w:r>
      <w:r w:rsidRPr="001A05F2">
        <w:rPr>
          <w:rFonts w:ascii="Times New Roman" w:hAnsi="Times New Roman" w:cs="Times New Roman"/>
          <w:i/>
          <w:sz w:val="24"/>
          <w:szCs w:val="24"/>
        </w:rPr>
        <w:t>mission</w:t>
      </w:r>
      <w:r w:rsidRPr="001A05F2">
        <w:rPr>
          <w:rFonts w:ascii="Times New Roman" w:hAnsi="Times New Roman" w:cs="Times New Roman"/>
          <w:sz w:val="24"/>
          <w:szCs w:val="24"/>
        </w:rPr>
        <w:t xml:space="preserve"> istituzionale.</w:t>
      </w:r>
    </w:p>
    <w:p w14:paraId="62821DBA" w14:textId="1D1BC1CB" w:rsidR="00CE6817" w:rsidRPr="001A05F2" w:rsidRDefault="00CE6817" w:rsidP="00CE6817">
      <w:pPr>
        <w:spacing w:after="0" w:line="360" w:lineRule="auto"/>
        <w:jc w:val="both"/>
        <w:rPr>
          <w:rFonts w:ascii="Times New Roman" w:hAnsi="Times New Roman" w:cs="Times New Roman"/>
          <w:sz w:val="24"/>
          <w:szCs w:val="24"/>
        </w:rPr>
      </w:pPr>
      <w:r w:rsidRPr="001A05F2">
        <w:rPr>
          <w:rFonts w:ascii="Times New Roman" w:hAnsi="Times New Roman" w:cs="Times New Roman"/>
          <w:sz w:val="24"/>
          <w:szCs w:val="24"/>
        </w:rPr>
        <w:t xml:space="preserve">Per la misurazione del grado di realizzazione degli obiettivi sono stati messi a confronto, attraverso gli appositi indicatori associati ai capitoli per ogni programma di spesa, i risultati attesi con i risultati conseguiti al termine della gestione 2022. </w:t>
      </w:r>
    </w:p>
    <w:p w14:paraId="34BB4136" w14:textId="77777777"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 xml:space="preserve">Per ciascun indicatore sono stati riportati i valori </w:t>
      </w:r>
      <w:r w:rsidRPr="00C74D3C">
        <w:rPr>
          <w:rFonts w:ascii="Times New Roman" w:hAnsi="Times New Roman" w:cs="Times New Roman"/>
          <w:i/>
          <w:color w:val="000000"/>
          <w:sz w:val="24"/>
          <w:szCs w:val="24"/>
        </w:rPr>
        <w:t>target</w:t>
      </w:r>
      <w:r w:rsidRPr="001A05F2">
        <w:rPr>
          <w:rFonts w:ascii="Times New Roman" w:hAnsi="Times New Roman" w:cs="Times New Roman"/>
          <w:color w:val="000000"/>
          <w:sz w:val="24"/>
          <w:szCs w:val="24"/>
        </w:rPr>
        <w:t xml:space="preserve"> attesi e quelli realizzati e sono stati motivati gli eventuali scostamenti dal valore </w:t>
      </w:r>
      <w:r w:rsidRPr="00C74D3C">
        <w:rPr>
          <w:rFonts w:ascii="Times New Roman" w:hAnsi="Times New Roman" w:cs="Times New Roman"/>
          <w:i/>
          <w:color w:val="000000"/>
          <w:sz w:val="24"/>
          <w:szCs w:val="24"/>
        </w:rPr>
        <w:t>target</w:t>
      </w:r>
      <w:r w:rsidRPr="001A05F2">
        <w:rPr>
          <w:rFonts w:ascii="Times New Roman" w:hAnsi="Times New Roman" w:cs="Times New Roman"/>
          <w:color w:val="000000"/>
          <w:sz w:val="24"/>
          <w:szCs w:val="24"/>
        </w:rPr>
        <w:t xml:space="preserve"> previsto per ciascun capitolo di spesa, specificando le ragioni che hanno determinato il mancato o parziale conseguimento del risultato atteso.</w:t>
      </w:r>
    </w:p>
    <w:p w14:paraId="0EC189E4" w14:textId="77777777" w:rsidR="00CE6817" w:rsidRPr="001A05F2" w:rsidRDefault="00CE6817" w:rsidP="00CE6817">
      <w:pPr>
        <w:spacing w:after="0" w:line="360" w:lineRule="auto"/>
        <w:jc w:val="both"/>
        <w:rPr>
          <w:rFonts w:ascii="Times New Roman" w:hAnsi="Times New Roman" w:cs="Times New Roman"/>
          <w:b/>
          <w:color w:val="000000"/>
          <w:sz w:val="24"/>
          <w:szCs w:val="24"/>
        </w:rPr>
      </w:pPr>
    </w:p>
    <w:p w14:paraId="31D39811" w14:textId="77777777" w:rsidR="00CE6817" w:rsidRPr="001A05F2" w:rsidRDefault="00CE6817" w:rsidP="00CE6817">
      <w:pPr>
        <w:spacing w:after="0" w:line="360" w:lineRule="auto"/>
        <w:jc w:val="both"/>
        <w:rPr>
          <w:rFonts w:ascii="Times New Roman" w:hAnsi="Times New Roman" w:cs="Times New Roman"/>
          <w:b/>
          <w:color w:val="000000"/>
          <w:sz w:val="24"/>
          <w:szCs w:val="24"/>
        </w:rPr>
      </w:pPr>
      <w:r w:rsidRPr="001A05F2">
        <w:rPr>
          <w:rFonts w:ascii="Times New Roman" w:hAnsi="Times New Roman" w:cs="Times New Roman"/>
          <w:b/>
          <w:color w:val="000000"/>
          <w:sz w:val="24"/>
          <w:szCs w:val="24"/>
        </w:rPr>
        <w:t>3.  MISSION DELLA PRESIDENZA DEL CONSIGLIO DEI MINISTRI</w:t>
      </w:r>
    </w:p>
    <w:p w14:paraId="1D7D8C69" w14:textId="2C09EC2F" w:rsidR="00CE6817" w:rsidRPr="001A05F2" w:rsidRDefault="00CE6817" w:rsidP="00CE6817">
      <w:pPr>
        <w:pStyle w:val="Titolo2"/>
        <w:spacing w:before="0" w:beforeAutospacing="0" w:after="0" w:afterAutospacing="0" w:line="360" w:lineRule="auto"/>
        <w:jc w:val="both"/>
        <w:rPr>
          <w:b w:val="0"/>
          <w:sz w:val="24"/>
          <w:szCs w:val="24"/>
        </w:rPr>
      </w:pPr>
      <w:r w:rsidRPr="001A05F2">
        <w:rPr>
          <w:b w:val="0"/>
          <w:color w:val="000000"/>
          <w:sz w:val="24"/>
          <w:szCs w:val="24"/>
        </w:rPr>
        <w:t>La Presidenza del Consiglio dei ministri, ai sensi del decreto legislativo 30 luglio 1999, n. 303, è la struttura di cui si avvale il Presidente del Consiglio dei ministri per l</w:t>
      </w:r>
      <w:r w:rsidR="00877AAF">
        <w:rPr>
          <w:b w:val="0"/>
          <w:color w:val="000000"/>
          <w:sz w:val="24"/>
          <w:szCs w:val="24"/>
        </w:rPr>
        <w:t>’</w:t>
      </w:r>
      <w:r w:rsidRPr="001A05F2">
        <w:rPr>
          <w:b w:val="0"/>
          <w:color w:val="000000"/>
          <w:sz w:val="24"/>
          <w:szCs w:val="24"/>
        </w:rPr>
        <w:t>esercizio delle autonome funzioni di impulso, indirizzo e coordinamento della politica generale di Governo. In particolare</w:t>
      </w:r>
      <w:r w:rsidR="00D66758">
        <w:rPr>
          <w:b w:val="0"/>
          <w:color w:val="000000"/>
          <w:sz w:val="24"/>
          <w:szCs w:val="24"/>
        </w:rPr>
        <w:t>,</w:t>
      </w:r>
      <w:r w:rsidRPr="001A05F2">
        <w:rPr>
          <w:b w:val="0"/>
          <w:color w:val="000000"/>
          <w:sz w:val="24"/>
          <w:szCs w:val="24"/>
        </w:rPr>
        <w:t xml:space="preserve"> </w:t>
      </w:r>
      <w:r w:rsidR="0029316E">
        <w:rPr>
          <w:b w:val="0"/>
          <w:color w:val="000000"/>
          <w:sz w:val="24"/>
          <w:szCs w:val="24"/>
        </w:rPr>
        <w:t>l</w:t>
      </w:r>
      <w:r w:rsidRPr="001A05F2">
        <w:rPr>
          <w:b w:val="0"/>
          <w:color w:val="000000"/>
          <w:sz w:val="24"/>
          <w:szCs w:val="24"/>
        </w:rPr>
        <w:t xml:space="preserve">e strutture generali in cui si articola la </w:t>
      </w:r>
      <w:r w:rsidR="00C74D3C">
        <w:rPr>
          <w:b w:val="0"/>
          <w:color w:val="000000"/>
          <w:sz w:val="24"/>
          <w:szCs w:val="24"/>
        </w:rPr>
        <w:t>Presidenza</w:t>
      </w:r>
      <w:r w:rsidRPr="001A05F2">
        <w:rPr>
          <w:b w:val="0"/>
          <w:color w:val="000000"/>
          <w:sz w:val="24"/>
          <w:szCs w:val="24"/>
        </w:rPr>
        <w:t xml:space="preserve"> cura</w:t>
      </w:r>
      <w:r w:rsidR="00C74D3C">
        <w:rPr>
          <w:b w:val="0"/>
          <w:color w:val="000000"/>
          <w:sz w:val="24"/>
          <w:szCs w:val="24"/>
        </w:rPr>
        <w:t>no</w:t>
      </w:r>
      <w:r w:rsidRPr="001A05F2">
        <w:rPr>
          <w:b w:val="0"/>
          <w:color w:val="000000"/>
          <w:sz w:val="24"/>
          <w:szCs w:val="24"/>
        </w:rPr>
        <w:t xml:space="preserve"> gli adempimenti relativi ai rapporti del Governo con il Parlamento, i rapporti con le istituzioni europee, con il sistema delle autonomie e con le confessioni religiose. Provvede, inoltre, al coordinamento dell</w:t>
      </w:r>
      <w:r w:rsidR="00877AAF">
        <w:rPr>
          <w:b w:val="0"/>
          <w:color w:val="000000"/>
          <w:sz w:val="24"/>
          <w:szCs w:val="24"/>
        </w:rPr>
        <w:t>’</w:t>
      </w:r>
      <w:r w:rsidRPr="001A05F2">
        <w:rPr>
          <w:b w:val="0"/>
          <w:color w:val="000000"/>
          <w:sz w:val="24"/>
          <w:szCs w:val="24"/>
        </w:rPr>
        <w:t xml:space="preserve">attività normativa e amministrativa del Governo, al coordinamento delle attività di comunicazione istituzionale, di informazione, </w:t>
      </w:r>
      <w:r w:rsidR="00C74D3C">
        <w:rPr>
          <w:b w:val="0"/>
          <w:color w:val="000000"/>
          <w:sz w:val="24"/>
          <w:szCs w:val="24"/>
        </w:rPr>
        <w:t xml:space="preserve">di </w:t>
      </w:r>
      <w:r w:rsidRPr="001A05F2">
        <w:rPr>
          <w:b w:val="0"/>
          <w:color w:val="000000"/>
          <w:sz w:val="24"/>
          <w:szCs w:val="24"/>
        </w:rPr>
        <w:t xml:space="preserve">editoria, di </w:t>
      </w:r>
      <w:r w:rsidRPr="001A05F2">
        <w:rPr>
          <w:b w:val="0"/>
          <w:sz w:val="24"/>
          <w:szCs w:val="24"/>
        </w:rPr>
        <w:t xml:space="preserve">programmazione della politica economica e </w:t>
      </w:r>
      <w:r w:rsidR="00C74D3C">
        <w:rPr>
          <w:b w:val="0"/>
          <w:sz w:val="24"/>
          <w:szCs w:val="24"/>
        </w:rPr>
        <w:t>di</w:t>
      </w:r>
      <w:r w:rsidRPr="001A05F2">
        <w:rPr>
          <w:b w:val="0"/>
          <w:sz w:val="24"/>
          <w:szCs w:val="24"/>
        </w:rPr>
        <w:t xml:space="preserve"> programmazione e coordinamento della politica di coesione</w:t>
      </w:r>
      <w:r w:rsidRPr="001A05F2">
        <w:rPr>
          <w:b w:val="0"/>
          <w:color w:val="000000"/>
          <w:sz w:val="24"/>
          <w:szCs w:val="24"/>
        </w:rPr>
        <w:t xml:space="preserve">. Svolge compiti relativi al monitoraggio dello stato di attuazione del programma di Governo e delle politiche settoriali, al </w:t>
      </w:r>
      <w:r w:rsidRPr="001A05F2">
        <w:rPr>
          <w:b w:val="0"/>
          <w:sz w:val="24"/>
          <w:szCs w:val="24"/>
        </w:rPr>
        <w:t xml:space="preserve">coordinamento e </w:t>
      </w:r>
      <w:r w:rsidR="00C74D3C">
        <w:rPr>
          <w:b w:val="0"/>
          <w:sz w:val="24"/>
          <w:szCs w:val="24"/>
        </w:rPr>
        <w:t xml:space="preserve">alla </w:t>
      </w:r>
      <w:r w:rsidRPr="001A05F2">
        <w:rPr>
          <w:b w:val="0"/>
          <w:sz w:val="24"/>
          <w:szCs w:val="24"/>
        </w:rPr>
        <w:t>verifica delle attività in materia di organizzazione e funzionamento delle pubbliche amministrazioni, anche con riferimento alle innovazioni dei modelli organizzativi e procedurali finalizzate all</w:t>
      </w:r>
      <w:r w:rsidR="00877AAF">
        <w:rPr>
          <w:b w:val="0"/>
          <w:sz w:val="24"/>
          <w:szCs w:val="24"/>
        </w:rPr>
        <w:t>’</w:t>
      </w:r>
      <w:r w:rsidRPr="001A05F2">
        <w:rPr>
          <w:b w:val="0"/>
          <w:sz w:val="24"/>
          <w:szCs w:val="24"/>
        </w:rPr>
        <w:t>efficienza, efficacia ed economicità dell</w:t>
      </w:r>
      <w:r w:rsidR="00877AAF">
        <w:rPr>
          <w:b w:val="0"/>
          <w:sz w:val="24"/>
          <w:szCs w:val="24"/>
        </w:rPr>
        <w:t>’</w:t>
      </w:r>
      <w:r w:rsidRPr="001A05F2">
        <w:rPr>
          <w:b w:val="0"/>
          <w:sz w:val="24"/>
          <w:szCs w:val="24"/>
        </w:rPr>
        <w:t xml:space="preserve">azione </w:t>
      </w:r>
      <w:r w:rsidRPr="001A05F2">
        <w:rPr>
          <w:b w:val="0"/>
          <w:sz w:val="24"/>
          <w:szCs w:val="24"/>
        </w:rPr>
        <w:lastRenderedPageBreak/>
        <w:t xml:space="preserve">amministrativa, nonché al coordinamento in materia di lavoro nelle pubbliche amministrazioni. </w:t>
      </w:r>
      <w:r w:rsidR="00C74D3C">
        <w:rPr>
          <w:b w:val="0"/>
          <w:sz w:val="24"/>
          <w:szCs w:val="24"/>
        </w:rPr>
        <w:t>A</w:t>
      </w:r>
      <w:r w:rsidRPr="001A05F2">
        <w:rPr>
          <w:b w:val="0"/>
          <w:sz w:val="24"/>
          <w:szCs w:val="24"/>
        </w:rPr>
        <w:t>ssicura, altresì, il supporto alle funzioni:</w:t>
      </w:r>
    </w:p>
    <w:p w14:paraId="74804F83" w14:textId="77777777" w:rsidR="00CE6817" w:rsidRPr="001A05F2" w:rsidRDefault="00CE6817" w:rsidP="00CE6817">
      <w:pPr>
        <w:pStyle w:val="Titolo2"/>
        <w:spacing w:before="0" w:beforeAutospacing="0" w:after="0" w:afterAutospacing="0" w:line="360" w:lineRule="auto"/>
        <w:jc w:val="both"/>
        <w:rPr>
          <w:b w:val="0"/>
          <w:sz w:val="24"/>
          <w:szCs w:val="24"/>
        </w:rPr>
      </w:pPr>
      <w:r w:rsidRPr="001A05F2">
        <w:rPr>
          <w:b w:val="0"/>
          <w:sz w:val="24"/>
          <w:szCs w:val="24"/>
        </w:rPr>
        <w:t>a) di promozione e coordinamento delle azioni del Governo finalizzate alla definizione di una strategia unitaria in materia di trasformazione digitale e di modernizzazione del Paese attraverso le tecnologie digitali;</w:t>
      </w:r>
    </w:p>
    <w:p w14:paraId="79775DB5" w14:textId="347CB218" w:rsidR="00CE6817" w:rsidRPr="001A05F2" w:rsidRDefault="00CE6817" w:rsidP="00CE6817">
      <w:pPr>
        <w:pStyle w:val="Titolo2"/>
        <w:spacing w:before="0" w:beforeAutospacing="0" w:after="0" w:afterAutospacing="0" w:line="360" w:lineRule="auto"/>
        <w:jc w:val="both"/>
        <w:rPr>
          <w:b w:val="0"/>
          <w:sz w:val="24"/>
          <w:szCs w:val="24"/>
        </w:rPr>
      </w:pPr>
      <w:r w:rsidRPr="001A05F2">
        <w:rPr>
          <w:b w:val="0"/>
          <w:color w:val="000000"/>
          <w:sz w:val="24"/>
          <w:szCs w:val="24"/>
        </w:rPr>
        <w:t>b) di coordinamento, di indirizzo, di promozione di iniziative, anche normative nell</w:t>
      </w:r>
      <w:r w:rsidR="00877AAF">
        <w:rPr>
          <w:b w:val="0"/>
          <w:color w:val="000000"/>
          <w:sz w:val="24"/>
          <w:szCs w:val="24"/>
        </w:rPr>
        <w:t>’</w:t>
      </w:r>
      <w:r w:rsidRPr="001A05F2">
        <w:rPr>
          <w:b w:val="0"/>
          <w:color w:val="000000"/>
          <w:sz w:val="24"/>
          <w:szCs w:val="24"/>
        </w:rPr>
        <w:t>area funzionale delle riforme istituzionali e federali;</w:t>
      </w:r>
    </w:p>
    <w:p w14:paraId="7352D22D" w14:textId="77777777" w:rsidR="00CE6817" w:rsidRPr="001A05F2" w:rsidRDefault="00CE6817" w:rsidP="00CE6817">
      <w:pPr>
        <w:pStyle w:val="Titolo2"/>
        <w:spacing w:before="0" w:beforeAutospacing="0" w:after="0" w:afterAutospacing="0" w:line="360" w:lineRule="auto"/>
        <w:jc w:val="both"/>
        <w:rPr>
          <w:b w:val="0"/>
          <w:sz w:val="24"/>
          <w:szCs w:val="24"/>
        </w:rPr>
      </w:pPr>
      <w:r w:rsidRPr="001A05F2">
        <w:rPr>
          <w:b w:val="0"/>
          <w:sz w:val="24"/>
          <w:szCs w:val="24"/>
        </w:rPr>
        <w:t>c) relative alla progettazione delle politiche generali e delle decisioni di indirizzo politico-amministrativo;</w:t>
      </w:r>
    </w:p>
    <w:p w14:paraId="4B55F811" w14:textId="34B96568" w:rsidR="00CE6817" w:rsidRDefault="00CE6817" w:rsidP="00CE6817">
      <w:pPr>
        <w:pStyle w:val="Titolo2"/>
        <w:spacing w:before="0" w:beforeAutospacing="0" w:after="0" w:afterAutospacing="0" w:line="360" w:lineRule="auto"/>
        <w:jc w:val="both"/>
        <w:rPr>
          <w:b w:val="0"/>
          <w:sz w:val="24"/>
          <w:szCs w:val="24"/>
        </w:rPr>
      </w:pPr>
      <w:r w:rsidRPr="001A05F2">
        <w:rPr>
          <w:b w:val="0"/>
          <w:sz w:val="24"/>
          <w:szCs w:val="24"/>
        </w:rPr>
        <w:t>d) di indirizzo e coordinamento di particolari politiche di settore attribuite alla Presidenza del Consiglio dei ministri dalla legge, come quelle in favore delle pari opportunità, della gioventù, della famiglia e delle persone con disabilità e in materia</w:t>
      </w:r>
      <w:r w:rsidRPr="001A05F2">
        <w:t xml:space="preserve"> </w:t>
      </w:r>
      <w:r w:rsidRPr="001A05F2">
        <w:rPr>
          <w:b w:val="0"/>
          <w:sz w:val="24"/>
          <w:szCs w:val="24"/>
        </w:rPr>
        <w:t xml:space="preserve">di protezione civile, di servizio civile universale, di sport, di antidroga, di sviluppo economico dei territori e delle aree urbane, di quelle finalizzate alla realizzazione del progetto “Casa Italia”, </w:t>
      </w:r>
      <w:r w:rsidRPr="00C20E69">
        <w:rPr>
          <w:b w:val="0"/>
          <w:sz w:val="24"/>
          <w:szCs w:val="24"/>
        </w:rPr>
        <w:t>nonché di quelle relative ai programmi spaziali e aerospaziali</w:t>
      </w:r>
      <w:r w:rsidR="00EA2F70" w:rsidRPr="00C20E69">
        <w:rPr>
          <w:b w:val="0"/>
          <w:sz w:val="24"/>
          <w:szCs w:val="24"/>
        </w:rPr>
        <w:t>.</w:t>
      </w:r>
    </w:p>
    <w:p w14:paraId="477420E2" w14:textId="77777777" w:rsidR="00D66758" w:rsidRPr="004D1BA1" w:rsidRDefault="00D66758" w:rsidP="00CE6817">
      <w:pPr>
        <w:pStyle w:val="Titolo2"/>
        <w:spacing w:before="0" w:beforeAutospacing="0" w:after="0" w:afterAutospacing="0" w:line="360" w:lineRule="auto"/>
        <w:jc w:val="both"/>
        <w:rPr>
          <w:strike/>
          <w:sz w:val="24"/>
          <w:szCs w:val="24"/>
        </w:rPr>
      </w:pPr>
    </w:p>
    <w:p w14:paraId="3C1A776C" w14:textId="77777777" w:rsidR="00CE6817" w:rsidRPr="001A05F2" w:rsidRDefault="00CE6817" w:rsidP="00CE6817">
      <w:pPr>
        <w:pStyle w:val="Titolo2"/>
        <w:spacing w:before="0" w:beforeAutospacing="0" w:after="0" w:afterAutospacing="0" w:line="360" w:lineRule="auto"/>
        <w:jc w:val="both"/>
        <w:rPr>
          <w:sz w:val="24"/>
          <w:szCs w:val="24"/>
        </w:rPr>
      </w:pPr>
      <w:r w:rsidRPr="001A05F2">
        <w:rPr>
          <w:sz w:val="24"/>
          <w:szCs w:val="24"/>
        </w:rPr>
        <w:t>4. OBIETTIVI STRATEGICI PERSEGUITI CON IL BILANCIO DI PREVISIONE 2022</w:t>
      </w:r>
    </w:p>
    <w:p w14:paraId="5E643C81" w14:textId="45FE22B9" w:rsidR="00CE6817" w:rsidRPr="001A05F2" w:rsidRDefault="00CE6817" w:rsidP="00CE6817">
      <w:pPr>
        <w:autoSpaceDE w:val="0"/>
        <w:autoSpaceDN w:val="0"/>
        <w:adjustRightInd w:val="0"/>
        <w:spacing w:after="0" w:line="360" w:lineRule="auto"/>
        <w:jc w:val="both"/>
        <w:rPr>
          <w:rFonts w:ascii="Times New Roman" w:hAnsi="Times New Roman" w:cs="Times New Roman"/>
          <w:sz w:val="24"/>
          <w:szCs w:val="24"/>
        </w:rPr>
      </w:pPr>
      <w:r w:rsidRPr="001A05F2">
        <w:rPr>
          <w:rFonts w:ascii="Times New Roman" w:hAnsi="Times New Roman" w:cs="Times New Roman"/>
          <w:sz w:val="24"/>
          <w:szCs w:val="24"/>
        </w:rPr>
        <w:t xml:space="preserve">Con il bilancio di previsione 2022, redatto in coerenza con la direttiva del Segretario generale del 15 </w:t>
      </w:r>
      <w:r w:rsidRPr="001A05F2">
        <w:rPr>
          <w:rFonts w:ascii="Times New Roman" w:hAnsi="Times New Roman" w:cs="Times New Roman"/>
          <w:color w:val="000000" w:themeColor="text1"/>
          <w:sz w:val="24"/>
          <w:szCs w:val="24"/>
        </w:rPr>
        <w:t xml:space="preserve">settembre 2021, </w:t>
      </w:r>
      <w:r w:rsidRPr="001A05F2">
        <w:rPr>
          <w:rFonts w:ascii="Times New Roman" w:hAnsi="Times New Roman" w:cs="Times New Roman"/>
          <w:sz w:val="24"/>
          <w:szCs w:val="24"/>
        </w:rPr>
        <w:t xml:space="preserve">sono stati individuati gli obiettivi da perseguire con le risorse assegnate nel bilancio 2022, in un contesto di finanza pubblica condizionato ancora dal perdurare della diffusione del </w:t>
      </w:r>
      <w:r w:rsidRPr="00C74D3C">
        <w:rPr>
          <w:rFonts w:ascii="Times New Roman" w:hAnsi="Times New Roman" w:cs="Times New Roman"/>
          <w:i/>
          <w:sz w:val="24"/>
          <w:szCs w:val="24"/>
        </w:rPr>
        <w:t>virus</w:t>
      </w:r>
      <w:r w:rsidRPr="001A05F2">
        <w:rPr>
          <w:rFonts w:ascii="Times New Roman" w:hAnsi="Times New Roman" w:cs="Times New Roman"/>
          <w:sz w:val="24"/>
          <w:szCs w:val="24"/>
        </w:rPr>
        <w:t xml:space="preserve"> COVID-19 e dal sopraggiungere della grave crisi internazionale determinata dal conflitto russo-ucraino, eventi che hanno prodotto rilevanti effetti finanziari sul bilancio dello Stato, con l</w:t>
      </w:r>
      <w:r w:rsidR="00877AAF">
        <w:rPr>
          <w:rFonts w:ascii="Times New Roman" w:hAnsi="Times New Roman" w:cs="Times New Roman"/>
          <w:sz w:val="24"/>
          <w:szCs w:val="24"/>
        </w:rPr>
        <w:t>’</w:t>
      </w:r>
      <w:r w:rsidRPr="001A05F2">
        <w:rPr>
          <w:rFonts w:ascii="Times New Roman" w:hAnsi="Times New Roman" w:cs="Times New Roman"/>
          <w:sz w:val="24"/>
          <w:szCs w:val="24"/>
        </w:rPr>
        <w:t>adozione di ulteriori provvedimenti d</w:t>
      </w:r>
      <w:r w:rsidR="00877AAF">
        <w:rPr>
          <w:rFonts w:ascii="Times New Roman" w:hAnsi="Times New Roman" w:cs="Times New Roman"/>
          <w:sz w:val="24"/>
          <w:szCs w:val="24"/>
        </w:rPr>
        <w:t>’</w:t>
      </w:r>
      <w:r w:rsidRPr="001A05F2">
        <w:rPr>
          <w:rFonts w:ascii="Times New Roman" w:hAnsi="Times New Roman" w:cs="Times New Roman"/>
          <w:sz w:val="24"/>
          <w:szCs w:val="24"/>
        </w:rPr>
        <w:t>urgenza con i quali si è inteso sostenere i settori dell</w:t>
      </w:r>
      <w:r w:rsidR="00877AAF">
        <w:rPr>
          <w:rFonts w:ascii="Times New Roman" w:hAnsi="Times New Roman" w:cs="Times New Roman"/>
          <w:sz w:val="24"/>
          <w:szCs w:val="24"/>
        </w:rPr>
        <w:t>’</w:t>
      </w:r>
      <w:r w:rsidRPr="001A05F2">
        <w:rPr>
          <w:rFonts w:ascii="Times New Roman" w:hAnsi="Times New Roman" w:cs="Times New Roman"/>
          <w:sz w:val="24"/>
          <w:szCs w:val="24"/>
        </w:rPr>
        <w:t>economia e i soggetti  più colpiti nonché assicurare soccorso e assistenza alla popolazione ucraina.</w:t>
      </w:r>
    </w:p>
    <w:p w14:paraId="46720BA3" w14:textId="2DCFEEF3" w:rsidR="00CE6817" w:rsidRPr="001A05F2" w:rsidRDefault="00CE6817" w:rsidP="00CE6817">
      <w:pPr>
        <w:autoSpaceDE w:val="0"/>
        <w:autoSpaceDN w:val="0"/>
        <w:adjustRightInd w:val="0"/>
        <w:spacing w:after="0" w:line="360" w:lineRule="auto"/>
        <w:jc w:val="both"/>
        <w:rPr>
          <w:rFonts w:ascii="Times New Roman" w:hAnsi="Times New Roman" w:cs="Times New Roman"/>
          <w:sz w:val="24"/>
          <w:szCs w:val="24"/>
        </w:rPr>
      </w:pPr>
      <w:r w:rsidRPr="001A05F2">
        <w:rPr>
          <w:rFonts w:ascii="Times New Roman" w:hAnsi="Times New Roman" w:cs="Times New Roman"/>
          <w:sz w:val="24"/>
          <w:szCs w:val="24"/>
        </w:rPr>
        <w:t>Anche nel 2022, tenuto conto di tale scenario macroeconomico, ha assunto maggiormente rilievo un approccio improntato a criteri di particolare prudenza e di essenzialità, diventando ancor più importante l</w:t>
      </w:r>
      <w:r w:rsidR="00877AAF">
        <w:rPr>
          <w:rFonts w:ascii="Times New Roman" w:hAnsi="Times New Roman" w:cs="Times New Roman"/>
          <w:sz w:val="24"/>
          <w:szCs w:val="24"/>
        </w:rPr>
        <w:t>’</w:t>
      </w:r>
      <w:r w:rsidRPr="001A05F2">
        <w:rPr>
          <w:rFonts w:ascii="Times New Roman" w:hAnsi="Times New Roman" w:cs="Times New Roman"/>
          <w:sz w:val="24"/>
          <w:szCs w:val="24"/>
        </w:rPr>
        <w:t xml:space="preserve">integrazione del processo di revisione della spesa nel ciclo di bilancio quale strumento finalizzato non solo al risanamento della finanza pubblica, ma anche a una migliore gestione della spesa. </w:t>
      </w:r>
    </w:p>
    <w:p w14:paraId="20353FD6" w14:textId="4F749F56"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sz w:val="24"/>
          <w:szCs w:val="24"/>
        </w:rPr>
        <w:t>Come noto, il rafforzamento dei meccanismi di controllo quantitativo e qualitativo della spesa pubblica, che ha costituito negli ultimi anni uno dei temi fondamentali della politica finanziaria e di bilancio con l</w:t>
      </w:r>
      <w:r w:rsidR="00877AAF">
        <w:rPr>
          <w:rFonts w:ascii="Times New Roman" w:hAnsi="Times New Roman" w:cs="Times New Roman"/>
          <w:sz w:val="24"/>
          <w:szCs w:val="24"/>
        </w:rPr>
        <w:t>’</w:t>
      </w:r>
      <w:r w:rsidRPr="001A05F2">
        <w:rPr>
          <w:rFonts w:ascii="Times New Roman" w:hAnsi="Times New Roman" w:cs="Times New Roman"/>
          <w:sz w:val="24"/>
          <w:szCs w:val="24"/>
        </w:rPr>
        <w:t>introduzione sistematica dell</w:t>
      </w:r>
      <w:r w:rsidR="00877AAF">
        <w:rPr>
          <w:rFonts w:ascii="Times New Roman" w:hAnsi="Times New Roman" w:cs="Times New Roman"/>
          <w:sz w:val="24"/>
          <w:szCs w:val="24"/>
        </w:rPr>
        <w:t>’</w:t>
      </w:r>
      <w:r w:rsidRPr="001A05F2">
        <w:rPr>
          <w:rFonts w:ascii="Times New Roman" w:hAnsi="Times New Roman" w:cs="Times New Roman"/>
          <w:sz w:val="24"/>
          <w:szCs w:val="24"/>
        </w:rPr>
        <w:t xml:space="preserve">attività di </w:t>
      </w:r>
      <w:r w:rsidRPr="001A05F2">
        <w:rPr>
          <w:rFonts w:ascii="Times New Roman" w:hAnsi="Times New Roman" w:cs="Times New Roman"/>
          <w:i/>
          <w:sz w:val="24"/>
          <w:szCs w:val="24"/>
        </w:rPr>
        <w:t>spending review</w:t>
      </w:r>
      <w:r w:rsidRPr="001A05F2">
        <w:rPr>
          <w:rFonts w:ascii="Times New Roman" w:hAnsi="Times New Roman" w:cs="Times New Roman"/>
          <w:sz w:val="24"/>
          <w:szCs w:val="24"/>
        </w:rPr>
        <w:t xml:space="preserve"> nel ciclo di bilancio (articolo 22</w:t>
      </w:r>
      <w:r w:rsidR="00845AB1">
        <w:rPr>
          <w:rFonts w:ascii="Times New Roman" w:hAnsi="Times New Roman" w:cs="Times New Roman"/>
          <w:sz w:val="24"/>
          <w:szCs w:val="24"/>
        </w:rPr>
        <w:t>-</w:t>
      </w:r>
      <w:r w:rsidRPr="00C74D3C">
        <w:rPr>
          <w:rFonts w:ascii="Times New Roman" w:hAnsi="Times New Roman" w:cs="Times New Roman"/>
          <w:i/>
          <w:sz w:val="24"/>
          <w:szCs w:val="24"/>
        </w:rPr>
        <w:t xml:space="preserve">bis </w:t>
      </w:r>
      <w:r w:rsidRPr="001A05F2">
        <w:rPr>
          <w:rFonts w:ascii="Times New Roman" w:hAnsi="Times New Roman" w:cs="Times New Roman"/>
          <w:sz w:val="24"/>
          <w:szCs w:val="24"/>
        </w:rPr>
        <w:t xml:space="preserve">della legge 31 dicembre 2009, n. 196), </w:t>
      </w:r>
      <w:r w:rsidRPr="001A05F2">
        <w:rPr>
          <w:rFonts w:ascii="Times New Roman" w:hAnsi="Times New Roman" w:cs="Times New Roman"/>
          <w:color w:val="000000" w:themeColor="text1"/>
          <w:sz w:val="24"/>
          <w:szCs w:val="24"/>
        </w:rPr>
        <w:t>ha comportato che tutte le Amministrazioni centrali dello Stato contribuissero alla manovra di finanza pubblica attraverso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assegnazione di specifici obiettivi di risparmio, mediante misure di razionalizzazione della spesa, delle strutture e dei processi. </w:t>
      </w:r>
      <w:r w:rsidR="006F7CCB" w:rsidRPr="00860FE3">
        <w:rPr>
          <w:rFonts w:ascii="Times New Roman" w:hAnsi="Times New Roman" w:cs="Times New Roman"/>
          <w:color w:val="000000" w:themeColor="text1"/>
          <w:sz w:val="24"/>
          <w:szCs w:val="24"/>
        </w:rPr>
        <w:t>Anche l</w:t>
      </w:r>
      <w:r w:rsidRPr="00860FE3">
        <w:rPr>
          <w:rFonts w:ascii="Times New Roman" w:hAnsi="Times New Roman" w:cs="Times New Roman"/>
          <w:color w:val="000000" w:themeColor="text1"/>
          <w:sz w:val="24"/>
          <w:szCs w:val="24"/>
        </w:rPr>
        <w:t xml:space="preserve">a Presidenza del Consiglio dei ministri </w:t>
      </w:r>
      <w:r w:rsidR="006F7CCB" w:rsidRPr="00860FE3">
        <w:rPr>
          <w:rFonts w:ascii="Times New Roman" w:hAnsi="Times New Roman" w:cs="Times New Roman"/>
          <w:color w:val="000000" w:themeColor="text1"/>
          <w:sz w:val="24"/>
          <w:szCs w:val="24"/>
        </w:rPr>
        <w:t xml:space="preserve">è </w:t>
      </w:r>
      <w:r w:rsidRPr="00860FE3">
        <w:rPr>
          <w:rFonts w:ascii="Times New Roman" w:hAnsi="Times New Roman" w:cs="Times New Roman"/>
          <w:color w:val="000000" w:themeColor="text1"/>
          <w:sz w:val="24"/>
          <w:szCs w:val="24"/>
        </w:rPr>
        <w:t>chiamata a partecipare, al pari delle</w:t>
      </w:r>
      <w:r w:rsidRPr="001A05F2">
        <w:rPr>
          <w:rFonts w:ascii="Times New Roman" w:hAnsi="Times New Roman" w:cs="Times New Roman"/>
          <w:color w:val="000000" w:themeColor="text1"/>
          <w:sz w:val="24"/>
          <w:szCs w:val="24"/>
        </w:rPr>
        <w:t xml:space="preserve"> altre Amministrazioni pubbliche,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attuazione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obiettivo perseguito dal Governo nell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azione di consolidamento e </w:t>
      </w:r>
      <w:r w:rsidR="00C74D3C">
        <w:rPr>
          <w:rFonts w:ascii="Times New Roman" w:hAnsi="Times New Roman" w:cs="Times New Roman"/>
          <w:color w:val="000000" w:themeColor="text1"/>
          <w:sz w:val="24"/>
          <w:szCs w:val="24"/>
        </w:rPr>
        <w:t xml:space="preserve">alla </w:t>
      </w:r>
      <w:r w:rsidRPr="001A05F2">
        <w:rPr>
          <w:rFonts w:ascii="Times New Roman" w:hAnsi="Times New Roman" w:cs="Times New Roman"/>
          <w:color w:val="000000" w:themeColor="text1"/>
          <w:sz w:val="24"/>
          <w:szCs w:val="24"/>
        </w:rPr>
        <w:lastRenderedPageBreak/>
        <w:t>sostenibilità delle finanze pubbliche</w:t>
      </w:r>
      <w:r w:rsidR="00C74D3C">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w:t>
      </w:r>
      <w:r w:rsidR="00C74D3C">
        <w:rPr>
          <w:rFonts w:ascii="Times New Roman" w:hAnsi="Times New Roman" w:cs="Times New Roman"/>
          <w:color w:val="000000" w:themeColor="text1"/>
          <w:sz w:val="24"/>
          <w:szCs w:val="24"/>
        </w:rPr>
        <w:t>N</w:t>
      </w:r>
      <w:r w:rsidRPr="001A05F2">
        <w:rPr>
          <w:rFonts w:ascii="Times New Roman" w:hAnsi="Times New Roman" w:cs="Times New Roman"/>
          <w:color w:val="000000" w:themeColor="text1"/>
          <w:sz w:val="24"/>
          <w:szCs w:val="24"/>
        </w:rPr>
        <w:t>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ambito del complessivo risparmio di spesa assegnato ai Ministeri, per un importo complessivo di 1 miliardo di euro annuo, dal 2020 contribuisce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obiettivo di ottimizzazione e riduzione strutturale della spesa pubblica</w:t>
      </w:r>
      <w:r w:rsidR="00C74D3C">
        <w:rPr>
          <w:rFonts w:ascii="Times New Roman" w:hAnsi="Times New Roman" w:cs="Times New Roman"/>
          <w:color w:val="000000" w:themeColor="text1"/>
          <w:sz w:val="24"/>
          <w:szCs w:val="24"/>
        </w:rPr>
        <w:t>, conseguendo un</w:t>
      </w:r>
      <w:r w:rsidRPr="001A05F2">
        <w:rPr>
          <w:rFonts w:ascii="Times New Roman" w:hAnsi="Times New Roman" w:cs="Times New Roman"/>
          <w:color w:val="000000" w:themeColor="text1"/>
          <w:sz w:val="24"/>
          <w:szCs w:val="24"/>
        </w:rPr>
        <w:t xml:space="preserve"> obiettivo di risparmio complessivo di spesa, in termini di indebitamento netto, a decorrere dal 2020, </w:t>
      </w:r>
      <w:r w:rsidR="00C74D3C">
        <w:rPr>
          <w:rFonts w:ascii="Times New Roman" w:hAnsi="Times New Roman" w:cs="Times New Roman"/>
          <w:color w:val="000000" w:themeColor="text1"/>
          <w:sz w:val="24"/>
          <w:szCs w:val="24"/>
        </w:rPr>
        <w:t xml:space="preserve">fissato </w:t>
      </w:r>
      <w:r w:rsidRPr="001A05F2">
        <w:rPr>
          <w:rFonts w:ascii="Times New Roman" w:hAnsi="Times New Roman" w:cs="Times New Roman"/>
          <w:color w:val="000000" w:themeColor="text1"/>
          <w:sz w:val="24"/>
          <w:szCs w:val="24"/>
        </w:rPr>
        <w:t>in euro 19.000.000,00.</w:t>
      </w:r>
    </w:p>
    <w:p w14:paraId="3DFE8EF1" w14:textId="6C82BC85" w:rsidR="00CE6817" w:rsidRPr="00BE462D"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color w:val="000000" w:themeColor="text1"/>
          <w:sz w:val="24"/>
          <w:szCs w:val="24"/>
        </w:rPr>
        <w:t xml:space="preserve">Tali risparmi, declinati nella legge di bilancio 2020/2022, hanno comportato una diminuzione delle risorse finanziarie che alimentano il bilancio autonomo della Presidenza del Consiglio dei ministri, in particolare, per il 2022, hanno inciso in misura prevalente sulle risorse finanziarie relative alle politiche in materia di interventi in favore del Servizio </w:t>
      </w:r>
      <w:r w:rsidRPr="00C20E69">
        <w:rPr>
          <w:rFonts w:ascii="Times New Roman" w:hAnsi="Times New Roman" w:cs="Times New Roman"/>
          <w:color w:val="000000" w:themeColor="text1"/>
          <w:sz w:val="24"/>
          <w:szCs w:val="24"/>
        </w:rPr>
        <w:t xml:space="preserve">civile </w:t>
      </w:r>
      <w:r w:rsidRPr="00BE462D">
        <w:rPr>
          <w:rFonts w:ascii="Times New Roman" w:hAnsi="Times New Roman" w:cs="Times New Roman"/>
          <w:color w:val="000000" w:themeColor="text1"/>
          <w:sz w:val="24"/>
          <w:szCs w:val="24"/>
        </w:rPr>
        <w:t>universale (</w:t>
      </w:r>
      <w:r w:rsidR="00BE462D" w:rsidRPr="00BE462D">
        <w:rPr>
          <w:rFonts w:ascii="Times New Roman" w:hAnsi="Times New Roman" w:cs="Times New Roman"/>
          <w:color w:val="000000" w:themeColor="text1"/>
          <w:sz w:val="24"/>
          <w:szCs w:val="24"/>
        </w:rPr>
        <w:t xml:space="preserve">euro </w:t>
      </w:r>
      <w:r w:rsidRPr="00BE462D">
        <w:rPr>
          <w:rFonts w:ascii="Times New Roman" w:hAnsi="Times New Roman" w:cs="Times New Roman"/>
          <w:color w:val="000000" w:themeColor="text1"/>
          <w:sz w:val="24"/>
          <w:szCs w:val="24"/>
        </w:rPr>
        <w:t>4.268.033,00)</w:t>
      </w:r>
      <w:r w:rsidRPr="00BE462D">
        <w:rPr>
          <w:rFonts w:ascii="Times New Roman" w:hAnsi="Times New Roman" w:cs="Times New Roman"/>
          <w:bCs/>
          <w:color w:val="000000" w:themeColor="text1"/>
          <w:sz w:val="24"/>
          <w:szCs w:val="24"/>
        </w:rPr>
        <w:t xml:space="preserve">, </w:t>
      </w:r>
      <w:r w:rsidRPr="00BE462D">
        <w:rPr>
          <w:rFonts w:ascii="Times New Roman" w:hAnsi="Times New Roman" w:cs="Times New Roman"/>
          <w:color w:val="000000" w:themeColor="text1"/>
          <w:sz w:val="24"/>
          <w:szCs w:val="24"/>
        </w:rPr>
        <w:t>di sostegno alla famiglia  (</w:t>
      </w:r>
      <w:r w:rsidR="00BE462D" w:rsidRPr="00BE462D">
        <w:rPr>
          <w:rFonts w:ascii="Times New Roman" w:hAnsi="Times New Roman" w:cs="Times New Roman"/>
          <w:color w:val="000000" w:themeColor="text1"/>
          <w:sz w:val="24"/>
          <w:szCs w:val="24"/>
        </w:rPr>
        <w:t xml:space="preserve">euro </w:t>
      </w:r>
      <w:r w:rsidRPr="00BE462D">
        <w:rPr>
          <w:rFonts w:ascii="Times New Roman" w:hAnsi="Times New Roman" w:cs="Times New Roman"/>
          <w:color w:val="000000" w:themeColor="text1"/>
          <w:sz w:val="24"/>
          <w:szCs w:val="24"/>
        </w:rPr>
        <w:t>3.850.310,00), in materia di editoria  (</w:t>
      </w:r>
      <w:r w:rsidR="00BE462D" w:rsidRPr="00BE462D">
        <w:rPr>
          <w:rFonts w:ascii="Times New Roman" w:hAnsi="Times New Roman" w:cs="Times New Roman"/>
          <w:color w:val="000000" w:themeColor="text1"/>
          <w:sz w:val="24"/>
          <w:szCs w:val="24"/>
        </w:rPr>
        <w:t xml:space="preserve">euro </w:t>
      </w:r>
      <w:r w:rsidRPr="00BE462D">
        <w:rPr>
          <w:rFonts w:ascii="Times New Roman" w:hAnsi="Times New Roman" w:cs="Times New Roman"/>
          <w:color w:val="000000" w:themeColor="text1"/>
          <w:sz w:val="24"/>
          <w:szCs w:val="24"/>
        </w:rPr>
        <w:t>2.375.444,00) e in tema di pari opportunità (</w:t>
      </w:r>
      <w:r w:rsidR="00BE462D" w:rsidRPr="00BE462D">
        <w:rPr>
          <w:rFonts w:ascii="Times New Roman" w:hAnsi="Times New Roman" w:cs="Times New Roman"/>
          <w:color w:val="000000" w:themeColor="text1"/>
          <w:sz w:val="24"/>
          <w:szCs w:val="24"/>
        </w:rPr>
        <w:t xml:space="preserve">euro </w:t>
      </w:r>
      <w:r w:rsidRPr="00BE462D">
        <w:rPr>
          <w:rFonts w:ascii="Times New Roman" w:hAnsi="Times New Roman" w:cs="Times New Roman"/>
          <w:color w:val="000000" w:themeColor="text1"/>
          <w:sz w:val="24"/>
          <w:szCs w:val="24"/>
        </w:rPr>
        <w:t xml:space="preserve">2.204.739,00).  </w:t>
      </w:r>
    </w:p>
    <w:p w14:paraId="69BE890B" w14:textId="77777777"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
          <w:szCs w:val="24"/>
        </w:rPr>
      </w:pPr>
    </w:p>
    <w:p w14:paraId="4D9C4E80" w14:textId="1638063C"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color w:val="000000" w:themeColor="text1"/>
          <w:sz w:val="24"/>
          <w:szCs w:val="24"/>
        </w:rPr>
        <w:t>La Presidenza del Consiglio dei ministri, anche nell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esercizio finanziario 2022, ha proseguito nell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azione di ottimizzazione della gestione della spesa, considerando prioritario, nella programmazione delle attività</w:t>
      </w:r>
      <w:r w:rsidR="00547DEA">
        <w:rPr>
          <w:rFonts w:ascii="Times New Roman" w:hAnsi="Times New Roman" w:cs="Times New Roman"/>
          <w:color w:val="000000" w:themeColor="text1"/>
          <w:sz w:val="24"/>
          <w:szCs w:val="24"/>
        </w:rPr>
        <w:t xml:space="preserve">, </w:t>
      </w:r>
      <w:r w:rsidRPr="001A05F2">
        <w:rPr>
          <w:rFonts w:ascii="Times New Roman" w:hAnsi="Times New Roman" w:cs="Times New Roman"/>
          <w:color w:val="000000" w:themeColor="text1"/>
          <w:sz w:val="24"/>
          <w:szCs w:val="24"/>
        </w:rPr>
        <w:t>soprattutto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utilizzo delle risorse assegnate alla stessa per le politiche di settore.</w:t>
      </w:r>
    </w:p>
    <w:p w14:paraId="007C66BC" w14:textId="023EA457" w:rsidR="00CE6817" w:rsidRPr="001A05F2" w:rsidRDefault="0053032C"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È </w:t>
      </w:r>
      <w:r w:rsidR="00CE6817" w:rsidRPr="001A05F2">
        <w:rPr>
          <w:rFonts w:ascii="Times New Roman" w:hAnsi="Times New Roman" w:cs="Times New Roman"/>
          <w:color w:val="000000" w:themeColor="text1"/>
          <w:sz w:val="24"/>
          <w:szCs w:val="24"/>
        </w:rPr>
        <w:t>stato chiesto ai titolari dei centri di responsabilità e ai capi delle Unità organizzative di primo livello del Segretariato generale, nell</w:t>
      </w:r>
      <w:r w:rsidR="00877AAF">
        <w:rPr>
          <w:rFonts w:ascii="Times New Roman" w:hAnsi="Times New Roman" w:cs="Times New Roman"/>
          <w:color w:val="000000" w:themeColor="text1"/>
          <w:sz w:val="24"/>
          <w:szCs w:val="24"/>
        </w:rPr>
        <w:t>’</w:t>
      </w:r>
      <w:r w:rsidR="00CE6817" w:rsidRPr="001A05F2">
        <w:rPr>
          <w:rFonts w:ascii="Times New Roman" w:hAnsi="Times New Roman" w:cs="Times New Roman"/>
          <w:color w:val="000000" w:themeColor="text1"/>
          <w:sz w:val="24"/>
          <w:szCs w:val="24"/>
        </w:rPr>
        <w:t>ambito dei vincoli derivanti da</w:t>
      </w:r>
      <w:r w:rsidR="00FD77F0">
        <w:rPr>
          <w:rFonts w:ascii="Times New Roman" w:hAnsi="Times New Roman" w:cs="Times New Roman"/>
          <w:color w:val="000000" w:themeColor="text1"/>
          <w:sz w:val="24"/>
          <w:szCs w:val="24"/>
        </w:rPr>
        <w:t>lla legge e</w:t>
      </w:r>
      <w:r w:rsidR="00CE6817" w:rsidRPr="001A05F2">
        <w:rPr>
          <w:rFonts w:ascii="Times New Roman" w:hAnsi="Times New Roman" w:cs="Times New Roman"/>
          <w:color w:val="000000" w:themeColor="text1"/>
          <w:sz w:val="24"/>
          <w:szCs w:val="24"/>
        </w:rPr>
        <w:t xml:space="preserve"> d</w:t>
      </w:r>
      <w:r w:rsidR="00FD77F0">
        <w:rPr>
          <w:rFonts w:ascii="Times New Roman" w:hAnsi="Times New Roman" w:cs="Times New Roman"/>
          <w:color w:val="000000" w:themeColor="text1"/>
          <w:sz w:val="24"/>
          <w:szCs w:val="24"/>
        </w:rPr>
        <w:t>a</w:t>
      </w:r>
      <w:r w:rsidR="00CE6817" w:rsidRPr="001A05F2">
        <w:rPr>
          <w:rFonts w:ascii="Times New Roman" w:hAnsi="Times New Roman" w:cs="Times New Roman"/>
          <w:color w:val="000000" w:themeColor="text1"/>
          <w:sz w:val="24"/>
          <w:szCs w:val="24"/>
        </w:rPr>
        <w:t>ll</w:t>
      </w:r>
      <w:r w:rsidR="00877AAF">
        <w:rPr>
          <w:rFonts w:ascii="Times New Roman" w:hAnsi="Times New Roman" w:cs="Times New Roman"/>
          <w:color w:val="000000" w:themeColor="text1"/>
          <w:sz w:val="24"/>
          <w:szCs w:val="24"/>
        </w:rPr>
        <w:t>’</w:t>
      </w:r>
      <w:r w:rsidR="00CE6817" w:rsidRPr="001A05F2">
        <w:rPr>
          <w:rFonts w:ascii="Times New Roman" w:hAnsi="Times New Roman" w:cs="Times New Roman"/>
          <w:color w:val="000000" w:themeColor="text1"/>
          <w:sz w:val="24"/>
          <w:szCs w:val="24"/>
        </w:rPr>
        <w:t>obiettivo di contenimento della spesa, di promuovere una più efficiente ed efficace assegnazione delle risorse pubbliche, senza compromettere, tuttavia, l</w:t>
      </w:r>
      <w:r w:rsidR="00877AAF">
        <w:rPr>
          <w:rFonts w:ascii="Times New Roman" w:hAnsi="Times New Roman" w:cs="Times New Roman"/>
          <w:color w:val="000000" w:themeColor="text1"/>
          <w:sz w:val="24"/>
          <w:szCs w:val="24"/>
        </w:rPr>
        <w:t>’</w:t>
      </w:r>
      <w:r w:rsidR="00CE6817" w:rsidRPr="001A05F2">
        <w:rPr>
          <w:rFonts w:ascii="Times New Roman" w:hAnsi="Times New Roman" w:cs="Times New Roman"/>
          <w:color w:val="000000" w:themeColor="text1"/>
          <w:sz w:val="24"/>
          <w:szCs w:val="24"/>
        </w:rPr>
        <w:t>ordinario svolgimento dei peculiari compiti istituzionali affidati alla Presidenza del Consiglio dei ministri.</w:t>
      </w:r>
    </w:p>
    <w:p w14:paraId="3F7DF2CB" w14:textId="77777777"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color w:val="000000" w:themeColor="text1"/>
          <w:sz w:val="24"/>
          <w:szCs w:val="24"/>
        </w:rPr>
        <w:t>Le previsioni sono state elaborate tenendo conto del quadro normativo vigente che dispone limitazioni e vincoli per determinate tipologie di spesa, come quelle per le autovetture, per incarichi di consulenza, per studio e ricerca, per formazione del personale, per rappresentanza, per missioni, per convegni e mostre, ponendo ulteriori obiettivi di risparmio rispetto ai limiti di spesa fissati per legge.</w:t>
      </w:r>
    </w:p>
    <w:p w14:paraId="5DD82DF0" w14:textId="66C46B62"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color w:val="000000" w:themeColor="text1"/>
          <w:sz w:val="24"/>
          <w:szCs w:val="24"/>
        </w:rPr>
        <w:t>Inoltre, come già evidenziato gli scorsi anni, la Presidenza del Consiglio dei ministri, unica tra le Amministrazioni centrali dello Stato, contribuisce, a decorrere dal 2013, alla stabilizzazione della finanza pubblica, in forza delle disposizioni recate dall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articolo 7, comma 1, lettera b) e comma 2, del decreto-legge 6 luglio 2012, n. 95, convertito, con modificazioni, dalla legge 7 agosto 2012, n. 135, mediante un risparmio di spesa, da versare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entrata del bilancio dello Stato, non inferiore a 40 milioni di euro, da conseguire attraverso la riduzione degli stanziamenti previsti per le politiche dei singoli Ministri senza portafoglio e </w:t>
      </w:r>
      <w:r w:rsidR="00FD77F0">
        <w:rPr>
          <w:rFonts w:ascii="Times New Roman" w:hAnsi="Times New Roman" w:cs="Times New Roman"/>
          <w:color w:val="000000" w:themeColor="text1"/>
          <w:sz w:val="24"/>
          <w:szCs w:val="24"/>
        </w:rPr>
        <w:t xml:space="preserve">dei </w:t>
      </w:r>
      <w:r w:rsidRPr="001A05F2">
        <w:rPr>
          <w:rFonts w:ascii="Times New Roman" w:hAnsi="Times New Roman" w:cs="Times New Roman"/>
          <w:color w:val="000000" w:themeColor="text1"/>
          <w:sz w:val="24"/>
          <w:szCs w:val="24"/>
        </w:rPr>
        <w:t>Sottosegretari di Stato presso la Presidenza del Consiglio dei ministri. A seguito del trasferimento, nell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esercizio finanziario 2014, ai sensi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articolo 1, comma 2, della legge 24 giugno 2013, n. 71, di conversione del decreto-legge 26 aprile 2013, n. 43, delle funzioni e  delle risorse per le politiche del turismo al Ministero dei beni e delle attività culturali e del turismo e delle risorse finanziarie destinate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Autorità Nazionale </w:t>
      </w:r>
      <w:r w:rsidR="005D43E9">
        <w:rPr>
          <w:rFonts w:ascii="Times New Roman" w:hAnsi="Times New Roman" w:cs="Times New Roman"/>
          <w:color w:val="000000" w:themeColor="text1"/>
          <w:sz w:val="24"/>
          <w:szCs w:val="24"/>
        </w:rPr>
        <w:t>A</w:t>
      </w:r>
      <w:r w:rsidRPr="001A05F2">
        <w:rPr>
          <w:rFonts w:ascii="Times New Roman" w:hAnsi="Times New Roman" w:cs="Times New Roman"/>
          <w:color w:val="000000" w:themeColor="text1"/>
          <w:sz w:val="24"/>
          <w:szCs w:val="24"/>
        </w:rPr>
        <w:t xml:space="preserve">nticorruzione in capo al Ministero </w:t>
      </w:r>
      <w:r w:rsidRPr="001A05F2">
        <w:rPr>
          <w:rFonts w:ascii="Times New Roman" w:hAnsi="Times New Roman" w:cs="Times New Roman"/>
          <w:color w:val="000000" w:themeColor="text1"/>
          <w:sz w:val="24"/>
          <w:szCs w:val="24"/>
        </w:rPr>
        <w:lastRenderedPageBreak/>
        <w:t>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economia e delle finanze, il risparmio che la Presidenza del Consiglio dei ministri deve assicurare si è ridotto da euro 40.000.000,00 a euro 37.871.422,00. A decorrere dal 2015, la Presidenza del Consiglio di ministri, ai sensi della legge 23 dicembre 2014, n. 190 (legge di stabilità 2015), concorre al risanamento della finanza pubblica, attraverso una ulteriore riduzione delle spese del proprio bilancio, in misura non inferiore a 13</w:t>
      </w:r>
      <w:r w:rsidR="00021959">
        <w:rPr>
          <w:rFonts w:ascii="Times New Roman" w:hAnsi="Times New Roman" w:cs="Times New Roman"/>
          <w:color w:val="000000" w:themeColor="text1"/>
          <w:sz w:val="24"/>
          <w:szCs w:val="24"/>
        </w:rPr>
        <w:t>.000.000,00</w:t>
      </w:r>
      <w:r w:rsidRPr="001A05F2">
        <w:rPr>
          <w:rFonts w:ascii="Times New Roman" w:hAnsi="Times New Roman" w:cs="Times New Roman"/>
          <w:color w:val="000000" w:themeColor="text1"/>
          <w:sz w:val="24"/>
          <w:szCs w:val="24"/>
        </w:rPr>
        <w:t xml:space="preserve"> di euro, anche in questo caso da versare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entrata del bilancio dello Stato. Conseguentemente,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importo complessivo che la Presidenza versa ogni anno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entrata del bilancio dello Stato ammonta a complessivi euro 50.871.422,00.</w:t>
      </w:r>
    </w:p>
    <w:p w14:paraId="49672D79" w14:textId="19D12FB3"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color w:val="000000" w:themeColor="text1"/>
          <w:sz w:val="24"/>
          <w:szCs w:val="24"/>
        </w:rPr>
        <w:t>Per assicurare il raggiungimento di tale obiettivo di risparmio, con decreto del Presidente del Consiglio dei ministri n. 580/</w:t>
      </w:r>
      <w:proofErr w:type="spellStart"/>
      <w:r w:rsidRPr="001A05F2">
        <w:rPr>
          <w:rFonts w:ascii="Times New Roman" w:hAnsi="Times New Roman" w:cs="Times New Roman"/>
          <w:color w:val="000000" w:themeColor="text1"/>
          <w:sz w:val="24"/>
          <w:szCs w:val="24"/>
        </w:rPr>
        <w:t>Bil</w:t>
      </w:r>
      <w:proofErr w:type="spellEnd"/>
      <w:r w:rsidRPr="001A05F2">
        <w:rPr>
          <w:rFonts w:ascii="Times New Roman" w:hAnsi="Times New Roman" w:cs="Times New Roman"/>
          <w:color w:val="000000" w:themeColor="text1"/>
          <w:sz w:val="24"/>
          <w:szCs w:val="24"/>
        </w:rPr>
        <w:t xml:space="preserve"> del 30 novembre 2022</w:t>
      </w:r>
      <w:r w:rsidR="005C5FBC">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sono state disposte </w:t>
      </w:r>
      <w:r w:rsidRPr="00C20E69">
        <w:rPr>
          <w:rFonts w:ascii="Times New Roman" w:hAnsi="Times New Roman" w:cs="Times New Roman"/>
          <w:color w:val="000000" w:themeColor="text1"/>
          <w:sz w:val="24"/>
          <w:szCs w:val="24"/>
        </w:rPr>
        <w:t>riduzioni</w:t>
      </w:r>
      <w:r w:rsidR="00C20E69" w:rsidRPr="00C20E69">
        <w:rPr>
          <w:rFonts w:ascii="Times New Roman" w:hAnsi="Times New Roman" w:cs="Times New Roman"/>
          <w:color w:val="000000" w:themeColor="text1"/>
          <w:sz w:val="24"/>
          <w:szCs w:val="24"/>
        </w:rPr>
        <w:t xml:space="preserve"> </w:t>
      </w:r>
      <w:r w:rsidR="00FD77F0">
        <w:rPr>
          <w:rFonts w:ascii="Times New Roman" w:hAnsi="Times New Roman" w:cs="Times New Roman"/>
          <w:color w:val="000000" w:themeColor="text1"/>
          <w:sz w:val="24"/>
          <w:szCs w:val="24"/>
        </w:rPr>
        <w:t xml:space="preserve">sostanzialmente lineari </w:t>
      </w:r>
      <w:r w:rsidRPr="00C20E69">
        <w:rPr>
          <w:rFonts w:ascii="Times New Roman" w:hAnsi="Times New Roman" w:cs="Times New Roman"/>
          <w:color w:val="000000" w:themeColor="text1"/>
          <w:sz w:val="24"/>
          <w:szCs w:val="24"/>
        </w:rPr>
        <w:t>sui</w:t>
      </w:r>
      <w:r w:rsidRPr="001A05F2">
        <w:rPr>
          <w:rFonts w:ascii="Times New Roman" w:hAnsi="Times New Roman" w:cs="Times New Roman"/>
          <w:color w:val="000000" w:themeColor="text1"/>
          <w:sz w:val="24"/>
          <w:szCs w:val="24"/>
        </w:rPr>
        <w:t xml:space="preserve"> capitoli aggredibili afferenti </w:t>
      </w:r>
      <w:r>
        <w:rPr>
          <w:rFonts w:ascii="Times New Roman" w:hAnsi="Times New Roman" w:cs="Times New Roman"/>
          <w:color w:val="000000" w:themeColor="text1"/>
          <w:sz w:val="24"/>
          <w:szCs w:val="24"/>
        </w:rPr>
        <w:t>al</w:t>
      </w:r>
      <w:r w:rsidRPr="001A05F2">
        <w:rPr>
          <w:rFonts w:ascii="Times New Roman" w:hAnsi="Times New Roman" w:cs="Times New Roman"/>
          <w:color w:val="000000" w:themeColor="text1"/>
          <w:sz w:val="24"/>
          <w:szCs w:val="24"/>
        </w:rPr>
        <w:t>le politiche di settore, ad eccezione dei capitoli riferiti alla Protezione civile e, contestualmente, è stato versato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entrata del bilancio dello Stato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importo complessivo di euro 50.871.422,00.  </w:t>
      </w:r>
    </w:p>
    <w:p w14:paraId="16485A45" w14:textId="77777777" w:rsidR="00CE6817" w:rsidRPr="001A05F2" w:rsidRDefault="00CE6817" w:rsidP="00CE681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70BBBE56" w14:textId="77777777" w:rsidR="00CE6817" w:rsidRPr="001A05F2" w:rsidRDefault="00CE6817" w:rsidP="00CE6817">
      <w:pPr>
        <w:spacing w:after="0" w:line="360" w:lineRule="auto"/>
        <w:jc w:val="both"/>
        <w:rPr>
          <w:rFonts w:ascii="Times New Roman" w:hAnsi="Times New Roman" w:cs="Times New Roman"/>
          <w:b/>
          <w:color w:val="000000"/>
          <w:sz w:val="24"/>
          <w:szCs w:val="24"/>
        </w:rPr>
      </w:pPr>
      <w:r w:rsidRPr="001A05F2">
        <w:rPr>
          <w:rFonts w:ascii="Times New Roman" w:hAnsi="Times New Roman" w:cs="Times New Roman"/>
          <w:b/>
          <w:color w:val="000000"/>
          <w:sz w:val="24"/>
          <w:szCs w:val="24"/>
        </w:rPr>
        <w:t xml:space="preserve">5.  ASPETTI RILEVANTI DELLA GESTIONE 2022 </w:t>
      </w:r>
    </w:p>
    <w:p w14:paraId="6D81EF10" w14:textId="77777777" w:rsidR="00CE6817" w:rsidRPr="001A05F2"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color w:val="000000"/>
          <w:sz w:val="24"/>
          <w:szCs w:val="24"/>
        </w:rPr>
        <w:t>Prima di procedere alla presentazione dei dati finanziari, si espongono alcune attività di maggiore interesse che hanno contrassegnato la gestione finanziaria 2022.</w:t>
      </w:r>
    </w:p>
    <w:p w14:paraId="2CBD228A" w14:textId="4BFE0717" w:rsidR="00CE6817" w:rsidRDefault="00CE6817" w:rsidP="00CE6817">
      <w:pPr>
        <w:spacing w:after="0" w:line="360" w:lineRule="auto"/>
        <w:jc w:val="both"/>
        <w:rPr>
          <w:rFonts w:ascii="Times New Roman" w:hAnsi="Times New Roman" w:cs="Times New Roman"/>
          <w:color w:val="000000"/>
          <w:sz w:val="24"/>
          <w:szCs w:val="24"/>
        </w:rPr>
      </w:pPr>
      <w:r w:rsidRPr="001A05F2">
        <w:rPr>
          <w:rFonts w:ascii="Times New Roman" w:hAnsi="Times New Roman" w:cs="Times New Roman"/>
          <w:b/>
          <w:sz w:val="24"/>
          <w:szCs w:val="24"/>
        </w:rPr>
        <w:t xml:space="preserve">5.1 </w:t>
      </w:r>
      <w:r w:rsidRPr="001A05F2">
        <w:rPr>
          <w:rFonts w:ascii="Times New Roman" w:hAnsi="Times New Roman" w:cs="Times New Roman"/>
          <w:color w:val="000000" w:themeColor="text1"/>
          <w:sz w:val="24"/>
          <w:szCs w:val="24"/>
        </w:rPr>
        <w:t xml:space="preserve">La flessibilità organizzativa riconosciuta dal decreto legislativo 30 luglio 1999, n. 303 alla Presidenza del Consiglio dei ministri, in considerazione della peculiarità delle funzioni svolte, si riflette, sotto il profilo gestionale, nella struttura del bilancio autonomo della Presidenza del Consiglio dei ministri, che si adatta, sia al diverso assetto che può assumere la compagine governativa e alle diverse priorità di intervento definite dal Presidente del Consiglio dei ministri, sia agli eventuali trasferimenti di funzioni allocate presso la Presidenza del Consiglio dei ministri ai Ministeri e viceversa, stabiliti da specifiche disposizioni legislative. </w:t>
      </w:r>
      <w:r w:rsidRPr="001A05F2">
        <w:rPr>
          <w:rFonts w:ascii="Times New Roman" w:hAnsi="Times New Roman" w:cs="Times New Roman"/>
          <w:color w:val="000000"/>
          <w:sz w:val="24"/>
          <w:szCs w:val="24"/>
        </w:rPr>
        <w:t>La struttura del bilancio è, inoltre, connessa anche ai processi di riorganizzazione delle strutture della Presidenza del Consiglio di ministri, da cui può derivare l</w:t>
      </w:r>
      <w:r w:rsidR="00877AAF">
        <w:rPr>
          <w:rFonts w:ascii="Times New Roman" w:hAnsi="Times New Roman" w:cs="Times New Roman"/>
          <w:color w:val="000000"/>
          <w:sz w:val="24"/>
          <w:szCs w:val="24"/>
        </w:rPr>
        <w:t>’</w:t>
      </w:r>
      <w:r w:rsidRPr="001A05F2">
        <w:rPr>
          <w:rFonts w:ascii="Times New Roman" w:hAnsi="Times New Roman" w:cs="Times New Roman"/>
          <w:color w:val="000000"/>
          <w:sz w:val="24"/>
          <w:szCs w:val="24"/>
        </w:rPr>
        <w:t xml:space="preserve">istituzione, la soppressione o la modifica delle stesse strutture e dei corrispondenti centri di responsabilità. </w:t>
      </w:r>
    </w:p>
    <w:p w14:paraId="6EE2C6FF" w14:textId="54F2DA04" w:rsidR="00021959" w:rsidRDefault="00021959" w:rsidP="00CE681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w:t>
      </w:r>
      <w:r w:rsidRPr="00000DB3">
        <w:rPr>
          <w:rFonts w:ascii="Times New Roman" w:hAnsi="Times New Roman" w:cs="Times New Roman"/>
          <w:color w:val="000000"/>
          <w:sz w:val="24"/>
          <w:szCs w:val="24"/>
        </w:rPr>
        <w:t xml:space="preserve">on il bilancio di previsione </w:t>
      </w:r>
      <w:r>
        <w:rPr>
          <w:rFonts w:ascii="Times New Roman" w:hAnsi="Times New Roman" w:cs="Times New Roman"/>
          <w:color w:val="000000"/>
          <w:sz w:val="24"/>
          <w:szCs w:val="24"/>
        </w:rPr>
        <w:t xml:space="preserve">per il </w:t>
      </w:r>
      <w:r w:rsidRPr="00000DB3">
        <w:rPr>
          <w:rFonts w:ascii="Times New Roman" w:hAnsi="Times New Roman" w:cs="Times New Roman"/>
          <w:color w:val="000000"/>
          <w:sz w:val="24"/>
          <w:szCs w:val="24"/>
        </w:rPr>
        <w:t>2022</w:t>
      </w:r>
      <w:r>
        <w:rPr>
          <w:rFonts w:ascii="Times New Roman" w:hAnsi="Times New Roman" w:cs="Times New Roman"/>
          <w:color w:val="000000"/>
          <w:sz w:val="24"/>
          <w:szCs w:val="24"/>
        </w:rPr>
        <w:t xml:space="preserve"> è</w:t>
      </w:r>
      <w:r w:rsidRPr="001A05F2">
        <w:rPr>
          <w:rFonts w:ascii="Times New Roman" w:hAnsi="Times New Roman" w:cs="Times New Roman"/>
          <w:color w:val="000000"/>
          <w:sz w:val="24"/>
          <w:szCs w:val="24"/>
        </w:rPr>
        <w:t xml:space="preserve"> stato</w:t>
      </w:r>
      <w:r>
        <w:rPr>
          <w:rFonts w:ascii="Times New Roman" w:hAnsi="Times New Roman" w:cs="Times New Roman"/>
          <w:color w:val="000000"/>
          <w:sz w:val="24"/>
          <w:szCs w:val="24"/>
        </w:rPr>
        <w:t xml:space="preserve"> </w:t>
      </w:r>
      <w:r w:rsidRPr="002C2870">
        <w:rPr>
          <w:rFonts w:ascii="Times New Roman" w:hAnsi="Times New Roman" w:cs="Times New Roman"/>
          <w:color w:val="000000"/>
          <w:sz w:val="24"/>
          <w:szCs w:val="24"/>
        </w:rPr>
        <w:t xml:space="preserve">istituito il </w:t>
      </w:r>
      <w:r w:rsidRPr="002C2870">
        <w:rPr>
          <w:rFonts w:ascii="Times New Roman" w:hAnsi="Times New Roman" w:cs="Times New Roman"/>
          <w:b/>
          <w:color w:val="000000"/>
          <w:sz w:val="24"/>
          <w:szCs w:val="24"/>
        </w:rPr>
        <w:t>Centro di responsabilità n. 20 “</w:t>
      </w:r>
      <w:r w:rsidRPr="009244DF">
        <w:rPr>
          <w:rFonts w:ascii="Times New Roman" w:hAnsi="Times New Roman" w:cs="Times New Roman"/>
          <w:b/>
          <w:i/>
          <w:color w:val="000000"/>
          <w:sz w:val="24"/>
          <w:szCs w:val="24"/>
        </w:rPr>
        <w:t>Politiche in favore delle persone con disabilità</w:t>
      </w:r>
      <w:r w:rsidRPr="00000DB3">
        <w:rPr>
          <w:rFonts w:ascii="Times New Roman" w:hAnsi="Times New Roman" w:cs="Times New Roman"/>
          <w:b/>
          <w:color w:val="000000"/>
          <w:sz w:val="24"/>
          <w:szCs w:val="24"/>
        </w:rPr>
        <w:t>”</w:t>
      </w:r>
      <w:r w:rsidRPr="00000DB3">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sidRPr="001A05F2">
        <w:rPr>
          <w:rFonts w:ascii="Times New Roman" w:hAnsi="Times New Roman" w:cs="Times New Roman"/>
          <w:color w:val="000000"/>
          <w:sz w:val="24"/>
          <w:szCs w:val="24"/>
        </w:rPr>
        <w:t xml:space="preserve">al fine di rappresentare, nel bilancio della Presidenza del Consiglio dei ministri, le politiche volte a garantire la tutela e la promozione dei diritti delle persone con disabilità. Pertanto, i capitoli di spesa relativi alla tutela delle persone con disabilità, che nel bilancio 2021 erano iscritti nel </w:t>
      </w:r>
      <w:r w:rsidRPr="009244DF">
        <w:rPr>
          <w:rFonts w:ascii="Times New Roman" w:hAnsi="Times New Roman" w:cs="Times New Roman"/>
          <w:b/>
          <w:color w:val="000000"/>
          <w:sz w:val="24"/>
          <w:szCs w:val="24"/>
        </w:rPr>
        <w:t>CR 1</w:t>
      </w:r>
      <w:r w:rsidRPr="009244DF">
        <w:rPr>
          <w:rFonts w:ascii="Times New Roman" w:hAnsi="Times New Roman" w:cs="Times New Roman"/>
          <w:b/>
          <w:i/>
          <w:color w:val="000000"/>
          <w:sz w:val="24"/>
          <w:szCs w:val="24"/>
        </w:rPr>
        <w:t xml:space="preserve"> “Segretariato generale</w:t>
      </w:r>
      <w:r w:rsidRPr="001A05F2">
        <w:rPr>
          <w:rFonts w:ascii="Times New Roman" w:hAnsi="Times New Roman" w:cs="Times New Roman"/>
          <w:color w:val="000000"/>
          <w:sz w:val="24"/>
          <w:szCs w:val="24"/>
        </w:rPr>
        <w:t xml:space="preserve">”, sono stati trasferiti sul nuovo </w:t>
      </w:r>
      <w:r w:rsidR="009244DF">
        <w:rPr>
          <w:rFonts w:ascii="Times New Roman" w:hAnsi="Times New Roman" w:cs="Times New Roman"/>
          <w:b/>
          <w:color w:val="000000"/>
          <w:sz w:val="24"/>
          <w:szCs w:val="24"/>
        </w:rPr>
        <w:t>C</w:t>
      </w:r>
      <w:r w:rsidRPr="009244DF">
        <w:rPr>
          <w:rFonts w:ascii="Times New Roman" w:hAnsi="Times New Roman" w:cs="Times New Roman"/>
          <w:b/>
          <w:color w:val="000000"/>
          <w:sz w:val="24"/>
          <w:szCs w:val="24"/>
        </w:rPr>
        <w:t xml:space="preserve">entro di responsabilità </w:t>
      </w:r>
      <w:r w:rsidRPr="001A05F2">
        <w:rPr>
          <w:rFonts w:ascii="Times New Roman" w:hAnsi="Times New Roman" w:cs="Times New Roman"/>
          <w:color w:val="000000"/>
          <w:sz w:val="24"/>
          <w:szCs w:val="24"/>
        </w:rPr>
        <w:t>“</w:t>
      </w:r>
      <w:r w:rsidRPr="009244DF">
        <w:rPr>
          <w:rFonts w:ascii="Times New Roman" w:hAnsi="Times New Roman" w:cs="Times New Roman"/>
          <w:b/>
          <w:i/>
          <w:color w:val="000000"/>
          <w:sz w:val="24"/>
          <w:szCs w:val="24"/>
        </w:rPr>
        <w:t>Politiche in favore delle persone con disabilità</w:t>
      </w:r>
      <w:r w:rsidRPr="001A05F2">
        <w:rPr>
          <w:rFonts w:ascii="Times New Roman" w:hAnsi="Times New Roman" w:cs="Times New Roman"/>
          <w:color w:val="000000"/>
          <w:sz w:val="24"/>
          <w:szCs w:val="24"/>
        </w:rPr>
        <w:t>”.</w:t>
      </w:r>
    </w:p>
    <w:p w14:paraId="0CF90DB1" w14:textId="77D1BD7F" w:rsidR="00CE6817" w:rsidRPr="00021959" w:rsidRDefault="00CF65D4" w:rsidP="00CE6817">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CE6817" w:rsidRPr="001A05F2">
        <w:rPr>
          <w:rFonts w:ascii="Times New Roman" w:hAnsi="Times New Roman" w:cs="Times New Roman"/>
          <w:color w:val="000000"/>
          <w:sz w:val="24"/>
          <w:szCs w:val="24"/>
        </w:rPr>
        <w:t xml:space="preserve">i sensi del </w:t>
      </w:r>
      <w:r w:rsidR="00CE6817" w:rsidRPr="001A05F2">
        <w:rPr>
          <w:rFonts w:ascii="Times New Roman" w:hAnsi="Times New Roman" w:cs="Times New Roman"/>
          <w:b/>
          <w:color w:val="000000"/>
          <w:sz w:val="24"/>
          <w:szCs w:val="24"/>
        </w:rPr>
        <w:t>decreto-legge 30 aprile 2022, n. 36</w:t>
      </w:r>
      <w:r w:rsidR="00CE6817" w:rsidRPr="001A05F2">
        <w:rPr>
          <w:rFonts w:ascii="Times New Roman" w:hAnsi="Times New Roman" w:cs="Times New Roman"/>
          <w:color w:val="000000"/>
          <w:sz w:val="24"/>
          <w:szCs w:val="24"/>
        </w:rPr>
        <w:t>, recante “Ulteriori misure urgenti per l</w:t>
      </w:r>
      <w:r w:rsidR="00877AAF">
        <w:rPr>
          <w:rFonts w:ascii="Times New Roman" w:hAnsi="Times New Roman" w:cs="Times New Roman"/>
          <w:color w:val="000000"/>
          <w:sz w:val="24"/>
          <w:szCs w:val="24"/>
        </w:rPr>
        <w:t>’</w:t>
      </w:r>
      <w:r w:rsidR="00CE6817" w:rsidRPr="001A05F2">
        <w:rPr>
          <w:rFonts w:ascii="Times New Roman" w:hAnsi="Times New Roman" w:cs="Times New Roman"/>
          <w:color w:val="000000"/>
          <w:sz w:val="24"/>
          <w:szCs w:val="24"/>
        </w:rPr>
        <w:t xml:space="preserve">attuazione del Piano nazionale di ripresa e resilienza (PNRR)”, </w:t>
      </w:r>
      <w:r w:rsidR="006E301B" w:rsidRPr="00C20E69">
        <w:rPr>
          <w:rFonts w:ascii="Times New Roman" w:hAnsi="Times New Roman" w:cs="Times New Roman"/>
          <w:color w:val="000000" w:themeColor="text1"/>
          <w:sz w:val="24"/>
          <w:szCs w:val="24"/>
        </w:rPr>
        <w:t xml:space="preserve">convertito, con modificazioni, dalla legge 29 giugno 2022, n. 79, </w:t>
      </w:r>
      <w:r w:rsidR="00CE6817" w:rsidRPr="00C20E69">
        <w:rPr>
          <w:rFonts w:ascii="Times New Roman" w:hAnsi="Times New Roman" w:cs="Times New Roman"/>
          <w:color w:val="000000"/>
          <w:sz w:val="24"/>
          <w:szCs w:val="24"/>
        </w:rPr>
        <w:t>che prevede anche</w:t>
      </w:r>
      <w:r w:rsidR="00CE6817" w:rsidRPr="001A05F2">
        <w:rPr>
          <w:rFonts w:ascii="Times New Roman" w:hAnsi="Times New Roman" w:cs="Times New Roman"/>
          <w:color w:val="000000"/>
          <w:sz w:val="24"/>
          <w:szCs w:val="24"/>
        </w:rPr>
        <w:t xml:space="preserve"> disposizioni relative al riordino dell</w:t>
      </w:r>
      <w:r w:rsidR="00877AAF">
        <w:rPr>
          <w:rFonts w:ascii="Times New Roman" w:hAnsi="Times New Roman" w:cs="Times New Roman"/>
          <w:color w:val="000000"/>
          <w:sz w:val="24"/>
          <w:szCs w:val="24"/>
        </w:rPr>
        <w:t>’</w:t>
      </w:r>
      <w:r w:rsidR="00CE6817" w:rsidRPr="001A05F2">
        <w:rPr>
          <w:rFonts w:ascii="Times New Roman" w:hAnsi="Times New Roman" w:cs="Times New Roman"/>
          <w:color w:val="000000"/>
          <w:sz w:val="24"/>
          <w:szCs w:val="24"/>
        </w:rPr>
        <w:t xml:space="preserve">Agenzia spaziale italiana (ASI) e </w:t>
      </w:r>
      <w:r w:rsidR="00CE6817" w:rsidRPr="001A05F2">
        <w:rPr>
          <w:rFonts w:ascii="Times New Roman" w:hAnsi="Times New Roman" w:cs="Times New Roman"/>
          <w:color w:val="000000"/>
          <w:sz w:val="24"/>
          <w:szCs w:val="24"/>
        </w:rPr>
        <w:lastRenderedPageBreak/>
        <w:t>del settore spaziale e aerospaziale, sono state trasferite alla Presidenza del Consiglio dei ministri le funzioni in precedenza assegnate al Ministero dell</w:t>
      </w:r>
      <w:r w:rsidR="00877AAF">
        <w:rPr>
          <w:rFonts w:ascii="Times New Roman" w:hAnsi="Times New Roman" w:cs="Times New Roman"/>
          <w:color w:val="000000"/>
          <w:sz w:val="24"/>
          <w:szCs w:val="24"/>
        </w:rPr>
        <w:t>’</w:t>
      </w:r>
      <w:r w:rsidR="00CE6817" w:rsidRPr="001A05F2">
        <w:rPr>
          <w:rFonts w:ascii="Times New Roman" w:hAnsi="Times New Roman" w:cs="Times New Roman"/>
          <w:color w:val="000000"/>
          <w:sz w:val="24"/>
          <w:szCs w:val="24"/>
        </w:rPr>
        <w:t>istruzione, dell</w:t>
      </w:r>
      <w:r w:rsidR="00877AAF">
        <w:rPr>
          <w:rFonts w:ascii="Times New Roman" w:hAnsi="Times New Roman" w:cs="Times New Roman"/>
          <w:color w:val="000000"/>
          <w:sz w:val="24"/>
          <w:szCs w:val="24"/>
        </w:rPr>
        <w:t>’</w:t>
      </w:r>
      <w:r w:rsidR="00CE6817" w:rsidRPr="001A05F2">
        <w:rPr>
          <w:rFonts w:ascii="Times New Roman" w:hAnsi="Times New Roman" w:cs="Times New Roman"/>
          <w:color w:val="000000"/>
          <w:sz w:val="24"/>
          <w:szCs w:val="24"/>
        </w:rPr>
        <w:t>università e della ricerca in materia di politiche spaziali e aerospaziali. Pertanto, è stata istituita un</w:t>
      </w:r>
      <w:r w:rsidR="009244DF">
        <w:rPr>
          <w:rFonts w:ascii="Times New Roman" w:hAnsi="Times New Roman" w:cs="Times New Roman"/>
          <w:color w:val="000000"/>
          <w:sz w:val="24"/>
          <w:szCs w:val="24"/>
        </w:rPr>
        <w:t>’</w:t>
      </w:r>
      <w:r w:rsidR="00CE6817" w:rsidRPr="001A05F2">
        <w:rPr>
          <w:rFonts w:ascii="Times New Roman" w:hAnsi="Times New Roman" w:cs="Times New Roman"/>
          <w:color w:val="000000"/>
          <w:sz w:val="24"/>
          <w:szCs w:val="24"/>
        </w:rPr>
        <w:t>apposita struttura della Presidenza del Consiglio dei ministri per le dette politiche, ai fini dell</w:t>
      </w:r>
      <w:r w:rsidR="00877AAF">
        <w:rPr>
          <w:rFonts w:ascii="Times New Roman" w:hAnsi="Times New Roman" w:cs="Times New Roman"/>
          <w:color w:val="000000"/>
          <w:sz w:val="24"/>
          <w:szCs w:val="24"/>
        </w:rPr>
        <w:t>’</w:t>
      </w:r>
      <w:r w:rsidR="00CE6817" w:rsidRPr="001A05F2">
        <w:rPr>
          <w:rFonts w:ascii="Times New Roman" w:hAnsi="Times New Roman" w:cs="Times New Roman"/>
          <w:color w:val="000000"/>
          <w:sz w:val="24"/>
          <w:szCs w:val="24"/>
        </w:rPr>
        <w:t xml:space="preserve">espletamento delle attività di supporto. </w:t>
      </w:r>
      <w:r w:rsidR="00CE6817" w:rsidRPr="001A05F2">
        <w:rPr>
          <w:rFonts w:ascii="Times New Roman" w:hAnsi="Times New Roman" w:cs="Times New Roman"/>
          <w:color w:val="000000" w:themeColor="text1"/>
          <w:sz w:val="24"/>
          <w:szCs w:val="24"/>
        </w:rPr>
        <w:t xml:space="preserve">Al riguardo, è stato istituito, con decreto del Presidente del Consiglio dei ministri 14 ottobre 2022, </w:t>
      </w:r>
      <w:r w:rsidR="00CE6817" w:rsidRPr="00CF65D4">
        <w:rPr>
          <w:rFonts w:ascii="Times New Roman" w:hAnsi="Times New Roman" w:cs="Times New Roman"/>
          <w:color w:val="000000" w:themeColor="text1"/>
          <w:sz w:val="24"/>
          <w:szCs w:val="24"/>
        </w:rPr>
        <w:t xml:space="preserve">il </w:t>
      </w:r>
      <w:r w:rsidR="00CE6817" w:rsidRPr="001A05F2">
        <w:rPr>
          <w:rFonts w:ascii="Times New Roman" w:hAnsi="Times New Roman" w:cs="Times New Roman"/>
          <w:b/>
          <w:color w:val="000000" w:themeColor="text1"/>
          <w:sz w:val="24"/>
          <w:szCs w:val="24"/>
        </w:rPr>
        <w:t>Centro di responsabilità n. 21 “</w:t>
      </w:r>
      <w:r w:rsidR="00CE6817" w:rsidRPr="009244DF">
        <w:rPr>
          <w:rFonts w:ascii="Times New Roman" w:hAnsi="Times New Roman" w:cs="Times New Roman"/>
          <w:b/>
          <w:i/>
          <w:color w:val="000000" w:themeColor="text1"/>
          <w:sz w:val="24"/>
          <w:szCs w:val="24"/>
        </w:rPr>
        <w:t>Politiche spaziali e aerospaziali</w:t>
      </w:r>
      <w:r w:rsidR="00CE6817" w:rsidRPr="001A05F2">
        <w:rPr>
          <w:rFonts w:ascii="Times New Roman" w:hAnsi="Times New Roman" w:cs="Times New Roman"/>
          <w:b/>
          <w:color w:val="000000" w:themeColor="text1"/>
          <w:sz w:val="24"/>
          <w:szCs w:val="24"/>
        </w:rPr>
        <w:t>”</w:t>
      </w:r>
      <w:r w:rsidR="00021959" w:rsidRPr="00021959">
        <w:rPr>
          <w:rFonts w:ascii="Times New Roman" w:hAnsi="Times New Roman" w:cs="Times New Roman"/>
          <w:color w:val="000000" w:themeColor="text1"/>
          <w:sz w:val="24"/>
          <w:szCs w:val="24"/>
        </w:rPr>
        <w:t>,</w:t>
      </w:r>
      <w:r w:rsidR="00021959">
        <w:rPr>
          <w:rFonts w:ascii="Times New Roman" w:hAnsi="Times New Roman" w:cs="Times New Roman"/>
          <w:b/>
          <w:color w:val="000000" w:themeColor="text1"/>
          <w:sz w:val="24"/>
          <w:szCs w:val="24"/>
        </w:rPr>
        <w:t xml:space="preserve"> </w:t>
      </w:r>
      <w:r w:rsidR="00021959" w:rsidRPr="00021959">
        <w:rPr>
          <w:rFonts w:ascii="Times New Roman" w:hAnsi="Times New Roman" w:cs="Times New Roman"/>
          <w:color w:val="000000" w:themeColor="text1"/>
          <w:sz w:val="24"/>
          <w:szCs w:val="24"/>
        </w:rPr>
        <w:t>con i relativi capitoli di spesa</w:t>
      </w:r>
      <w:r w:rsidR="00CE6817" w:rsidRPr="00A761D1">
        <w:rPr>
          <w:rFonts w:ascii="Times New Roman" w:hAnsi="Times New Roman" w:cs="Times New Roman"/>
          <w:color w:val="000000" w:themeColor="text1"/>
          <w:sz w:val="24"/>
          <w:szCs w:val="24"/>
        </w:rPr>
        <w:t>.</w:t>
      </w:r>
      <w:r w:rsidR="00CE6817" w:rsidRPr="001A05F2">
        <w:rPr>
          <w:rFonts w:ascii="Times New Roman" w:hAnsi="Times New Roman" w:cs="Times New Roman"/>
          <w:color w:val="000000"/>
          <w:sz w:val="24"/>
          <w:szCs w:val="24"/>
        </w:rPr>
        <w:tab/>
      </w:r>
      <w:r w:rsidR="00CE6817" w:rsidRPr="001A05F2">
        <w:rPr>
          <w:rFonts w:ascii="Times New Roman" w:hAnsi="Times New Roman" w:cs="Times New Roman"/>
          <w:color w:val="000000"/>
          <w:sz w:val="24"/>
          <w:szCs w:val="24"/>
        </w:rPr>
        <w:tab/>
        <w:t xml:space="preserve">      </w:t>
      </w:r>
      <w:r w:rsidR="00CE6817" w:rsidRPr="001A05F2">
        <w:rPr>
          <w:rFonts w:ascii="Times New Roman" w:hAnsi="Times New Roman" w:cs="Times New Roman"/>
          <w:color w:val="000000"/>
          <w:sz w:val="24"/>
          <w:szCs w:val="24"/>
        </w:rPr>
        <w:tab/>
      </w:r>
      <w:r w:rsidR="00CE6817" w:rsidRPr="001A05F2">
        <w:rPr>
          <w:rFonts w:ascii="Times New Roman" w:hAnsi="Times New Roman" w:cs="Times New Roman"/>
          <w:color w:val="000000"/>
          <w:sz w:val="24"/>
          <w:szCs w:val="24"/>
        </w:rPr>
        <w:tab/>
        <w:t xml:space="preserve">       </w:t>
      </w:r>
    </w:p>
    <w:p w14:paraId="498EE5E3" w14:textId="601C233B" w:rsidR="00CE6817" w:rsidRPr="001A05F2" w:rsidRDefault="00021959" w:rsidP="00CE681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In</w:t>
      </w:r>
      <w:r w:rsidR="004D1BA1">
        <w:rPr>
          <w:rFonts w:ascii="Times New Roman" w:hAnsi="Times New Roman" w:cs="Times New Roman"/>
          <w:sz w:val="24"/>
          <w:szCs w:val="24"/>
        </w:rPr>
        <w:t>oltre</w:t>
      </w:r>
      <w:r>
        <w:rPr>
          <w:rFonts w:ascii="Times New Roman" w:hAnsi="Times New Roman" w:cs="Times New Roman"/>
          <w:sz w:val="24"/>
          <w:szCs w:val="24"/>
        </w:rPr>
        <w:t>,</w:t>
      </w:r>
      <w:r w:rsidR="00CE6817" w:rsidRPr="001A05F2">
        <w:rPr>
          <w:rFonts w:ascii="Times New Roman" w:hAnsi="Times New Roman" w:cs="Times New Roman"/>
          <w:sz w:val="24"/>
          <w:szCs w:val="24"/>
        </w:rPr>
        <w:t xml:space="preserve"> nell</w:t>
      </w:r>
      <w:r w:rsidR="00877AAF">
        <w:rPr>
          <w:rFonts w:ascii="Times New Roman" w:hAnsi="Times New Roman" w:cs="Times New Roman"/>
          <w:sz w:val="24"/>
          <w:szCs w:val="24"/>
        </w:rPr>
        <w:t>’</w:t>
      </w:r>
      <w:r w:rsidR="00CE6817" w:rsidRPr="001A05F2">
        <w:rPr>
          <w:rFonts w:ascii="Times New Roman" w:hAnsi="Times New Roman" w:cs="Times New Roman"/>
          <w:sz w:val="24"/>
          <w:szCs w:val="24"/>
        </w:rPr>
        <w:t xml:space="preserve">esercizio finanziario 2022 la struttura del bilancio è stata adeguata rispetto al nuovo quadro delle competenze assegnate alla Presidenza del Consiglio dei ministri da </w:t>
      </w:r>
      <w:r>
        <w:rPr>
          <w:rFonts w:ascii="Times New Roman" w:hAnsi="Times New Roman" w:cs="Times New Roman"/>
          <w:sz w:val="24"/>
          <w:szCs w:val="24"/>
        </w:rPr>
        <w:t xml:space="preserve">ulteriori </w:t>
      </w:r>
      <w:r w:rsidR="00CE6817" w:rsidRPr="001A05F2">
        <w:rPr>
          <w:rFonts w:ascii="Times New Roman" w:hAnsi="Times New Roman" w:cs="Times New Roman"/>
          <w:sz w:val="24"/>
          <w:szCs w:val="24"/>
        </w:rPr>
        <w:t xml:space="preserve">apposite disposizioni legislative. </w:t>
      </w:r>
      <w:r w:rsidR="00CE6817" w:rsidRPr="001A05F2">
        <w:rPr>
          <w:rFonts w:ascii="Times New Roman" w:hAnsi="Times New Roman" w:cs="Times New Roman"/>
          <w:color w:val="000000" w:themeColor="text1"/>
          <w:sz w:val="24"/>
          <w:szCs w:val="24"/>
        </w:rPr>
        <w:t xml:space="preserve">In particolare: </w:t>
      </w:r>
    </w:p>
    <w:p w14:paraId="0A162436" w14:textId="08C9FED6" w:rsidR="00021959" w:rsidRDefault="00CE6817" w:rsidP="00CE6817">
      <w:pPr>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b/>
          <w:color w:val="000000" w:themeColor="text1"/>
          <w:sz w:val="24"/>
          <w:szCs w:val="24"/>
        </w:rPr>
        <w:t>- il decreto-legge 27 gennaio 2022, n. 4</w:t>
      </w:r>
      <w:r w:rsidRPr="00A761D1">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recante “Misure urgenti in materia di sostegno alle imprese e agli operatori economici, di lavoro, salute e servizi territoriali, connesse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emergenza da COVID-19, nonché per il contenimento degli effetti degli aumenti dei prezzi nel settore elettrico”, convertito</w:t>
      </w:r>
      <w:r w:rsidR="006E301B">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con modificazioni, dalla legge 28 marzo 2022, n. 25,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articolo 14-</w:t>
      </w:r>
      <w:r w:rsidRPr="00B43248">
        <w:rPr>
          <w:rFonts w:ascii="Times New Roman" w:hAnsi="Times New Roman" w:cs="Times New Roman"/>
          <w:i/>
          <w:color w:val="000000" w:themeColor="text1"/>
          <w:sz w:val="24"/>
          <w:szCs w:val="24"/>
        </w:rPr>
        <w:t>bis</w:t>
      </w:r>
      <w:r w:rsidRPr="001A05F2">
        <w:rPr>
          <w:rFonts w:ascii="Times New Roman" w:hAnsi="Times New Roman" w:cs="Times New Roman"/>
          <w:color w:val="000000" w:themeColor="text1"/>
          <w:sz w:val="24"/>
          <w:szCs w:val="24"/>
        </w:rPr>
        <w:t>, ha stabilito che, al fine di sostenere le famiglie e le persone che utilizzano presso la propria abitazione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energia elettrica per apparecchiature mediche necessarie per il mantenimento in vita, ai sensi del decreto del Ministro della salute 13 gennaio 2011, è istituito, presso la Presidenza del Consiglio dei ministri, un fondo volto a fornire un contributo ai predetti soggetti, nei limiti delle risorse autorizzate ai sensi del suddetto articolo, finalizzato ad attenuare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aumento dei costi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energia elettrica. Sono stati, così, istituiti i capitoli di entrata e di spesa nel </w:t>
      </w:r>
      <w:r w:rsidRPr="009244DF">
        <w:rPr>
          <w:rFonts w:ascii="Times New Roman" w:hAnsi="Times New Roman" w:cs="Times New Roman"/>
          <w:b/>
          <w:color w:val="000000" w:themeColor="text1"/>
          <w:sz w:val="24"/>
          <w:szCs w:val="24"/>
        </w:rPr>
        <w:t>CR 20</w:t>
      </w:r>
      <w:r w:rsidRPr="009244DF">
        <w:rPr>
          <w:b/>
          <w:i/>
        </w:rPr>
        <w:t xml:space="preserve"> </w:t>
      </w:r>
      <w:r w:rsidR="009244DF" w:rsidRPr="009244DF">
        <w:rPr>
          <w:b/>
          <w:i/>
        </w:rPr>
        <w:t>“</w:t>
      </w:r>
      <w:r w:rsidRPr="009244DF">
        <w:rPr>
          <w:rFonts w:ascii="Times New Roman" w:hAnsi="Times New Roman" w:cs="Times New Roman"/>
          <w:b/>
          <w:i/>
          <w:color w:val="000000" w:themeColor="text1"/>
          <w:sz w:val="24"/>
          <w:szCs w:val="24"/>
        </w:rPr>
        <w:t>Politiche in favore delle persone con disabilità”</w:t>
      </w:r>
      <w:r w:rsidRPr="001A05F2">
        <w:rPr>
          <w:rFonts w:ascii="Times New Roman" w:hAnsi="Times New Roman" w:cs="Times New Roman"/>
          <w:color w:val="000000" w:themeColor="text1"/>
          <w:sz w:val="24"/>
          <w:szCs w:val="24"/>
        </w:rPr>
        <w:t>, per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assegnazione delle relative risorse;</w:t>
      </w:r>
    </w:p>
    <w:p w14:paraId="0E77F0EE" w14:textId="5868A288" w:rsidR="00CE6817" w:rsidRPr="001A05F2" w:rsidRDefault="00021959" w:rsidP="00CE681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Pr="00D8600B">
        <w:rPr>
          <w:rFonts w:ascii="Times New Roman" w:hAnsi="Times New Roman" w:cs="Times New Roman"/>
          <w:b/>
          <w:color w:val="000000" w:themeColor="text1"/>
          <w:sz w:val="24"/>
          <w:szCs w:val="24"/>
        </w:rPr>
        <w:t>il decreto-legge 1° marzo 2022, n. 17</w:t>
      </w:r>
      <w:r w:rsidR="005C5FBC">
        <w:rPr>
          <w:rFonts w:ascii="Times New Roman" w:hAnsi="Times New Roman" w:cs="Times New Roman"/>
          <w:b/>
          <w:color w:val="000000" w:themeColor="text1"/>
          <w:sz w:val="24"/>
          <w:szCs w:val="24"/>
        </w:rPr>
        <w:t>,</w:t>
      </w:r>
      <w:r w:rsidRPr="00D8600B">
        <w:rPr>
          <w:rFonts w:ascii="Times New Roman" w:hAnsi="Times New Roman" w:cs="Times New Roman"/>
          <w:b/>
          <w:color w:val="000000" w:themeColor="text1"/>
          <w:sz w:val="24"/>
          <w:szCs w:val="24"/>
        </w:rPr>
        <w:t xml:space="preserve"> </w:t>
      </w:r>
      <w:r w:rsidRPr="00D8600B">
        <w:rPr>
          <w:rFonts w:ascii="Times New Roman" w:hAnsi="Times New Roman" w:cs="Times New Roman"/>
          <w:color w:val="000000" w:themeColor="text1"/>
          <w:sz w:val="24"/>
          <w:szCs w:val="24"/>
        </w:rPr>
        <w:t>recante “Misure urgenti per il contenimento dei costi dell</w:t>
      </w:r>
      <w:r w:rsidR="00877AAF">
        <w:rPr>
          <w:rFonts w:ascii="Times New Roman" w:hAnsi="Times New Roman" w:cs="Times New Roman"/>
          <w:color w:val="000000" w:themeColor="text1"/>
          <w:sz w:val="24"/>
          <w:szCs w:val="24"/>
        </w:rPr>
        <w:t>’</w:t>
      </w:r>
      <w:r w:rsidRPr="00D8600B">
        <w:rPr>
          <w:rFonts w:ascii="Times New Roman" w:hAnsi="Times New Roman" w:cs="Times New Roman"/>
          <w:color w:val="000000" w:themeColor="text1"/>
          <w:sz w:val="24"/>
          <w:szCs w:val="24"/>
        </w:rPr>
        <w:t>energia elettrica e del gas naturale, per lo sviluppo delle energie rinnovabili e per il rilancio delle politiche industriali”, convertito</w:t>
      </w:r>
      <w:r w:rsidR="006E301B">
        <w:rPr>
          <w:rFonts w:ascii="Times New Roman" w:hAnsi="Times New Roman" w:cs="Times New Roman"/>
          <w:color w:val="000000" w:themeColor="text1"/>
          <w:sz w:val="24"/>
          <w:szCs w:val="24"/>
        </w:rPr>
        <w:t>,</w:t>
      </w:r>
      <w:r w:rsidRPr="00D8600B">
        <w:rPr>
          <w:rFonts w:ascii="Times New Roman" w:hAnsi="Times New Roman" w:cs="Times New Roman"/>
          <w:color w:val="000000" w:themeColor="text1"/>
          <w:sz w:val="24"/>
          <w:szCs w:val="24"/>
        </w:rPr>
        <w:t xml:space="preserve"> con modificazion</w:t>
      </w:r>
      <w:r>
        <w:rPr>
          <w:rFonts w:ascii="Times New Roman" w:hAnsi="Times New Roman" w:cs="Times New Roman"/>
          <w:color w:val="000000" w:themeColor="text1"/>
          <w:sz w:val="24"/>
          <w:szCs w:val="24"/>
        </w:rPr>
        <w:t>i</w:t>
      </w:r>
      <w:r w:rsidR="005C5FBC">
        <w:rPr>
          <w:rFonts w:ascii="Times New Roman" w:hAnsi="Times New Roman" w:cs="Times New Roman"/>
          <w:color w:val="000000" w:themeColor="text1"/>
          <w:sz w:val="24"/>
          <w:szCs w:val="24"/>
        </w:rPr>
        <w:t>,</w:t>
      </w:r>
      <w:r w:rsidRPr="00D8600B">
        <w:rPr>
          <w:rFonts w:ascii="Times New Roman" w:hAnsi="Times New Roman" w:cs="Times New Roman"/>
          <w:color w:val="000000" w:themeColor="text1"/>
          <w:sz w:val="24"/>
          <w:szCs w:val="24"/>
        </w:rPr>
        <w:t xml:space="preserve"> dalla legge 27 aprile 2022 n.</w:t>
      </w:r>
      <w:r w:rsidR="006E301B">
        <w:rPr>
          <w:rFonts w:ascii="Times New Roman" w:hAnsi="Times New Roman" w:cs="Times New Roman"/>
          <w:color w:val="000000" w:themeColor="text1"/>
          <w:sz w:val="24"/>
          <w:szCs w:val="24"/>
        </w:rPr>
        <w:t xml:space="preserve"> </w:t>
      </w:r>
      <w:r w:rsidRPr="00D8600B">
        <w:rPr>
          <w:rFonts w:ascii="Times New Roman" w:hAnsi="Times New Roman" w:cs="Times New Roman"/>
          <w:color w:val="000000" w:themeColor="text1"/>
          <w:sz w:val="24"/>
          <w:szCs w:val="24"/>
        </w:rPr>
        <w:t xml:space="preserve">34, </w:t>
      </w:r>
      <w:r>
        <w:rPr>
          <w:rFonts w:ascii="Times New Roman" w:hAnsi="Times New Roman" w:cs="Times New Roman"/>
          <w:color w:val="000000" w:themeColor="text1"/>
          <w:sz w:val="24"/>
          <w:szCs w:val="24"/>
        </w:rPr>
        <w:t>e in particolare l</w:t>
      </w:r>
      <w:r w:rsidR="00877A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art</w:t>
      </w:r>
      <w:r w:rsidR="005C5FBC">
        <w:rPr>
          <w:rFonts w:ascii="Times New Roman" w:hAnsi="Times New Roman" w:cs="Times New Roman"/>
          <w:color w:val="000000" w:themeColor="text1"/>
          <w:sz w:val="24"/>
          <w:szCs w:val="24"/>
        </w:rPr>
        <w:t xml:space="preserve">icolo </w:t>
      </w:r>
      <w:r>
        <w:rPr>
          <w:rFonts w:ascii="Times New Roman" w:hAnsi="Times New Roman" w:cs="Times New Roman"/>
          <w:color w:val="000000" w:themeColor="text1"/>
          <w:sz w:val="24"/>
          <w:szCs w:val="24"/>
        </w:rPr>
        <w:t>31, il quale, novellando l</w:t>
      </w:r>
      <w:r w:rsidR="00877A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art</w:t>
      </w:r>
      <w:r w:rsidR="005C5FBC">
        <w:rPr>
          <w:rFonts w:ascii="Times New Roman" w:hAnsi="Times New Roman" w:cs="Times New Roman"/>
          <w:color w:val="000000" w:themeColor="text1"/>
          <w:sz w:val="24"/>
          <w:szCs w:val="24"/>
        </w:rPr>
        <w:t>icolo</w:t>
      </w:r>
      <w:r>
        <w:rPr>
          <w:rFonts w:ascii="Times New Roman" w:hAnsi="Times New Roman" w:cs="Times New Roman"/>
          <w:color w:val="000000" w:themeColor="text1"/>
          <w:sz w:val="24"/>
          <w:szCs w:val="24"/>
        </w:rPr>
        <w:t xml:space="preserve"> 22-</w:t>
      </w:r>
      <w:r w:rsidRPr="00B43248">
        <w:rPr>
          <w:rFonts w:ascii="Times New Roman" w:hAnsi="Times New Roman" w:cs="Times New Roman"/>
          <w:i/>
          <w:color w:val="000000" w:themeColor="text1"/>
          <w:sz w:val="24"/>
          <w:szCs w:val="24"/>
        </w:rPr>
        <w:t>bis</w:t>
      </w:r>
      <w:r>
        <w:rPr>
          <w:rFonts w:ascii="Times New Roman" w:hAnsi="Times New Roman" w:cs="Times New Roman"/>
          <w:color w:val="000000" w:themeColor="text1"/>
          <w:sz w:val="24"/>
          <w:szCs w:val="24"/>
        </w:rPr>
        <w:t xml:space="preserve"> del decreto-legge 17 marzo 2020 n. 18, ha incrementato il Fondo per iniziative di solidarietà a favore di familiari di medici, personale infermieristico e operatori socio-sanitari vittime del COVID-19 di euro 15.000.000,00 per l</w:t>
      </w:r>
      <w:r w:rsidR="00877A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anno 2022. Al riguardo</w:t>
      </w:r>
      <w:r w:rsidRPr="002957EB">
        <w:rPr>
          <w:rFonts w:ascii="Times New Roman" w:hAnsi="Times New Roman" w:cs="Times New Roman"/>
          <w:color w:val="000000" w:themeColor="text1"/>
          <w:sz w:val="24"/>
          <w:szCs w:val="24"/>
        </w:rPr>
        <w:t xml:space="preserve">, è stato istituito </w:t>
      </w:r>
      <w:r w:rsidR="002441C2">
        <w:rPr>
          <w:rFonts w:ascii="Times New Roman" w:hAnsi="Times New Roman" w:cs="Times New Roman"/>
          <w:color w:val="000000" w:themeColor="text1"/>
          <w:sz w:val="24"/>
          <w:szCs w:val="24"/>
        </w:rPr>
        <w:t>un apposito</w:t>
      </w:r>
      <w:r w:rsidRPr="002957EB">
        <w:rPr>
          <w:rFonts w:ascii="Times New Roman" w:hAnsi="Times New Roman" w:cs="Times New Roman"/>
          <w:color w:val="000000" w:themeColor="text1"/>
          <w:sz w:val="24"/>
          <w:szCs w:val="24"/>
        </w:rPr>
        <w:t xml:space="preserve"> capitolo di spesa nel </w:t>
      </w:r>
      <w:r w:rsidRPr="0004456F">
        <w:rPr>
          <w:rFonts w:ascii="Times New Roman" w:hAnsi="Times New Roman" w:cs="Times New Roman"/>
          <w:b/>
          <w:color w:val="000000" w:themeColor="text1"/>
          <w:sz w:val="24"/>
          <w:szCs w:val="24"/>
        </w:rPr>
        <w:t>CR 15</w:t>
      </w:r>
      <w:r w:rsidR="00907AD2">
        <w:rPr>
          <w:rFonts w:ascii="Times New Roman" w:hAnsi="Times New Roman" w:cs="Times New Roman"/>
          <w:b/>
          <w:color w:val="000000" w:themeColor="text1"/>
          <w:sz w:val="24"/>
          <w:szCs w:val="24"/>
        </w:rPr>
        <w:t xml:space="preserve"> </w:t>
      </w:r>
      <w:r w:rsidR="0004456F" w:rsidRPr="0004456F">
        <w:rPr>
          <w:rFonts w:ascii="Times New Roman" w:hAnsi="Times New Roman" w:cs="Times New Roman"/>
          <w:b/>
          <w:i/>
          <w:color w:val="000000" w:themeColor="text1"/>
          <w:sz w:val="24"/>
          <w:szCs w:val="24"/>
        </w:rPr>
        <w:t>“</w:t>
      </w:r>
      <w:r w:rsidRPr="0004456F">
        <w:rPr>
          <w:rFonts w:ascii="Times New Roman" w:hAnsi="Times New Roman" w:cs="Times New Roman"/>
          <w:b/>
          <w:i/>
          <w:color w:val="000000" w:themeColor="text1"/>
          <w:sz w:val="24"/>
          <w:szCs w:val="24"/>
        </w:rPr>
        <w:t>Politiche per la famiglia</w:t>
      </w:r>
      <w:r w:rsidR="0004456F" w:rsidRPr="0004456F">
        <w:rPr>
          <w:rFonts w:ascii="Times New Roman" w:hAnsi="Times New Roman" w:cs="Times New Roman"/>
          <w:b/>
          <w:i/>
          <w:color w:val="000000" w:themeColor="text1"/>
          <w:sz w:val="24"/>
          <w:szCs w:val="24"/>
        </w:rPr>
        <w:t>”</w:t>
      </w:r>
      <w:r w:rsidRPr="002957EB">
        <w:rPr>
          <w:rFonts w:ascii="Times New Roman" w:hAnsi="Times New Roman" w:cs="Times New Roman"/>
          <w:color w:val="000000" w:themeColor="text1"/>
          <w:sz w:val="24"/>
          <w:szCs w:val="24"/>
        </w:rPr>
        <w:t>, per l</w:t>
      </w:r>
      <w:r w:rsidR="00877AAF">
        <w:rPr>
          <w:rFonts w:ascii="Times New Roman" w:hAnsi="Times New Roman" w:cs="Times New Roman"/>
          <w:color w:val="000000" w:themeColor="text1"/>
          <w:sz w:val="24"/>
          <w:szCs w:val="24"/>
        </w:rPr>
        <w:t>’</w:t>
      </w:r>
      <w:r w:rsidRPr="002957EB">
        <w:rPr>
          <w:rFonts w:ascii="Times New Roman" w:hAnsi="Times New Roman" w:cs="Times New Roman"/>
          <w:color w:val="000000" w:themeColor="text1"/>
          <w:sz w:val="24"/>
          <w:szCs w:val="24"/>
        </w:rPr>
        <w:t>assegnazione delle risorse finanziarie;</w:t>
      </w:r>
      <w:r w:rsidR="00CE6817" w:rsidRPr="001A05F2">
        <w:rPr>
          <w:rFonts w:ascii="Times New Roman" w:hAnsi="Times New Roman" w:cs="Times New Roman"/>
          <w:color w:val="000000" w:themeColor="text1"/>
          <w:sz w:val="24"/>
          <w:szCs w:val="24"/>
        </w:rPr>
        <w:t xml:space="preserve">   </w:t>
      </w:r>
      <w:r w:rsidR="00CE6817" w:rsidRPr="001A05F2">
        <w:rPr>
          <w:rFonts w:ascii="Times New Roman" w:hAnsi="Times New Roman" w:cs="Times New Roman"/>
          <w:color w:val="000000" w:themeColor="text1"/>
          <w:sz w:val="24"/>
          <w:szCs w:val="24"/>
        </w:rPr>
        <w:tab/>
      </w:r>
      <w:r w:rsidR="00CE6817" w:rsidRPr="001A05F2">
        <w:rPr>
          <w:rFonts w:ascii="Times New Roman" w:hAnsi="Times New Roman" w:cs="Times New Roman"/>
          <w:color w:val="000000" w:themeColor="text1"/>
          <w:sz w:val="24"/>
          <w:szCs w:val="24"/>
        </w:rPr>
        <w:tab/>
        <w:t xml:space="preserve">      </w:t>
      </w:r>
    </w:p>
    <w:p w14:paraId="2A628E9D" w14:textId="0B645839" w:rsidR="00CE6817" w:rsidRDefault="00CE6817" w:rsidP="00CE6817">
      <w:pPr>
        <w:spacing w:after="0" w:line="360" w:lineRule="auto"/>
        <w:jc w:val="both"/>
        <w:rPr>
          <w:rFonts w:ascii="Times New Roman" w:hAnsi="Times New Roman" w:cs="Times New Roman"/>
          <w:sz w:val="24"/>
          <w:szCs w:val="24"/>
        </w:rPr>
      </w:pPr>
      <w:r w:rsidRPr="001A05F2">
        <w:rPr>
          <w:rFonts w:ascii="Times New Roman" w:hAnsi="Times New Roman" w:cs="Times New Roman"/>
          <w:b/>
          <w:color w:val="000000" w:themeColor="text1"/>
          <w:sz w:val="24"/>
          <w:szCs w:val="24"/>
        </w:rPr>
        <w:t>- il decreto-legge 21 marzo 2022, n. 21</w:t>
      </w:r>
      <w:r w:rsidRPr="001A05F2">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0"/>
          <w:szCs w:val="24"/>
        </w:rPr>
        <w:t xml:space="preserve"> </w:t>
      </w:r>
      <w:r w:rsidRPr="001A05F2">
        <w:rPr>
          <w:rFonts w:ascii="Times New Roman" w:hAnsi="Times New Roman" w:cs="Times New Roman"/>
          <w:color w:val="000000" w:themeColor="text1"/>
          <w:sz w:val="24"/>
          <w:szCs w:val="24"/>
        </w:rPr>
        <w:t>recante “Misure urgenti per contrastare gli effetti economici e umanitari della crisi ucraina”, convertito, con modificazioni, dalla legge 20 maggio 2022, n. 51</w:t>
      </w:r>
      <w:r w:rsidR="0004456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w:t>
      </w:r>
      <w:r w:rsidR="005C5FBC">
        <w:rPr>
          <w:rFonts w:ascii="Times New Roman" w:hAnsi="Times New Roman" w:cs="Times New Roman"/>
          <w:color w:val="000000" w:themeColor="text1"/>
          <w:sz w:val="24"/>
          <w:szCs w:val="24"/>
        </w:rPr>
        <w:t>icolo</w:t>
      </w:r>
      <w:r w:rsidRPr="001A05F2">
        <w:rPr>
          <w:rFonts w:ascii="Times New Roman" w:hAnsi="Times New Roman" w:cs="Times New Roman"/>
          <w:color w:val="000000" w:themeColor="text1"/>
          <w:sz w:val="24"/>
          <w:szCs w:val="24"/>
        </w:rPr>
        <w:t xml:space="preserve"> 27, comma 1, ha previsto, al fine di potenziare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attività di coordinamento della Presidenza del Consiglio dei ministri</w:t>
      </w:r>
      <w:r w:rsidR="0004456F">
        <w:rPr>
          <w:rFonts w:ascii="Times New Roman" w:hAnsi="Times New Roman" w:cs="Times New Roman"/>
          <w:color w:val="000000" w:themeColor="text1"/>
          <w:sz w:val="24"/>
          <w:szCs w:val="24"/>
        </w:rPr>
        <w:t xml:space="preserve">, </w:t>
      </w:r>
      <w:r w:rsidRPr="001A05F2">
        <w:rPr>
          <w:rFonts w:ascii="Times New Roman" w:hAnsi="Times New Roman" w:cs="Times New Roman"/>
          <w:color w:val="000000" w:themeColor="text1"/>
          <w:sz w:val="24"/>
          <w:szCs w:val="24"/>
        </w:rPr>
        <w:t>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istituzione, presso il Dipartimento per il coordinamento amministrativo della Presidenza del Consiglio dei ministri, di un nucleo di valutazione e analisi strategica in materia di esercizio dei poteri speciali, costituito da dieci componenti in possesso di specifica ed elevata </w:t>
      </w:r>
      <w:r w:rsidRPr="001A05F2">
        <w:rPr>
          <w:rFonts w:ascii="Times New Roman" w:hAnsi="Times New Roman" w:cs="Times New Roman"/>
          <w:color w:val="000000" w:themeColor="text1"/>
          <w:sz w:val="24"/>
          <w:szCs w:val="24"/>
        </w:rPr>
        <w:lastRenderedPageBreak/>
        <w:t>competenza in materia giuridica, economica e nelle relazioni internazionali.</w:t>
      </w:r>
      <w:r w:rsidRPr="001A05F2">
        <w:rPr>
          <w:color w:val="000000" w:themeColor="text1"/>
        </w:rPr>
        <w:t xml:space="preserve"> </w:t>
      </w:r>
      <w:r w:rsidRPr="001A05F2">
        <w:rPr>
          <w:rFonts w:ascii="Times New Roman" w:hAnsi="Times New Roman" w:cs="Times New Roman"/>
          <w:color w:val="000000" w:themeColor="text1"/>
          <w:sz w:val="24"/>
          <w:szCs w:val="24"/>
        </w:rPr>
        <w:t xml:space="preserve">È stato, così, istituito un nuovo capitolo di spesa nel </w:t>
      </w:r>
      <w:r w:rsidRPr="0004456F">
        <w:rPr>
          <w:rFonts w:ascii="Times New Roman" w:hAnsi="Times New Roman" w:cs="Times New Roman"/>
          <w:b/>
          <w:color w:val="000000" w:themeColor="text1"/>
          <w:sz w:val="24"/>
          <w:szCs w:val="24"/>
        </w:rPr>
        <w:t>CR 1</w:t>
      </w:r>
      <w:r w:rsidRPr="0004456F">
        <w:rPr>
          <w:rFonts w:ascii="Times New Roman" w:hAnsi="Times New Roman" w:cs="Times New Roman"/>
          <w:b/>
          <w:i/>
          <w:color w:val="000000" w:themeColor="text1"/>
          <w:sz w:val="24"/>
          <w:szCs w:val="24"/>
        </w:rPr>
        <w:t xml:space="preserve"> “Segretariato generale”</w:t>
      </w:r>
      <w:r w:rsidR="005C5FBC">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denominato “</w:t>
      </w:r>
      <w:r w:rsidRPr="0004456F">
        <w:rPr>
          <w:rFonts w:ascii="Times New Roman" w:hAnsi="Times New Roman" w:cs="Times New Roman"/>
          <w:i/>
          <w:color w:val="000000" w:themeColor="text1"/>
          <w:sz w:val="24"/>
          <w:szCs w:val="24"/>
        </w:rPr>
        <w:t>Compensi per i componenti del Nucleo di valutazione e analisi strategica in materia di esercizio di poteri speciali</w:t>
      </w:r>
      <w:r w:rsidRPr="0004456F">
        <w:rPr>
          <w:rFonts w:ascii="Times New Roman" w:hAnsi="Times New Roman" w:cs="Times New Roman"/>
          <w:i/>
          <w:sz w:val="24"/>
          <w:szCs w:val="24"/>
        </w:rPr>
        <w:t>”;</w:t>
      </w:r>
    </w:p>
    <w:p w14:paraId="2205E0B3" w14:textId="453D5313" w:rsidR="002441C2" w:rsidRPr="002441C2" w:rsidRDefault="002441C2" w:rsidP="00CE6817">
      <w:pPr>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b/>
          <w:color w:val="000000" w:themeColor="text1"/>
          <w:sz w:val="24"/>
          <w:szCs w:val="24"/>
        </w:rPr>
        <w:t>- il decreto-legge 17 maggio 2022, n. 50</w:t>
      </w:r>
      <w:r w:rsidRPr="00A761D1">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recante “Misure urgenti in materia di politiche energetiche nazionali, produttività delle imprese e attrazione degli investimenti, nonché in materia di politiche sociali e di crisi ucraina”, convertito</w:t>
      </w:r>
      <w:r w:rsidR="006E301B">
        <w:rPr>
          <w:rFonts w:ascii="Times New Roman" w:hAnsi="Times New Roman" w:cs="Times New Roman"/>
          <w:color w:val="000000" w:themeColor="text1"/>
          <w:sz w:val="24"/>
          <w:szCs w:val="24"/>
        </w:rPr>
        <w:t>, con modificazioni,</w:t>
      </w:r>
      <w:r w:rsidRPr="001A05F2">
        <w:rPr>
          <w:rFonts w:ascii="Times New Roman" w:hAnsi="Times New Roman" w:cs="Times New Roman"/>
          <w:color w:val="000000" w:themeColor="text1"/>
          <w:sz w:val="24"/>
          <w:szCs w:val="24"/>
        </w:rPr>
        <w:t xml:space="preserve"> dalla legge 15 luglio 2022, n. 91,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articolo 45, comma 2, nell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ambito del meccanismo </w:t>
      </w:r>
      <w:proofErr w:type="spellStart"/>
      <w:r w:rsidRPr="001A05F2">
        <w:rPr>
          <w:rFonts w:ascii="Times New Roman" w:hAnsi="Times New Roman" w:cs="Times New Roman"/>
          <w:color w:val="000000" w:themeColor="text1"/>
          <w:sz w:val="24"/>
          <w:szCs w:val="24"/>
        </w:rPr>
        <w:t>unionale</w:t>
      </w:r>
      <w:proofErr w:type="spellEnd"/>
      <w:r w:rsidRPr="001A05F2">
        <w:rPr>
          <w:rFonts w:ascii="Times New Roman" w:hAnsi="Times New Roman" w:cs="Times New Roman"/>
          <w:color w:val="000000" w:themeColor="text1"/>
          <w:sz w:val="24"/>
          <w:szCs w:val="24"/>
        </w:rPr>
        <w:t xml:space="preserve"> di protezione civile, autorizza la partecipazione del Servizio nazionale a </w:t>
      </w:r>
      <w:proofErr w:type="spellStart"/>
      <w:r w:rsidRPr="001A05F2">
        <w:rPr>
          <w:rFonts w:ascii="Times New Roman" w:hAnsi="Times New Roman" w:cs="Times New Roman"/>
          <w:color w:val="000000" w:themeColor="text1"/>
          <w:sz w:val="24"/>
          <w:szCs w:val="24"/>
        </w:rPr>
        <w:t>RescEU</w:t>
      </w:r>
      <w:proofErr w:type="spellEnd"/>
      <w:r w:rsidRPr="001A05F2">
        <w:rPr>
          <w:rFonts w:ascii="Times New Roman" w:hAnsi="Times New Roman" w:cs="Times New Roman"/>
          <w:color w:val="000000" w:themeColor="text1"/>
          <w:sz w:val="24"/>
          <w:szCs w:val="24"/>
        </w:rPr>
        <w:t>, istituito dall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articolo 12 della decisione n. 1313/2013/UE. Al riguardo, è istituito nello stato di previsione del Ministero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economia e delle finanze</w:t>
      </w:r>
      <w:r w:rsidR="005C5FBC">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per il successivo trasferimento al bilancio della Presidenza del Consiglio dei </w:t>
      </w:r>
      <w:r w:rsidR="005C5FBC">
        <w:rPr>
          <w:rFonts w:ascii="Times New Roman" w:hAnsi="Times New Roman" w:cs="Times New Roman"/>
          <w:color w:val="000000" w:themeColor="text1"/>
          <w:sz w:val="24"/>
          <w:szCs w:val="24"/>
        </w:rPr>
        <w:t>m</w:t>
      </w:r>
      <w:r w:rsidRPr="001A05F2">
        <w:rPr>
          <w:rFonts w:ascii="Times New Roman" w:hAnsi="Times New Roman" w:cs="Times New Roman"/>
          <w:color w:val="000000" w:themeColor="text1"/>
          <w:sz w:val="24"/>
          <w:szCs w:val="24"/>
        </w:rPr>
        <w:t>inistri</w:t>
      </w:r>
      <w:r w:rsidR="005C5FBC">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il Fondo per la partecipazione a </w:t>
      </w:r>
      <w:proofErr w:type="spellStart"/>
      <w:r w:rsidRPr="001A05F2">
        <w:rPr>
          <w:rFonts w:ascii="Times New Roman" w:hAnsi="Times New Roman" w:cs="Times New Roman"/>
          <w:color w:val="000000" w:themeColor="text1"/>
          <w:sz w:val="24"/>
          <w:szCs w:val="24"/>
        </w:rPr>
        <w:t>RescEU</w:t>
      </w:r>
      <w:proofErr w:type="spellEnd"/>
      <w:r w:rsidRPr="001A05F2">
        <w:rPr>
          <w:rFonts w:ascii="Times New Roman" w:hAnsi="Times New Roman" w:cs="Times New Roman"/>
          <w:color w:val="000000" w:themeColor="text1"/>
          <w:sz w:val="24"/>
          <w:szCs w:val="24"/>
        </w:rPr>
        <w:t>, con uno stanziamento di 3.000.000,00 di euro per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anno 2022</w:t>
      </w:r>
      <w:r>
        <w:rPr>
          <w:rFonts w:ascii="Times New Roman" w:hAnsi="Times New Roman" w:cs="Times New Roman"/>
          <w:color w:val="000000" w:themeColor="text1"/>
          <w:sz w:val="24"/>
          <w:szCs w:val="24"/>
        </w:rPr>
        <w:t xml:space="preserve"> e, conseguentemente,</w:t>
      </w:r>
      <w:r w:rsidRPr="001A05F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sono stati </w:t>
      </w:r>
      <w:r w:rsidRPr="001A05F2">
        <w:rPr>
          <w:rFonts w:ascii="Times New Roman" w:hAnsi="Times New Roman" w:cs="Times New Roman"/>
          <w:color w:val="000000" w:themeColor="text1"/>
          <w:sz w:val="24"/>
          <w:szCs w:val="24"/>
        </w:rPr>
        <w:t xml:space="preserve">istituiti i capitoli di entrata e di spesa nel </w:t>
      </w:r>
      <w:r w:rsidRPr="0004456F">
        <w:rPr>
          <w:rFonts w:ascii="Times New Roman" w:hAnsi="Times New Roman" w:cs="Times New Roman"/>
          <w:b/>
          <w:color w:val="000000" w:themeColor="text1"/>
          <w:sz w:val="24"/>
          <w:szCs w:val="24"/>
        </w:rPr>
        <w:t xml:space="preserve">CR </w:t>
      </w:r>
      <w:proofErr w:type="gramStart"/>
      <w:r w:rsidRPr="0004456F">
        <w:rPr>
          <w:rFonts w:ascii="Times New Roman" w:hAnsi="Times New Roman" w:cs="Times New Roman"/>
          <w:b/>
          <w:color w:val="000000" w:themeColor="text1"/>
          <w:sz w:val="24"/>
          <w:szCs w:val="24"/>
        </w:rPr>
        <w:t>13</w:t>
      </w:r>
      <w:r w:rsidRPr="0004456F">
        <w:rPr>
          <w:rFonts w:ascii="Times New Roman" w:hAnsi="Times New Roman" w:cs="Times New Roman"/>
          <w:b/>
          <w:i/>
          <w:color w:val="000000" w:themeColor="text1"/>
          <w:sz w:val="24"/>
          <w:szCs w:val="24"/>
        </w:rPr>
        <w:t xml:space="preserve">  </w:t>
      </w:r>
      <w:r w:rsidR="0004456F" w:rsidRPr="0004456F">
        <w:rPr>
          <w:rFonts w:ascii="Times New Roman" w:hAnsi="Times New Roman" w:cs="Times New Roman"/>
          <w:b/>
          <w:i/>
          <w:color w:val="000000" w:themeColor="text1"/>
          <w:sz w:val="24"/>
          <w:szCs w:val="24"/>
        </w:rPr>
        <w:t>“</w:t>
      </w:r>
      <w:proofErr w:type="gramEnd"/>
      <w:r w:rsidRPr="0004456F">
        <w:rPr>
          <w:rFonts w:ascii="Times New Roman" w:hAnsi="Times New Roman" w:cs="Times New Roman"/>
          <w:b/>
          <w:i/>
          <w:color w:val="000000" w:themeColor="text1"/>
          <w:sz w:val="24"/>
          <w:szCs w:val="24"/>
        </w:rPr>
        <w:t>Protezione civile</w:t>
      </w:r>
      <w:r w:rsidR="0004456F" w:rsidRPr="0004456F">
        <w:rPr>
          <w:rFonts w:ascii="Times New Roman" w:hAnsi="Times New Roman" w:cs="Times New Roman"/>
          <w:b/>
          <w:i/>
          <w:color w:val="000000" w:themeColor="text1"/>
          <w:sz w:val="24"/>
          <w:szCs w:val="24"/>
        </w:rPr>
        <w:t>”</w:t>
      </w:r>
      <w:r w:rsidRPr="001A05F2">
        <w:rPr>
          <w:rFonts w:ascii="Times New Roman" w:hAnsi="Times New Roman" w:cs="Times New Roman"/>
          <w:color w:val="000000" w:themeColor="text1"/>
          <w:sz w:val="24"/>
          <w:szCs w:val="24"/>
        </w:rPr>
        <w:t>, per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assegnazione delle risorse finanziarie;</w:t>
      </w:r>
    </w:p>
    <w:p w14:paraId="5689E754" w14:textId="27E68225" w:rsidR="00CE6817" w:rsidRPr="001A05F2" w:rsidRDefault="00CE6817" w:rsidP="00CE6817">
      <w:pPr>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b/>
          <w:color w:val="000000" w:themeColor="text1"/>
          <w:sz w:val="24"/>
          <w:szCs w:val="24"/>
        </w:rPr>
        <w:t>- il decreto-legge 21 giugno 2022, n. 73</w:t>
      </w:r>
      <w:r w:rsidR="00DD610B">
        <w:rPr>
          <w:rFonts w:ascii="Times New Roman" w:hAnsi="Times New Roman" w:cs="Times New Roman"/>
          <w:b/>
          <w:color w:val="000000" w:themeColor="text1"/>
          <w:sz w:val="24"/>
          <w:szCs w:val="24"/>
        </w:rPr>
        <w:t>,</w:t>
      </w:r>
      <w:r w:rsidRPr="001A05F2">
        <w:rPr>
          <w:rFonts w:ascii="Times New Roman" w:hAnsi="Times New Roman" w:cs="Times New Roman"/>
          <w:color w:val="000000" w:themeColor="text1"/>
          <w:sz w:val="24"/>
          <w:szCs w:val="24"/>
        </w:rPr>
        <w:t xml:space="preserve"> recante “Misure urgenti in materia di semplificazioni fiscali e di rilascio del nulla osta al lavoro, Tesoreria dello Stato e ulteriori disposizioni finanziarie e sociali”, convertito</w:t>
      </w:r>
      <w:r w:rsidR="00DD610B">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con modificazioni</w:t>
      </w:r>
      <w:r w:rsidR="00DD610B">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dalla legge 4 agosto 2022</w:t>
      </w:r>
      <w:r w:rsidR="00DD610B">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n. 122,</w:t>
      </w:r>
      <w:r>
        <w:rPr>
          <w:rFonts w:ascii="Times New Roman" w:hAnsi="Times New Roman" w:cs="Times New Roman"/>
          <w:color w:val="000000" w:themeColor="text1"/>
          <w:sz w:val="24"/>
          <w:szCs w:val="24"/>
        </w:rPr>
        <w:t xml:space="preserve"> </w:t>
      </w:r>
      <w:r w:rsidRPr="001A05F2">
        <w:rPr>
          <w:rFonts w:ascii="Times New Roman" w:hAnsi="Times New Roman" w:cs="Times New Roman"/>
          <w:color w:val="000000" w:themeColor="text1"/>
          <w:sz w:val="24"/>
          <w:szCs w:val="24"/>
        </w:rPr>
        <w:t>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articolo 39, al fine di sostenere le famiglie anche mediante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offerta di opportunità educative rivolte al benessere dei figli, ha previsto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istituzione nello stato di previsione del Ministero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economia e delle finanze, per il successivo trasferimento al bilancio autonomo della Presidenza del Consiglio dei ministri, di un fondo destinato al finanziamento delle iniziative dei comuni, da attuare nel periodo 1° giugno - 31 dicembre 2022. Sono stati, pertanto, istituiti i capitoli di entrata e di spesa nel </w:t>
      </w:r>
      <w:r w:rsidRPr="0004456F">
        <w:rPr>
          <w:rFonts w:ascii="Times New Roman" w:hAnsi="Times New Roman" w:cs="Times New Roman"/>
          <w:b/>
          <w:color w:val="000000" w:themeColor="text1"/>
          <w:sz w:val="24"/>
          <w:szCs w:val="24"/>
        </w:rPr>
        <w:t>CR 15</w:t>
      </w:r>
      <w:r w:rsidRPr="0004456F">
        <w:rPr>
          <w:rFonts w:ascii="Times New Roman" w:hAnsi="Times New Roman" w:cs="Times New Roman"/>
          <w:b/>
          <w:i/>
          <w:color w:val="000000" w:themeColor="text1"/>
          <w:sz w:val="24"/>
          <w:szCs w:val="24"/>
        </w:rPr>
        <w:t xml:space="preserve"> </w:t>
      </w:r>
      <w:r w:rsidR="0004456F" w:rsidRPr="0004456F">
        <w:rPr>
          <w:rFonts w:ascii="Times New Roman" w:hAnsi="Times New Roman" w:cs="Times New Roman"/>
          <w:b/>
          <w:i/>
          <w:color w:val="000000" w:themeColor="text1"/>
          <w:sz w:val="24"/>
          <w:szCs w:val="24"/>
        </w:rPr>
        <w:t>“</w:t>
      </w:r>
      <w:r w:rsidRPr="0004456F">
        <w:rPr>
          <w:rFonts w:ascii="Times New Roman" w:hAnsi="Times New Roman" w:cs="Times New Roman"/>
          <w:b/>
          <w:i/>
          <w:color w:val="000000" w:themeColor="text1"/>
          <w:sz w:val="24"/>
          <w:szCs w:val="24"/>
        </w:rPr>
        <w:t>Politiche per la famiglia</w:t>
      </w:r>
      <w:r w:rsidR="0004456F" w:rsidRPr="0004456F">
        <w:rPr>
          <w:rFonts w:ascii="Times New Roman" w:hAnsi="Times New Roman" w:cs="Times New Roman"/>
          <w:b/>
          <w:i/>
          <w:color w:val="000000" w:themeColor="text1"/>
          <w:sz w:val="24"/>
          <w:szCs w:val="24"/>
        </w:rPr>
        <w:t>”</w:t>
      </w:r>
      <w:r w:rsidRPr="001A05F2">
        <w:rPr>
          <w:rFonts w:ascii="Times New Roman" w:hAnsi="Times New Roman" w:cs="Times New Roman"/>
          <w:color w:val="000000" w:themeColor="text1"/>
          <w:sz w:val="24"/>
          <w:szCs w:val="24"/>
        </w:rPr>
        <w:t>, per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assegnazione delle risorse finanziarie;</w:t>
      </w:r>
    </w:p>
    <w:p w14:paraId="037C531E" w14:textId="0C02029D" w:rsidR="00CE6817" w:rsidRPr="002441C2" w:rsidRDefault="00CE6817" w:rsidP="00CE6817">
      <w:pPr>
        <w:spacing w:after="0" w:line="360" w:lineRule="auto"/>
        <w:jc w:val="both"/>
        <w:rPr>
          <w:rFonts w:ascii="Times New Roman" w:hAnsi="Times New Roman" w:cs="Times New Roman"/>
          <w:color w:val="000000" w:themeColor="text1"/>
          <w:sz w:val="24"/>
          <w:szCs w:val="24"/>
        </w:rPr>
      </w:pPr>
      <w:r w:rsidRPr="001A05F2">
        <w:rPr>
          <w:rFonts w:ascii="Times New Roman" w:hAnsi="Times New Roman" w:cs="Times New Roman"/>
          <w:b/>
          <w:color w:val="000000" w:themeColor="text1"/>
          <w:sz w:val="24"/>
          <w:szCs w:val="24"/>
        </w:rPr>
        <w:t>- il decreto-legge 23 settembre 2022, n. 144</w:t>
      </w:r>
      <w:r w:rsidR="00DA535D">
        <w:rPr>
          <w:rFonts w:ascii="Times New Roman" w:hAnsi="Times New Roman" w:cs="Times New Roman"/>
          <w:b/>
          <w:color w:val="000000" w:themeColor="text1"/>
          <w:sz w:val="24"/>
          <w:szCs w:val="24"/>
        </w:rPr>
        <w:t>,</w:t>
      </w:r>
      <w:r w:rsidRPr="001A05F2">
        <w:rPr>
          <w:rFonts w:ascii="Times New Roman" w:hAnsi="Times New Roman" w:cs="Times New Roman"/>
          <w:b/>
          <w:color w:val="000000" w:themeColor="text1"/>
          <w:sz w:val="24"/>
          <w:szCs w:val="24"/>
        </w:rPr>
        <w:t xml:space="preserve"> </w:t>
      </w:r>
      <w:r w:rsidRPr="001A05F2">
        <w:rPr>
          <w:rFonts w:ascii="Times New Roman" w:hAnsi="Times New Roman" w:cs="Times New Roman"/>
          <w:color w:val="000000" w:themeColor="text1"/>
          <w:sz w:val="24"/>
          <w:szCs w:val="24"/>
        </w:rPr>
        <w:t>recante “Ulteriori misure urgenti in materia di politica energetica nazionale, produttività delle imprese, politiche sociali e per la realizzazione del Piano nazionale di ripresa e resilienza (PNRR)”, convertito</w:t>
      </w:r>
      <w:r w:rsidR="006E301B">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con modificazioni</w:t>
      </w:r>
      <w:r w:rsidR="006E301B">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dalla legge 17 novembre 2022, n.</w:t>
      </w:r>
      <w:r w:rsidR="00DA535D">
        <w:rPr>
          <w:rFonts w:ascii="Times New Roman" w:hAnsi="Times New Roman" w:cs="Times New Roman"/>
          <w:color w:val="000000" w:themeColor="text1"/>
          <w:sz w:val="24"/>
          <w:szCs w:val="24"/>
        </w:rPr>
        <w:t xml:space="preserve"> </w:t>
      </w:r>
      <w:r w:rsidRPr="001A05F2">
        <w:rPr>
          <w:rFonts w:ascii="Times New Roman" w:hAnsi="Times New Roman" w:cs="Times New Roman"/>
          <w:color w:val="000000" w:themeColor="text1"/>
          <w:sz w:val="24"/>
          <w:szCs w:val="24"/>
        </w:rPr>
        <w:t>175, all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articolo 8, comma 1, ha stabilito che, a fronte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aumento dei costi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energia termica ed elettrica nel corso del terzo e quarto trimestre 2022,  è istituito, nello stato di previsione del Ministero dell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economia e delle finanze</w:t>
      </w:r>
      <w:r w:rsidR="00DA535D">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 xml:space="preserve"> per il successivo trasferimento alla Presidenza del Consiglio dei ministri, un apposito fondo al fine di sostenere gli enti del terzo settore e gli enti religiosi civilmente riconosciuti che gestiscono servizi sociosanitari e sociali in regime residenziale, semiresidenziale rivolti a persone con disabilità. Sono stati istituiti, pertanto, i capitoli di entrata e di spesa nel </w:t>
      </w:r>
      <w:r w:rsidRPr="0004456F">
        <w:rPr>
          <w:rFonts w:ascii="Times New Roman" w:hAnsi="Times New Roman" w:cs="Times New Roman"/>
          <w:b/>
          <w:color w:val="000000" w:themeColor="text1"/>
          <w:sz w:val="24"/>
          <w:szCs w:val="24"/>
        </w:rPr>
        <w:t>CR 20</w:t>
      </w:r>
      <w:r w:rsidRPr="0004456F">
        <w:rPr>
          <w:rFonts w:ascii="Times New Roman" w:hAnsi="Times New Roman" w:cs="Times New Roman"/>
          <w:b/>
          <w:i/>
          <w:color w:val="000000" w:themeColor="text1"/>
          <w:sz w:val="24"/>
          <w:szCs w:val="24"/>
        </w:rPr>
        <w:t xml:space="preserve"> </w:t>
      </w:r>
      <w:r w:rsidR="0004456F" w:rsidRPr="0004456F">
        <w:rPr>
          <w:rFonts w:ascii="Times New Roman" w:hAnsi="Times New Roman" w:cs="Times New Roman"/>
          <w:b/>
          <w:i/>
          <w:color w:val="000000" w:themeColor="text1"/>
          <w:sz w:val="24"/>
          <w:szCs w:val="24"/>
        </w:rPr>
        <w:t>“</w:t>
      </w:r>
      <w:r w:rsidRPr="0004456F">
        <w:rPr>
          <w:rFonts w:ascii="Times New Roman" w:hAnsi="Times New Roman" w:cs="Times New Roman"/>
          <w:b/>
          <w:i/>
          <w:color w:val="000000" w:themeColor="text1"/>
          <w:sz w:val="24"/>
          <w:szCs w:val="24"/>
        </w:rPr>
        <w:t>Politiche in favore delle persone con disabilità</w:t>
      </w:r>
      <w:r w:rsidR="0004456F" w:rsidRPr="0004456F">
        <w:rPr>
          <w:rFonts w:ascii="Times New Roman" w:hAnsi="Times New Roman" w:cs="Times New Roman"/>
          <w:b/>
          <w:i/>
          <w:color w:val="000000" w:themeColor="text1"/>
          <w:sz w:val="24"/>
          <w:szCs w:val="24"/>
        </w:rPr>
        <w:t>”</w:t>
      </w:r>
      <w:r w:rsidRPr="0004456F">
        <w:rPr>
          <w:rFonts w:ascii="Times New Roman" w:hAnsi="Times New Roman" w:cs="Times New Roman"/>
          <w:b/>
          <w:i/>
          <w:color w:val="000000" w:themeColor="text1"/>
          <w:sz w:val="24"/>
          <w:szCs w:val="24"/>
        </w:rPr>
        <w:t>,</w:t>
      </w:r>
      <w:r w:rsidRPr="001A05F2">
        <w:rPr>
          <w:rFonts w:ascii="Times New Roman" w:hAnsi="Times New Roman" w:cs="Times New Roman"/>
          <w:color w:val="000000" w:themeColor="text1"/>
          <w:sz w:val="24"/>
          <w:szCs w:val="24"/>
        </w:rPr>
        <w:t xml:space="preserve"> per l</w:t>
      </w:r>
      <w:r w:rsidR="00877AAF">
        <w:rPr>
          <w:rFonts w:ascii="Times New Roman" w:hAnsi="Times New Roman" w:cs="Times New Roman"/>
          <w:color w:val="000000" w:themeColor="text1"/>
          <w:sz w:val="24"/>
          <w:szCs w:val="24"/>
        </w:rPr>
        <w:t>’</w:t>
      </w:r>
      <w:r w:rsidRPr="001A05F2">
        <w:rPr>
          <w:rFonts w:ascii="Times New Roman" w:hAnsi="Times New Roman" w:cs="Times New Roman"/>
          <w:color w:val="000000" w:themeColor="text1"/>
          <w:sz w:val="24"/>
          <w:szCs w:val="24"/>
        </w:rPr>
        <w:t>assegnazione delle relative risorse finanziarie</w:t>
      </w:r>
      <w:r w:rsidR="002441C2">
        <w:rPr>
          <w:rFonts w:ascii="Times New Roman" w:hAnsi="Times New Roman" w:cs="Times New Roman"/>
          <w:color w:val="000000" w:themeColor="text1"/>
          <w:sz w:val="24"/>
          <w:szCs w:val="24"/>
        </w:rPr>
        <w:t>.</w:t>
      </w:r>
    </w:p>
    <w:p w14:paraId="538D51F5" w14:textId="0087196E" w:rsidR="00CE6817" w:rsidRPr="00A761D1" w:rsidRDefault="00CE6817" w:rsidP="00CE6817">
      <w:pPr>
        <w:spacing w:after="0" w:line="360" w:lineRule="auto"/>
        <w:jc w:val="both"/>
        <w:rPr>
          <w:rFonts w:ascii="Times New Roman" w:eastAsia="Times New Roman" w:hAnsi="Times New Roman" w:cs="Times New Roman"/>
          <w:color w:val="000000" w:themeColor="text1"/>
          <w:sz w:val="24"/>
          <w:szCs w:val="24"/>
          <w:lang w:eastAsia="it-IT"/>
        </w:rPr>
      </w:pPr>
      <w:r w:rsidRPr="00A761D1">
        <w:rPr>
          <w:rFonts w:ascii="Times New Roman" w:hAnsi="Times New Roman" w:cs="Times New Roman"/>
          <w:b/>
          <w:color w:val="000000" w:themeColor="text1"/>
          <w:sz w:val="24"/>
          <w:szCs w:val="24"/>
        </w:rPr>
        <w:t>5.2</w:t>
      </w:r>
      <w:r w:rsidRPr="00A761D1">
        <w:rPr>
          <w:rFonts w:ascii="Times New Roman" w:eastAsia="Times New Roman" w:hAnsi="Times New Roman" w:cs="Times New Roman"/>
          <w:color w:val="000000" w:themeColor="text1"/>
          <w:sz w:val="24"/>
          <w:szCs w:val="24"/>
          <w:lang w:eastAsia="it-IT"/>
        </w:rPr>
        <w:t xml:space="preserve"> La Presidenza del Consiglio dei ministri ha partecipato anche nel 2022 alla sperimentazione del bilancio di genere, prevista per il bilancio dello Stato dall</w:t>
      </w:r>
      <w:r w:rsidR="00877AAF">
        <w:rPr>
          <w:rFonts w:ascii="Times New Roman" w:eastAsia="Times New Roman" w:hAnsi="Times New Roman" w:cs="Times New Roman"/>
          <w:color w:val="000000" w:themeColor="text1"/>
          <w:sz w:val="24"/>
          <w:szCs w:val="24"/>
          <w:lang w:eastAsia="it-IT"/>
        </w:rPr>
        <w:t>’</w:t>
      </w:r>
      <w:r w:rsidRPr="00A761D1">
        <w:rPr>
          <w:rFonts w:ascii="Times New Roman" w:eastAsia="Times New Roman" w:hAnsi="Times New Roman" w:cs="Times New Roman"/>
          <w:color w:val="000000" w:themeColor="text1"/>
          <w:sz w:val="24"/>
          <w:szCs w:val="24"/>
          <w:lang w:eastAsia="it-IT"/>
        </w:rPr>
        <w:t>articolo 38-</w:t>
      </w:r>
      <w:r w:rsidRPr="00DA535D">
        <w:rPr>
          <w:rFonts w:ascii="Times New Roman" w:eastAsia="Times New Roman" w:hAnsi="Times New Roman" w:cs="Times New Roman"/>
          <w:color w:val="000000" w:themeColor="text1"/>
          <w:sz w:val="24"/>
          <w:szCs w:val="24"/>
          <w:lang w:eastAsia="it-IT"/>
        </w:rPr>
        <w:t xml:space="preserve">septies </w:t>
      </w:r>
      <w:r w:rsidRPr="00A761D1">
        <w:rPr>
          <w:rFonts w:ascii="Times New Roman" w:eastAsia="Times New Roman" w:hAnsi="Times New Roman" w:cs="Times New Roman"/>
          <w:color w:val="000000" w:themeColor="text1"/>
          <w:sz w:val="24"/>
          <w:szCs w:val="24"/>
          <w:lang w:eastAsia="it-IT"/>
        </w:rPr>
        <w:t>della legge 31 dicembre 2009, n. 196,</w:t>
      </w:r>
      <w:r w:rsidRPr="00A761D1">
        <w:rPr>
          <w:color w:val="000000" w:themeColor="text1"/>
        </w:rPr>
        <w:t xml:space="preserve"> </w:t>
      </w:r>
      <w:r w:rsidRPr="00A761D1">
        <w:rPr>
          <w:rFonts w:ascii="Times New Roman" w:eastAsia="Times New Roman" w:hAnsi="Times New Roman" w:cs="Times New Roman"/>
          <w:color w:val="000000" w:themeColor="text1"/>
          <w:sz w:val="24"/>
          <w:szCs w:val="24"/>
          <w:lang w:eastAsia="it-IT"/>
        </w:rPr>
        <w:t>introdotto dall</w:t>
      </w:r>
      <w:r w:rsidR="00877AAF">
        <w:rPr>
          <w:rFonts w:ascii="Times New Roman" w:eastAsia="Times New Roman" w:hAnsi="Times New Roman" w:cs="Times New Roman"/>
          <w:color w:val="000000" w:themeColor="text1"/>
          <w:sz w:val="24"/>
          <w:szCs w:val="24"/>
          <w:lang w:eastAsia="it-IT"/>
        </w:rPr>
        <w:t>’</w:t>
      </w:r>
      <w:r w:rsidRPr="00A761D1">
        <w:rPr>
          <w:rFonts w:ascii="Times New Roman" w:eastAsia="Times New Roman" w:hAnsi="Times New Roman" w:cs="Times New Roman"/>
          <w:color w:val="000000" w:themeColor="text1"/>
          <w:sz w:val="24"/>
          <w:szCs w:val="24"/>
          <w:lang w:eastAsia="it-IT"/>
        </w:rPr>
        <w:t>articolo 9 del decreto legislativo del 12 maggio 2016, n. 90</w:t>
      </w:r>
      <w:r w:rsidR="0077576D">
        <w:rPr>
          <w:rFonts w:ascii="Times New Roman" w:eastAsia="Times New Roman" w:hAnsi="Times New Roman" w:cs="Times New Roman"/>
          <w:color w:val="000000" w:themeColor="text1"/>
          <w:sz w:val="24"/>
          <w:szCs w:val="24"/>
          <w:lang w:eastAsia="it-IT"/>
        </w:rPr>
        <w:t>,</w:t>
      </w:r>
      <w:r w:rsidRPr="00A761D1">
        <w:rPr>
          <w:rFonts w:ascii="Times New Roman" w:eastAsia="Times New Roman" w:hAnsi="Times New Roman" w:cs="Times New Roman"/>
          <w:color w:val="000000" w:themeColor="text1"/>
          <w:sz w:val="24"/>
          <w:szCs w:val="24"/>
          <w:lang w:eastAsia="it-IT"/>
        </w:rPr>
        <w:t xml:space="preserve"> relativo al </w:t>
      </w:r>
      <w:r w:rsidRPr="00A761D1">
        <w:rPr>
          <w:rFonts w:ascii="Times New Roman" w:eastAsia="Times New Roman" w:hAnsi="Times New Roman" w:cs="Times New Roman"/>
          <w:color w:val="000000" w:themeColor="text1"/>
          <w:sz w:val="24"/>
          <w:szCs w:val="24"/>
          <w:lang w:eastAsia="it-IT"/>
        </w:rPr>
        <w:lastRenderedPageBreak/>
        <w:t>completamento della riforma del bilancio dello Stato - successivamente modificato dalla legge 4 agosto 2016, n. 163,  realizzata a cura del Ministero dell</w:t>
      </w:r>
      <w:r w:rsidR="00877AAF">
        <w:rPr>
          <w:rFonts w:ascii="Times New Roman" w:eastAsia="Times New Roman" w:hAnsi="Times New Roman" w:cs="Times New Roman"/>
          <w:color w:val="000000" w:themeColor="text1"/>
          <w:sz w:val="24"/>
          <w:szCs w:val="24"/>
          <w:lang w:eastAsia="it-IT"/>
        </w:rPr>
        <w:t>’</w:t>
      </w:r>
      <w:r w:rsidRPr="00A761D1">
        <w:rPr>
          <w:rFonts w:ascii="Times New Roman" w:eastAsia="Times New Roman" w:hAnsi="Times New Roman" w:cs="Times New Roman"/>
          <w:color w:val="000000" w:themeColor="text1"/>
          <w:sz w:val="24"/>
          <w:szCs w:val="24"/>
          <w:lang w:eastAsia="it-IT"/>
        </w:rPr>
        <w:t>economia e delle finanze - Dipartimento della Ragioneria generale dello Stato</w:t>
      </w:r>
      <w:r w:rsidR="0004456F">
        <w:rPr>
          <w:rFonts w:ascii="Times New Roman" w:eastAsia="Times New Roman" w:hAnsi="Times New Roman" w:cs="Times New Roman"/>
          <w:color w:val="000000" w:themeColor="text1"/>
          <w:sz w:val="24"/>
          <w:szCs w:val="24"/>
          <w:lang w:eastAsia="it-IT"/>
        </w:rPr>
        <w:t xml:space="preserve"> -</w:t>
      </w:r>
      <w:r w:rsidRPr="00A761D1">
        <w:rPr>
          <w:rFonts w:ascii="Times New Roman" w:eastAsia="Times New Roman" w:hAnsi="Times New Roman" w:cs="Times New Roman"/>
          <w:color w:val="000000" w:themeColor="text1"/>
          <w:sz w:val="24"/>
          <w:szCs w:val="24"/>
          <w:lang w:eastAsia="it-IT"/>
        </w:rPr>
        <w:t xml:space="preserve"> con riferimento al Rendiconto generale dello Stato per l</w:t>
      </w:r>
      <w:r w:rsidR="00877AAF">
        <w:rPr>
          <w:rFonts w:ascii="Times New Roman" w:eastAsia="Times New Roman" w:hAnsi="Times New Roman" w:cs="Times New Roman"/>
          <w:color w:val="000000" w:themeColor="text1"/>
          <w:sz w:val="24"/>
          <w:szCs w:val="24"/>
          <w:lang w:eastAsia="it-IT"/>
        </w:rPr>
        <w:t>’</w:t>
      </w:r>
      <w:r w:rsidRPr="00A761D1">
        <w:rPr>
          <w:rFonts w:ascii="Times New Roman" w:eastAsia="Times New Roman" w:hAnsi="Times New Roman" w:cs="Times New Roman"/>
          <w:color w:val="000000" w:themeColor="text1"/>
          <w:sz w:val="24"/>
          <w:szCs w:val="24"/>
          <w:lang w:eastAsia="it-IT"/>
        </w:rPr>
        <w:t>esercizio finanziario 2021.</w:t>
      </w:r>
    </w:p>
    <w:p w14:paraId="6F8DF659" w14:textId="45F4946B" w:rsidR="00CE6817" w:rsidRPr="00A761D1" w:rsidRDefault="00CE6817" w:rsidP="00CE6817">
      <w:pPr>
        <w:spacing w:after="0" w:line="360" w:lineRule="auto"/>
        <w:jc w:val="both"/>
        <w:rPr>
          <w:rFonts w:ascii="Times New Roman" w:eastAsia="Times New Roman" w:hAnsi="Times New Roman" w:cs="Times New Roman"/>
          <w:color w:val="000000" w:themeColor="text1"/>
          <w:sz w:val="24"/>
          <w:szCs w:val="24"/>
          <w:lang w:eastAsia="it-IT"/>
        </w:rPr>
      </w:pPr>
      <w:r w:rsidRPr="00A761D1">
        <w:rPr>
          <w:rFonts w:ascii="Times New Roman" w:eastAsia="Times New Roman" w:hAnsi="Times New Roman" w:cs="Times New Roman"/>
          <w:color w:val="000000" w:themeColor="text1"/>
          <w:sz w:val="24"/>
          <w:szCs w:val="24"/>
          <w:lang w:eastAsia="it-IT"/>
        </w:rPr>
        <w:t>La Presidenza del Consiglio dei ministri, pur non direttamente tenuta a effettuare la riclassificazione delle spese del proprio bilancio in chiave di genere, in quanto la sperimentazione riguarda esclusivamente il Rendiconto generale dello Stato</w:t>
      </w:r>
      <w:r w:rsidR="006E301B">
        <w:rPr>
          <w:rFonts w:ascii="Times New Roman" w:eastAsia="Times New Roman" w:hAnsi="Times New Roman" w:cs="Times New Roman"/>
          <w:color w:val="000000" w:themeColor="text1"/>
          <w:sz w:val="24"/>
          <w:szCs w:val="24"/>
          <w:lang w:eastAsia="it-IT"/>
        </w:rPr>
        <w:t>,</w:t>
      </w:r>
      <w:r w:rsidR="002441C2">
        <w:rPr>
          <w:rFonts w:ascii="Times New Roman" w:eastAsia="Times New Roman" w:hAnsi="Times New Roman" w:cs="Times New Roman"/>
          <w:color w:val="000000" w:themeColor="text1"/>
          <w:sz w:val="24"/>
          <w:szCs w:val="24"/>
          <w:lang w:eastAsia="it-IT"/>
        </w:rPr>
        <w:t xml:space="preserve"> </w:t>
      </w:r>
      <w:r w:rsidRPr="00A761D1">
        <w:rPr>
          <w:rFonts w:ascii="Times New Roman" w:eastAsia="Times New Roman" w:hAnsi="Times New Roman" w:cs="Times New Roman"/>
          <w:color w:val="000000" w:themeColor="text1"/>
          <w:sz w:val="24"/>
          <w:szCs w:val="24"/>
          <w:lang w:eastAsia="it-IT"/>
        </w:rPr>
        <w:t>al pari delle Amministrazioni centrali dello Stato, così come indicato dalla circolare n. 12 del 13 aprile 2021 del Ministero dell</w:t>
      </w:r>
      <w:r w:rsidR="00877AAF">
        <w:rPr>
          <w:rFonts w:ascii="Times New Roman" w:eastAsia="Times New Roman" w:hAnsi="Times New Roman" w:cs="Times New Roman"/>
          <w:color w:val="000000" w:themeColor="text1"/>
          <w:sz w:val="24"/>
          <w:szCs w:val="24"/>
          <w:lang w:eastAsia="it-IT"/>
        </w:rPr>
        <w:t>’</w:t>
      </w:r>
      <w:r w:rsidRPr="00A761D1">
        <w:rPr>
          <w:rFonts w:ascii="Times New Roman" w:eastAsia="Times New Roman" w:hAnsi="Times New Roman" w:cs="Times New Roman"/>
          <w:color w:val="000000" w:themeColor="text1"/>
          <w:sz w:val="24"/>
          <w:szCs w:val="24"/>
          <w:lang w:eastAsia="it-IT"/>
        </w:rPr>
        <w:t xml:space="preserve">economia e </w:t>
      </w:r>
      <w:r w:rsidR="0077576D">
        <w:rPr>
          <w:rFonts w:ascii="Times New Roman" w:eastAsia="Times New Roman" w:hAnsi="Times New Roman" w:cs="Times New Roman"/>
          <w:color w:val="000000" w:themeColor="text1"/>
          <w:sz w:val="24"/>
          <w:szCs w:val="24"/>
          <w:lang w:eastAsia="it-IT"/>
        </w:rPr>
        <w:t xml:space="preserve">delle </w:t>
      </w:r>
      <w:r w:rsidRPr="00A761D1">
        <w:rPr>
          <w:rFonts w:ascii="Times New Roman" w:eastAsia="Times New Roman" w:hAnsi="Times New Roman" w:cs="Times New Roman"/>
          <w:color w:val="000000" w:themeColor="text1"/>
          <w:sz w:val="24"/>
          <w:szCs w:val="24"/>
          <w:lang w:eastAsia="it-IT"/>
        </w:rPr>
        <w:t>finanze – Dipartimento della Ragioneria generale dello Stato</w:t>
      </w:r>
      <w:r w:rsidR="0004456F">
        <w:rPr>
          <w:rFonts w:ascii="Times New Roman" w:eastAsia="Times New Roman" w:hAnsi="Times New Roman" w:cs="Times New Roman"/>
          <w:color w:val="000000" w:themeColor="text1"/>
          <w:sz w:val="24"/>
          <w:szCs w:val="24"/>
          <w:lang w:eastAsia="it-IT"/>
        </w:rPr>
        <w:t xml:space="preserve"> -</w:t>
      </w:r>
      <w:r w:rsidRPr="00A761D1">
        <w:rPr>
          <w:rFonts w:ascii="Times New Roman" w:eastAsia="Times New Roman" w:hAnsi="Times New Roman" w:cs="Times New Roman"/>
          <w:color w:val="000000" w:themeColor="text1"/>
          <w:sz w:val="24"/>
          <w:szCs w:val="24"/>
          <w:lang w:eastAsia="it-IT"/>
        </w:rPr>
        <w:t xml:space="preserve"> ha contribuito alla sperimentazione del </w:t>
      </w:r>
      <w:r w:rsidR="0004456F">
        <w:rPr>
          <w:rFonts w:ascii="Times New Roman" w:eastAsia="Times New Roman" w:hAnsi="Times New Roman" w:cs="Times New Roman"/>
          <w:color w:val="000000" w:themeColor="text1"/>
          <w:sz w:val="24"/>
          <w:szCs w:val="24"/>
          <w:lang w:eastAsia="it-IT"/>
        </w:rPr>
        <w:t xml:space="preserve">suddetto </w:t>
      </w:r>
      <w:r w:rsidRPr="00A761D1">
        <w:rPr>
          <w:rFonts w:ascii="Times New Roman" w:eastAsia="Times New Roman" w:hAnsi="Times New Roman" w:cs="Times New Roman"/>
          <w:color w:val="000000" w:themeColor="text1"/>
          <w:sz w:val="24"/>
          <w:szCs w:val="24"/>
          <w:lang w:eastAsia="it-IT"/>
        </w:rPr>
        <w:t>bilancio di genere, al fine di dare evidenza del diverso impatto delle politiche di bilancio sulle donne e sugli uomini, in termini di denaro, servizi, tempo e lavoro non retribuito, rendicontando le attiv</w:t>
      </w:r>
      <w:r w:rsidR="0008438B">
        <w:rPr>
          <w:rFonts w:ascii="Times New Roman" w:eastAsia="Times New Roman" w:hAnsi="Times New Roman" w:cs="Times New Roman"/>
          <w:color w:val="000000" w:themeColor="text1"/>
          <w:sz w:val="24"/>
          <w:szCs w:val="24"/>
          <w:lang w:eastAsia="it-IT"/>
        </w:rPr>
        <w:t>ità svolte nel 2021 dai propri c</w:t>
      </w:r>
      <w:r w:rsidRPr="00A761D1">
        <w:rPr>
          <w:rFonts w:ascii="Times New Roman" w:eastAsia="Times New Roman" w:hAnsi="Times New Roman" w:cs="Times New Roman"/>
          <w:color w:val="000000" w:themeColor="text1"/>
          <w:sz w:val="24"/>
          <w:szCs w:val="24"/>
          <w:lang w:eastAsia="it-IT"/>
        </w:rPr>
        <w:t xml:space="preserve">entri di responsabilità, in quanto gestori di risorse del bilancio dello Stato destinate a interventi </w:t>
      </w:r>
      <w:r w:rsidR="0004456F">
        <w:rPr>
          <w:rFonts w:ascii="Times New Roman" w:eastAsia="Times New Roman" w:hAnsi="Times New Roman" w:cs="Times New Roman"/>
          <w:color w:val="000000" w:themeColor="text1"/>
          <w:sz w:val="24"/>
          <w:szCs w:val="24"/>
          <w:lang w:eastAsia="it-IT"/>
        </w:rPr>
        <w:t>per</w:t>
      </w:r>
      <w:r w:rsidRPr="00A761D1">
        <w:rPr>
          <w:rFonts w:ascii="Times New Roman" w:eastAsia="Times New Roman" w:hAnsi="Times New Roman" w:cs="Times New Roman"/>
          <w:color w:val="000000" w:themeColor="text1"/>
          <w:sz w:val="24"/>
          <w:szCs w:val="24"/>
          <w:lang w:eastAsia="it-IT"/>
        </w:rPr>
        <w:t xml:space="preserve"> ridurre le disuguaglianze di genere o a favorire le pari opportunità. </w:t>
      </w:r>
    </w:p>
    <w:p w14:paraId="3430A613" w14:textId="36E2C05E" w:rsidR="00CE6817" w:rsidRPr="00A761D1" w:rsidRDefault="00CE6817" w:rsidP="00CE6817">
      <w:pPr>
        <w:spacing w:after="0" w:line="360" w:lineRule="auto"/>
        <w:jc w:val="both"/>
        <w:rPr>
          <w:rFonts w:ascii="Times New Roman" w:eastAsia="Times New Roman" w:hAnsi="Times New Roman" w:cs="Times New Roman"/>
          <w:color w:val="000000" w:themeColor="text1"/>
          <w:sz w:val="24"/>
          <w:szCs w:val="24"/>
          <w:lang w:eastAsia="it-IT"/>
        </w:rPr>
      </w:pPr>
      <w:r w:rsidRPr="00A761D1">
        <w:rPr>
          <w:rFonts w:ascii="Times New Roman" w:eastAsia="Times New Roman" w:hAnsi="Times New Roman" w:cs="Times New Roman"/>
          <w:color w:val="000000" w:themeColor="text1"/>
          <w:sz w:val="24"/>
          <w:szCs w:val="24"/>
          <w:lang w:eastAsia="it-IT"/>
        </w:rPr>
        <w:t>I Dipartimenti e</w:t>
      </w:r>
      <w:r w:rsidR="0077576D">
        <w:rPr>
          <w:rFonts w:ascii="Times New Roman" w:eastAsia="Times New Roman" w:hAnsi="Times New Roman" w:cs="Times New Roman"/>
          <w:color w:val="000000" w:themeColor="text1"/>
          <w:sz w:val="24"/>
          <w:szCs w:val="24"/>
          <w:lang w:eastAsia="it-IT"/>
        </w:rPr>
        <w:t xml:space="preserve"> </w:t>
      </w:r>
      <w:r w:rsidRPr="00A761D1">
        <w:rPr>
          <w:rFonts w:ascii="Times New Roman" w:eastAsia="Times New Roman" w:hAnsi="Times New Roman" w:cs="Times New Roman"/>
          <w:color w:val="000000" w:themeColor="text1"/>
          <w:sz w:val="24"/>
          <w:szCs w:val="24"/>
          <w:lang w:eastAsia="it-IT"/>
        </w:rPr>
        <w:t>Uffici della Presidenza del Consiglio dei ministri interessati hanno provveduto a descrivere le azioni intraprese e/o gli indirizzi specifici emanati per incidere in maniera significativa sulla riduzione delle disuguaglianze di genere, evidenziando il proprio contributo tramite indicatori di risultato da essi individuati.</w:t>
      </w:r>
    </w:p>
    <w:p w14:paraId="495FF68D" w14:textId="4961AB43" w:rsidR="00CE6817" w:rsidRPr="00A761D1" w:rsidRDefault="00CE6817" w:rsidP="00CE6817">
      <w:pPr>
        <w:spacing w:after="0" w:line="360" w:lineRule="auto"/>
        <w:jc w:val="both"/>
        <w:rPr>
          <w:rFonts w:ascii="Times New Roman" w:hAnsi="Times New Roman" w:cs="Times New Roman"/>
          <w:color w:val="000000"/>
          <w:sz w:val="24"/>
          <w:szCs w:val="24"/>
        </w:rPr>
      </w:pPr>
      <w:r w:rsidRPr="00A761D1">
        <w:rPr>
          <w:rFonts w:ascii="Times New Roman" w:hAnsi="Times New Roman" w:cs="Times New Roman"/>
          <w:b/>
          <w:sz w:val="24"/>
          <w:szCs w:val="24"/>
        </w:rPr>
        <w:t xml:space="preserve">5.3 </w:t>
      </w:r>
      <w:r w:rsidRPr="00A761D1">
        <w:rPr>
          <w:rFonts w:ascii="Times New Roman" w:hAnsi="Times New Roman" w:cs="Times New Roman"/>
          <w:sz w:val="24"/>
          <w:szCs w:val="24"/>
        </w:rPr>
        <w:t>La Presidenza del Consiglio dei ministri, come negli anni precedenti, ha proseguito nell</w:t>
      </w:r>
      <w:r w:rsidR="00877AAF">
        <w:rPr>
          <w:rFonts w:ascii="Times New Roman" w:hAnsi="Times New Roman" w:cs="Times New Roman"/>
          <w:sz w:val="24"/>
          <w:szCs w:val="24"/>
        </w:rPr>
        <w:t>’</w:t>
      </w:r>
      <w:r w:rsidRPr="00A761D1">
        <w:rPr>
          <w:rFonts w:ascii="Times New Roman" w:hAnsi="Times New Roman" w:cs="Times New Roman"/>
          <w:sz w:val="24"/>
          <w:szCs w:val="24"/>
        </w:rPr>
        <w:t>azione di razionalizzazione della spesa per beni e servizi attraverso:</w:t>
      </w:r>
    </w:p>
    <w:p w14:paraId="01825C4A" w14:textId="0FC75DF5" w:rsidR="00CE6817" w:rsidRPr="00A761D1" w:rsidRDefault="00CE6817" w:rsidP="00CE6817">
      <w:pPr>
        <w:spacing w:after="0" w:line="360" w:lineRule="auto"/>
        <w:jc w:val="both"/>
        <w:rPr>
          <w:rFonts w:ascii="Times New Roman" w:eastAsia="Times New Roman" w:hAnsi="Times New Roman" w:cs="Times New Roman"/>
          <w:sz w:val="24"/>
          <w:szCs w:val="24"/>
          <w:lang w:eastAsia="it-IT"/>
        </w:rPr>
      </w:pPr>
      <w:r w:rsidRPr="00A761D1">
        <w:rPr>
          <w:rFonts w:ascii="Times New Roman" w:hAnsi="Times New Roman" w:cs="Times New Roman"/>
          <w:color w:val="000000"/>
          <w:sz w:val="24"/>
          <w:szCs w:val="24"/>
        </w:rPr>
        <w:t>a) l</w:t>
      </w:r>
      <w:r w:rsidR="00877AAF">
        <w:rPr>
          <w:rFonts w:ascii="Times New Roman" w:hAnsi="Times New Roman" w:cs="Times New Roman"/>
          <w:color w:val="000000"/>
          <w:sz w:val="24"/>
          <w:szCs w:val="24"/>
        </w:rPr>
        <w:t>’</w:t>
      </w:r>
      <w:r w:rsidRPr="00A761D1">
        <w:rPr>
          <w:rFonts w:ascii="Times New Roman" w:hAnsi="Times New Roman" w:cs="Times New Roman"/>
          <w:color w:val="000000"/>
          <w:sz w:val="24"/>
          <w:szCs w:val="24"/>
        </w:rPr>
        <w:t>applicazione delle disposizioni normative relative ai limiti previsti per particolari tipologie di spesa, ponendo anche ulteriori obiettivi di risparmio;</w:t>
      </w:r>
    </w:p>
    <w:p w14:paraId="011B26ED" w14:textId="423CD0DF" w:rsidR="00CE6817" w:rsidRPr="001D5787" w:rsidRDefault="00CE6817" w:rsidP="00CE6817">
      <w:pPr>
        <w:spacing w:after="0" w:line="360" w:lineRule="auto"/>
        <w:jc w:val="both"/>
        <w:rPr>
          <w:rFonts w:ascii="Times New Roman" w:hAnsi="Times New Roman" w:cs="Times New Roman"/>
          <w:color w:val="000000" w:themeColor="text1"/>
          <w:sz w:val="24"/>
          <w:szCs w:val="24"/>
        </w:rPr>
      </w:pPr>
      <w:r w:rsidRPr="00A761D1">
        <w:rPr>
          <w:rFonts w:ascii="Times New Roman" w:hAnsi="Times New Roman" w:cs="Times New Roman"/>
          <w:sz w:val="24"/>
          <w:szCs w:val="24"/>
        </w:rPr>
        <w:t xml:space="preserve">b) la conferma della </w:t>
      </w:r>
      <w:r w:rsidRPr="00A761D1">
        <w:rPr>
          <w:rFonts w:ascii="Times New Roman" w:eastAsia="Times New Roman" w:hAnsi="Times New Roman" w:cs="Times New Roman"/>
          <w:sz w:val="24"/>
          <w:szCs w:val="24"/>
          <w:lang w:eastAsia="it-IT"/>
        </w:rPr>
        <w:t xml:space="preserve">gestione in forma accentrata di alcune tipologie di </w:t>
      </w:r>
      <w:r w:rsidR="0004456F">
        <w:rPr>
          <w:rFonts w:ascii="Times New Roman" w:eastAsia="Times New Roman" w:hAnsi="Times New Roman" w:cs="Times New Roman"/>
          <w:sz w:val="24"/>
          <w:szCs w:val="24"/>
          <w:lang w:eastAsia="it-IT"/>
        </w:rPr>
        <w:t xml:space="preserve">acquisti </w:t>
      </w:r>
      <w:r w:rsidRPr="00A761D1">
        <w:rPr>
          <w:rFonts w:ascii="Times New Roman" w:eastAsia="Times New Roman" w:hAnsi="Times New Roman" w:cs="Times New Roman"/>
          <w:sz w:val="24"/>
          <w:szCs w:val="24"/>
          <w:lang w:eastAsia="it-IT"/>
        </w:rPr>
        <w:t>per beni e servizi, organica al processo</w:t>
      </w:r>
      <w:r w:rsidRPr="00A761D1">
        <w:rPr>
          <w:rFonts w:ascii="Times New Roman" w:hAnsi="Times New Roman" w:cs="Times New Roman"/>
          <w:color w:val="000000" w:themeColor="text1"/>
          <w:sz w:val="24"/>
          <w:szCs w:val="24"/>
        </w:rPr>
        <w:t xml:space="preserve"> strutturale</w:t>
      </w:r>
      <w:r w:rsidRPr="00A761D1">
        <w:rPr>
          <w:rFonts w:ascii="Times New Roman" w:eastAsia="Times New Roman" w:hAnsi="Times New Roman" w:cs="Times New Roman"/>
          <w:sz w:val="24"/>
          <w:szCs w:val="24"/>
          <w:lang w:eastAsia="it-IT"/>
        </w:rPr>
        <w:t xml:space="preserve"> di razionalizzazione della spesa.</w:t>
      </w:r>
      <w:r w:rsidRPr="001D5787">
        <w:rPr>
          <w:rFonts w:ascii="Times New Roman" w:hAnsi="Times New Roman" w:cs="Times New Roman"/>
          <w:color w:val="000000" w:themeColor="text1"/>
          <w:sz w:val="24"/>
          <w:szCs w:val="24"/>
        </w:rPr>
        <w:t xml:space="preserve"> </w:t>
      </w:r>
    </w:p>
    <w:p w14:paraId="425F2676" w14:textId="77777777" w:rsidR="008872F5" w:rsidRDefault="008872F5" w:rsidP="00CE681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 quanto riguarda l’articolazione delle Strutture della Presidenza, nello specifico si segnala quanto segue:</w:t>
      </w:r>
    </w:p>
    <w:p w14:paraId="09B113BD" w14:textId="74402625" w:rsidR="00CE6817" w:rsidRPr="008872F5" w:rsidRDefault="008872F5" w:rsidP="00322660">
      <w:pPr>
        <w:pStyle w:val="Paragrafoelenco"/>
        <w:numPr>
          <w:ilvl w:val="0"/>
          <w:numId w:val="22"/>
        </w:numPr>
        <w:spacing w:line="360" w:lineRule="auto"/>
        <w:ind w:left="426" w:hanging="426"/>
        <w:jc w:val="both"/>
        <w:rPr>
          <w:color w:val="000000" w:themeColor="text1"/>
          <w:sz w:val="24"/>
          <w:szCs w:val="24"/>
        </w:rPr>
      </w:pPr>
      <w:r>
        <w:rPr>
          <w:color w:val="000000" w:themeColor="text1"/>
          <w:sz w:val="24"/>
          <w:szCs w:val="24"/>
        </w:rPr>
        <w:t>i</w:t>
      </w:r>
      <w:r w:rsidR="00CE6817" w:rsidRPr="008872F5">
        <w:rPr>
          <w:color w:val="000000" w:themeColor="text1"/>
          <w:sz w:val="24"/>
          <w:szCs w:val="24"/>
        </w:rPr>
        <w:t>l Dipartimento per il personale, al quale sono assegnate le competenze relative all</w:t>
      </w:r>
      <w:r w:rsidR="00877AAF" w:rsidRPr="008872F5">
        <w:rPr>
          <w:color w:val="000000" w:themeColor="text1"/>
          <w:sz w:val="24"/>
          <w:szCs w:val="24"/>
        </w:rPr>
        <w:t>’</w:t>
      </w:r>
      <w:r w:rsidR="00CE6817" w:rsidRPr="008872F5">
        <w:rPr>
          <w:color w:val="000000" w:themeColor="text1"/>
          <w:sz w:val="24"/>
          <w:szCs w:val="24"/>
        </w:rPr>
        <w:t>area “gestione delle risorse umane”, provvede alla gestione unitaria dei trattamenti fondamentali ed accessori del personale comunque in servizio presso la Presidenza del Consiglio dei ministri</w:t>
      </w:r>
      <w:r>
        <w:rPr>
          <w:color w:val="000000" w:themeColor="text1"/>
          <w:sz w:val="24"/>
          <w:szCs w:val="24"/>
        </w:rPr>
        <w:t>.</w:t>
      </w:r>
      <w:r w:rsidR="00CE6817" w:rsidRPr="008872F5">
        <w:rPr>
          <w:color w:val="000000" w:themeColor="text1"/>
          <w:sz w:val="24"/>
          <w:szCs w:val="24"/>
        </w:rPr>
        <w:t xml:space="preserve"> Cura, altresì, la liquidazione della spesa relativa al personale e agli esperti assegnati presso le strutture di missione, presso le strutture a supporto dei Commissari straordinari di Governo, </w:t>
      </w:r>
      <w:r>
        <w:rPr>
          <w:color w:val="000000" w:themeColor="text1"/>
          <w:sz w:val="24"/>
          <w:szCs w:val="24"/>
        </w:rPr>
        <w:t>quando queste</w:t>
      </w:r>
      <w:r w:rsidR="00CE6817" w:rsidRPr="008872F5">
        <w:rPr>
          <w:color w:val="000000" w:themeColor="text1"/>
          <w:sz w:val="24"/>
          <w:szCs w:val="24"/>
        </w:rPr>
        <w:t xml:space="preserve"> sono a carico della Presidenza del Consiglio dei ministri, nonché presso l</w:t>
      </w:r>
      <w:r w:rsidR="00877AAF" w:rsidRPr="008872F5">
        <w:rPr>
          <w:color w:val="000000" w:themeColor="text1"/>
          <w:sz w:val="24"/>
          <w:szCs w:val="24"/>
        </w:rPr>
        <w:t>’</w:t>
      </w:r>
      <w:r w:rsidR="00CE6817" w:rsidRPr="008872F5">
        <w:rPr>
          <w:color w:val="000000" w:themeColor="text1"/>
          <w:sz w:val="24"/>
          <w:szCs w:val="24"/>
        </w:rPr>
        <w:t>Unità per la semplificazione e la qualità della regolazione e presso l</w:t>
      </w:r>
      <w:r w:rsidR="00877AAF" w:rsidRPr="008872F5">
        <w:rPr>
          <w:color w:val="000000" w:themeColor="text1"/>
          <w:sz w:val="24"/>
          <w:szCs w:val="24"/>
        </w:rPr>
        <w:t>’</w:t>
      </w:r>
      <w:r w:rsidR="00CE6817" w:rsidRPr="008872F5">
        <w:rPr>
          <w:color w:val="000000" w:themeColor="text1"/>
          <w:sz w:val="24"/>
          <w:szCs w:val="24"/>
        </w:rPr>
        <w:t xml:space="preserve">Unità per la valutazione della </w:t>
      </w:r>
      <w:r w:rsidR="00CE6817" w:rsidRPr="008872F5">
        <w:rPr>
          <w:i/>
          <w:color w:val="000000" w:themeColor="text1"/>
          <w:sz w:val="24"/>
          <w:szCs w:val="24"/>
        </w:rPr>
        <w:t>performance,</w:t>
      </w:r>
      <w:r w:rsidR="00CE6817" w:rsidRPr="008872F5">
        <w:rPr>
          <w:color w:val="000000" w:themeColor="text1"/>
          <w:sz w:val="24"/>
          <w:szCs w:val="24"/>
        </w:rPr>
        <w:t xml:space="preserve"> previo trasferimento delle relative risorse finanziarie stanzia</w:t>
      </w:r>
      <w:r w:rsidR="0008438B">
        <w:rPr>
          <w:color w:val="000000" w:themeColor="text1"/>
          <w:sz w:val="24"/>
          <w:szCs w:val="24"/>
        </w:rPr>
        <w:t>te sugli appositi capitoli dei centri di r</w:t>
      </w:r>
      <w:r w:rsidR="00CE6817" w:rsidRPr="008872F5">
        <w:rPr>
          <w:color w:val="000000" w:themeColor="text1"/>
          <w:sz w:val="24"/>
          <w:szCs w:val="24"/>
        </w:rPr>
        <w:t>esponsabilità riferiti ai Dipartimenti presso i quali sono istituite le suindicate strutture. Inoltre, gestisce in forma unitaria la spesa relativa agli esperti, nominati ai sensi dell</w:t>
      </w:r>
      <w:r w:rsidR="00877AAF" w:rsidRPr="008872F5">
        <w:rPr>
          <w:color w:val="000000" w:themeColor="text1"/>
          <w:sz w:val="24"/>
          <w:szCs w:val="24"/>
        </w:rPr>
        <w:t>’</w:t>
      </w:r>
      <w:r w:rsidR="00CE6817" w:rsidRPr="008872F5">
        <w:rPr>
          <w:color w:val="000000" w:themeColor="text1"/>
          <w:sz w:val="24"/>
          <w:szCs w:val="24"/>
        </w:rPr>
        <w:t xml:space="preserve">articolo 9 del decreto </w:t>
      </w:r>
      <w:r w:rsidR="00CE6817" w:rsidRPr="008872F5">
        <w:rPr>
          <w:color w:val="000000" w:themeColor="text1"/>
          <w:sz w:val="24"/>
          <w:szCs w:val="24"/>
        </w:rPr>
        <w:lastRenderedPageBreak/>
        <w:t>legislativo 30 luglio 1999, n. 303, e successive modificazioni, e dell</w:t>
      </w:r>
      <w:r w:rsidR="00877AAF" w:rsidRPr="008872F5">
        <w:rPr>
          <w:color w:val="000000" w:themeColor="text1"/>
          <w:sz w:val="24"/>
          <w:szCs w:val="24"/>
        </w:rPr>
        <w:t>’</w:t>
      </w:r>
      <w:r w:rsidR="00CE6817" w:rsidRPr="008872F5">
        <w:rPr>
          <w:color w:val="000000" w:themeColor="text1"/>
          <w:sz w:val="24"/>
          <w:szCs w:val="24"/>
        </w:rPr>
        <w:t>articolo 11, comma 3, della legge 6 luglio 2002, n. 137.</w:t>
      </w:r>
    </w:p>
    <w:p w14:paraId="694EFD21" w14:textId="358FD31D" w:rsidR="00CE6817" w:rsidRPr="008872F5" w:rsidRDefault="00CE6817" w:rsidP="008872F5">
      <w:pPr>
        <w:pStyle w:val="Paragrafoelenco"/>
        <w:numPr>
          <w:ilvl w:val="0"/>
          <w:numId w:val="22"/>
        </w:numPr>
        <w:spacing w:line="360" w:lineRule="auto"/>
        <w:ind w:left="426"/>
        <w:jc w:val="both"/>
        <w:rPr>
          <w:color w:val="000000" w:themeColor="text1"/>
          <w:sz w:val="24"/>
          <w:szCs w:val="24"/>
        </w:rPr>
      </w:pPr>
      <w:r w:rsidRPr="008872F5">
        <w:rPr>
          <w:color w:val="000000" w:themeColor="text1"/>
          <w:sz w:val="24"/>
          <w:szCs w:val="24"/>
        </w:rPr>
        <w:t>Il Dipartimento per i servizi strumentali, al quale sono attribuite le competenze relative all</w:t>
      </w:r>
      <w:r w:rsidR="00877AAF" w:rsidRPr="008872F5">
        <w:rPr>
          <w:color w:val="000000" w:themeColor="text1"/>
          <w:sz w:val="24"/>
          <w:szCs w:val="24"/>
        </w:rPr>
        <w:t>’</w:t>
      </w:r>
      <w:r w:rsidRPr="008872F5">
        <w:rPr>
          <w:color w:val="000000" w:themeColor="text1"/>
          <w:sz w:val="24"/>
          <w:szCs w:val="24"/>
        </w:rPr>
        <w:t>area “gestione delle risorse strumentali”, assicura la gestione in forma accentrata delle procedure per l</w:t>
      </w:r>
      <w:r w:rsidR="00877AAF" w:rsidRPr="008872F5">
        <w:rPr>
          <w:color w:val="000000" w:themeColor="text1"/>
          <w:sz w:val="24"/>
          <w:szCs w:val="24"/>
        </w:rPr>
        <w:t>’</w:t>
      </w:r>
      <w:r w:rsidRPr="008872F5">
        <w:rPr>
          <w:color w:val="000000" w:themeColor="text1"/>
          <w:sz w:val="24"/>
          <w:szCs w:val="24"/>
        </w:rPr>
        <w:t xml:space="preserve">acquisizione dei beni e servizi della Presidenza del Consiglio dei ministri, comprese quelle relative al minuto funzionamento, agli oneri di mobilità, alla manutenzione degli immobili e </w:t>
      </w:r>
      <w:r w:rsidR="008872F5">
        <w:rPr>
          <w:color w:val="000000" w:themeColor="text1"/>
          <w:sz w:val="24"/>
          <w:szCs w:val="24"/>
        </w:rPr>
        <w:t xml:space="preserve">degli </w:t>
      </w:r>
      <w:r w:rsidRPr="008872F5">
        <w:rPr>
          <w:color w:val="000000" w:themeColor="text1"/>
          <w:sz w:val="24"/>
          <w:szCs w:val="24"/>
        </w:rPr>
        <w:t>impianti, all</w:t>
      </w:r>
      <w:r w:rsidR="00877AAF" w:rsidRPr="008872F5">
        <w:rPr>
          <w:color w:val="000000" w:themeColor="text1"/>
          <w:sz w:val="24"/>
          <w:szCs w:val="24"/>
        </w:rPr>
        <w:t>’</w:t>
      </w:r>
      <w:r w:rsidRPr="008872F5">
        <w:rPr>
          <w:color w:val="000000" w:themeColor="text1"/>
          <w:sz w:val="24"/>
          <w:szCs w:val="24"/>
        </w:rPr>
        <w:t xml:space="preserve">acquisto e manutenzione delle apparecchiature e attrezzature informatiche, al restauro </w:t>
      </w:r>
      <w:r w:rsidR="008872F5">
        <w:rPr>
          <w:color w:val="000000" w:themeColor="text1"/>
          <w:sz w:val="24"/>
          <w:szCs w:val="24"/>
        </w:rPr>
        <w:t xml:space="preserve">degli </w:t>
      </w:r>
      <w:r w:rsidRPr="008872F5">
        <w:rPr>
          <w:color w:val="000000" w:themeColor="text1"/>
          <w:sz w:val="24"/>
          <w:szCs w:val="24"/>
        </w:rPr>
        <w:t>arredi, alle pulizie e facchinaggio, ad eccezione di quelle che vengono gestite direttamente da Dipartimenti e/o Uffici appositamente individuati, quali:</w:t>
      </w:r>
    </w:p>
    <w:p w14:paraId="1651C6C9" w14:textId="2557838C" w:rsidR="00CE6817" w:rsidRPr="001D5787" w:rsidRDefault="00CE6817" w:rsidP="008872F5">
      <w:pPr>
        <w:spacing w:after="0" w:line="360" w:lineRule="auto"/>
        <w:ind w:left="426"/>
        <w:jc w:val="both"/>
        <w:rPr>
          <w:rFonts w:ascii="Times New Roman" w:hAnsi="Times New Roman" w:cs="Times New Roman"/>
          <w:color w:val="000000" w:themeColor="text1"/>
          <w:sz w:val="24"/>
          <w:szCs w:val="24"/>
        </w:rPr>
      </w:pPr>
      <w:r w:rsidRPr="001D5787">
        <w:rPr>
          <w:rFonts w:ascii="Times New Roman" w:hAnsi="Times New Roman" w:cs="Times New Roman"/>
          <w:color w:val="000000" w:themeColor="text1"/>
          <w:sz w:val="24"/>
          <w:szCs w:val="24"/>
        </w:rPr>
        <w:t>-  l</w:t>
      </w:r>
      <w:r w:rsidR="00877AAF">
        <w:rPr>
          <w:rFonts w:ascii="Times New Roman" w:hAnsi="Times New Roman" w:cs="Times New Roman"/>
          <w:color w:val="000000" w:themeColor="text1"/>
          <w:sz w:val="24"/>
          <w:szCs w:val="24"/>
        </w:rPr>
        <w:t>’</w:t>
      </w:r>
      <w:r w:rsidRPr="001D5787">
        <w:rPr>
          <w:rFonts w:ascii="Times New Roman" w:hAnsi="Times New Roman" w:cs="Times New Roman"/>
          <w:color w:val="000000" w:themeColor="text1"/>
          <w:sz w:val="24"/>
          <w:szCs w:val="24"/>
        </w:rPr>
        <w:t xml:space="preserve">Ufficio del Segretario generale che gestisce le spese connesse </w:t>
      </w:r>
      <w:r>
        <w:rPr>
          <w:rFonts w:ascii="Times New Roman" w:hAnsi="Times New Roman" w:cs="Times New Roman"/>
          <w:color w:val="000000" w:themeColor="text1"/>
          <w:sz w:val="24"/>
          <w:szCs w:val="24"/>
        </w:rPr>
        <w:t>all</w:t>
      </w:r>
      <w:r w:rsidRPr="001D5787">
        <w:rPr>
          <w:rFonts w:ascii="Times New Roman" w:hAnsi="Times New Roman" w:cs="Times New Roman"/>
          <w:color w:val="000000" w:themeColor="text1"/>
          <w:sz w:val="24"/>
          <w:szCs w:val="24"/>
        </w:rPr>
        <w:t xml:space="preserve">e esigenze della Biblioteca </w:t>
      </w:r>
      <w:proofErr w:type="spellStart"/>
      <w:r w:rsidRPr="001D5787">
        <w:rPr>
          <w:rFonts w:ascii="Times New Roman" w:hAnsi="Times New Roman" w:cs="Times New Roman"/>
          <w:color w:val="000000" w:themeColor="text1"/>
          <w:sz w:val="24"/>
          <w:szCs w:val="24"/>
        </w:rPr>
        <w:t>Chigiana</w:t>
      </w:r>
      <w:proofErr w:type="spellEnd"/>
      <w:r w:rsidRPr="001D5787">
        <w:rPr>
          <w:rFonts w:ascii="Times New Roman" w:hAnsi="Times New Roman" w:cs="Times New Roman"/>
          <w:color w:val="000000" w:themeColor="text1"/>
          <w:sz w:val="24"/>
          <w:szCs w:val="24"/>
        </w:rPr>
        <w:t xml:space="preserve">; </w:t>
      </w:r>
    </w:p>
    <w:p w14:paraId="5A43C7B0" w14:textId="015B4779" w:rsidR="00CE6817" w:rsidRPr="001D5787" w:rsidRDefault="00CE6817" w:rsidP="008872F5">
      <w:pPr>
        <w:spacing w:after="0" w:line="360" w:lineRule="auto"/>
        <w:ind w:left="426"/>
        <w:jc w:val="both"/>
        <w:rPr>
          <w:rFonts w:ascii="Times New Roman" w:hAnsi="Times New Roman" w:cs="Times New Roman"/>
          <w:color w:val="000000" w:themeColor="text1"/>
          <w:sz w:val="24"/>
          <w:szCs w:val="24"/>
        </w:rPr>
      </w:pPr>
      <w:r w:rsidRPr="001D5787">
        <w:rPr>
          <w:rFonts w:ascii="Times New Roman" w:hAnsi="Times New Roman" w:cs="Times New Roman"/>
          <w:color w:val="000000" w:themeColor="text1"/>
          <w:sz w:val="24"/>
          <w:szCs w:val="24"/>
        </w:rPr>
        <w:t>- il Dipartimento per l</w:t>
      </w:r>
      <w:r w:rsidR="00877AAF">
        <w:rPr>
          <w:rFonts w:ascii="Times New Roman" w:hAnsi="Times New Roman" w:cs="Times New Roman"/>
          <w:color w:val="000000" w:themeColor="text1"/>
          <w:sz w:val="24"/>
          <w:szCs w:val="24"/>
        </w:rPr>
        <w:t>’</w:t>
      </w:r>
      <w:r w:rsidRPr="001D5787">
        <w:rPr>
          <w:rFonts w:ascii="Times New Roman" w:hAnsi="Times New Roman" w:cs="Times New Roman"/>
          <w:color w:val="000000" w:themeColor="text1"/>
          <w:sz w:val="24"/>
          <w:szCs w:val="24"/>
        </w:rPr>
        <w:t>informazione e l</w:t>
      </w:r>
      <w:r w:rsidR="00877AAF">
        <w:rPr>
          <w:rFonts w:ascii="Times New Roman" w:hAnsi="Times New Roman" w:cs="Times New Roman"/>
          <w:color w:val="000000" w:themeColor="text1"/>
          <w:sz w:val="24"/>
          <w:szCs w:val="24"/>
        </w:rPr>
        <w:t>’</w:t>
      </w:r>
      <w:r w:rsidRPr="001D5787">
        <w:rPr>
          <w:rFonts w:ascii="Times New Roman" w:hAnsi="Times New Roman" w:cs="Times New Roman"/>
          <w:color w:val="000000" w:themeColor="text1"/>
          <w:sz w:val="24"/>
          <w:szCs w:val="24"/>
        </w:rPr>
        <w:t>editoria che assicura la gestione accentrata delle spese di comunicazione istituzionale, quelle per l</w:t>
      </w:r>
      <w:r w:rsidR="00877AAF">
        <w:rPr>
          <w:rFonts w:ascii="Times New Roman" w:hAnsi="Times New Roman" w:cs="Times New Roman"/>
          <w:color w:val="000000" w:themeColor="text1"/>
          <w:sz w:val="24"/>
          <w:szCs w:val="24"/>
        </w:rPr>
        <w:t>’</w:t>
      </w:r>
      <w:r w:rsidRPr="001D5787">
        <w:rPr>
          <w:rFonts w:ascii="Times New Roman" w:hAnsi="Times New Roman" w:cs="Times New Roman"/>
          <w:color w:val="000000" w:themeColor="text1"/>
          <w:sz w:val="24"/>
          <w:szCs w:val="24"/>
        </w:rPr>
        <w:t>acquisto di spazi pubblicitari e pubblicazioni e per l</w:t>
      </w:r>
      <w:r w:rsidR="00877AAF">
        <w:rPr>
          <w:rFonts w:ascii="Times New Roman" w:hAnsi="Times New Roman" w:cs="Times New Roman"/>
          <w:color w:val="000000" w:themeColor="text1"/>
          <w:sz w:val="24"/>
          <w:szCs w:val="24"/>
        </w:rPr>
        <w:t>’</w:t>
      </w:r>
      <w:r w:rsidRPr="001D5787">
        <w:rPr>
          <w:rFonts w:ascii="Times New Roman" w:hAnsi="Times New Roman" w:cs="Times New Roman"/>
          <w:color w:val="000000" w:themeColor="text1"/>
          <w:sz w:val="24"/>
          <w:szCs w:val="24"/>
        </w:rPr>
        <w:t>organizzazione di convegni;</w:t>
      </w:r>
    </w:p>
    <w:p w14:paraId="75508D64" w14:textId="5443C0E3" w:rsidR="00CE6817" w:rsidRPr="00E766A8" w:rsidRDefault="00CE6817" w:rsidP="008872F5">
      <w:pPr>
        <w:spacing w:after="0" w:line="360" w:lineRule="auto"/>
        <w:ind w:left="426"/>
        <w:jc w:val="both"/>
        <w:rPr>
          <w:rFonts w:ascii="Times New Roman" w:hAnsi="Times New Roman" w:cs="Times New Roman"/>
          <w:color w:val="000000" w:themeColor="text1"/>
          <w:sz w:val="24"/>
          <w:szCs w:val="24"/>
        </w:rPr>
      </w:pPr>
      <w:r w:rsidRPr="00E766A8">
        <w:rPr>
          <w:rFonts w:ascii="Times New Roman" w:hAnsi="Times New Roman" w:cs="Times New Roman"/>
          <w:color w:val="000000" w:themeColor="text1"/>
          <w:sz w:val="24"/>
          <w:szCs w:val="24"/>
        </w:rPr>
        <w:t>- 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Ufficio del cerimoniale di Stato e per le onorificenze che gestisce in forma accentrata le spese di interpretariato. Inoltre, amministra direttamente e in forma autonoma le spese per la conduzione dell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alloggio del Presidente del Consiglio dei ministri</w:t>
      </w:r>
      <w:r w:rsidR="00182168">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 nonché tutte le procedure per 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acquisizione di beni e servizi necessari ad assicurare lo svolgimento delle funzioni istituzionali, ad eccezione delle procedure di rilevanza europea che sono gestite dal Dipartimento per i servizi strumentali fino al completamento delle procedure di affidamento;</w:t>
      </w:r>
    </w:p>
    <w:p w14:paraId="2E4D2918" w14:textId="5D6C8EDC" w:rsidR="00CE6817" w:rsidRPr="00E766A8" w:rsidRDefault="00CE6817" w:rsidP="008872F5">
      <w:pPr>
        <w:spacing w:after="0" w:line="360" w:lineRule="auto"/>
        <w:ind w:left="426"/>
        <w:jc w:val="both"/>
        <w:rPr>
          <w:rFonts w:ascii="Times New Roman" w:hAnsi="Times New Roman" w:cs="Times New Roman"/>
          <w:color w:val="000000" w:themeColor="text1"/>
          <w:sz w:val="24"/>
          <w:szCs w:val="24"/>
        </w:rPr>
      </w:pPr>
      <w:r w:rsidRPr="00E766A8">
        <w:rPr>
          <w:rFonts w:ascii="Times New Roman" w:hAnsi="Times New Roman" w:cs="Times New Roman"/>
          <w:color w:val="000000" w:themeColor="text1"/>
          <w:sz w:val="24"/>
          <w:szCs w:val="24"/>
        </w:rPr>
        <w:t>- il Servizio per i voli di Stato, di Governo e umanitari che provvede direttamente all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acquisizione di beni e servizi riguardanti il trasporto aereo per esigenze di Stato o ad esso connessi. </w:t>
      </w:r>
    </w:p>
    <w:p w14:paraId="612E499F" w14:textId="0D1F418D" w:rsidR="00CE6817" w:rsidRDefault="00CE6817" w:rsidP="00CE681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È</w:t>
      </w:r>
      <w:r w:rsidRPr="00E766A8">
        <w:rPr>
          <w:rFonts w:ascii="Times New Roman" w:hAnsi="Times New Roman" w:cs="Times New Roman"/>
          <w:color w:val="000000" w:themeColor="text1"/>
          <w:sz w:val="24"/>
          <w:szCs w:val="24"/>
        </w:rPr>
        <w:t xml:space="preserve"> mantenuta in capo ai Dipartimenti e Uffici autonomi di supporto ai Ministri senza portafoglio e ai Sottosegretari di Stato la gestione delle procedure e delle relative risorse finanziarie per 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acquisizione di alcuni specifici beni e servizi, quali </w:t>
      </w:r>
      <w:r w:rsidR="008872F5">
        <w:rPr>
          <w:rFonts w:ascii="Times New Roman" w:hAnsi="Times New Roman" w:cs="Times New Roman"/>
          <w:color w:val="000000" w:themeColor="text1"/>
          <w:sz w:val="24"/>
          <w:szCs w:val="24"/>
        </w:rPr>
        <w:t>i quotidiani</w:t>
      </w:r>
      <w:r w:rsidRPr="00E766A8">
        <w:rPr>
          <w:rFonts w:ascii="Times New Roman" w:hAnsi="Times New Roman" w:cs="Times New Roman"/>
          <w:color w:val="000000" w:themeColor="text1"/>
          <w:sz w:val="24"/>
          <w:szCs w:val="24"/>
        </w:rPr>
        <w:t>, la realizzazione e la gestione delle banche dati di settore, 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affidamento di studi, </w:t>
      </w:r>
      <w:r w:rsidR="008872F5">
        <w:rPr>
          <w:rFonts w:ascii="Times New Roman" w:hAnsi="Times New Roman" w:cs="Times New Roman"/>
          <w:color w:val="000000" w:themeColor="text1"/>
          <w:sz w:val="24"/>
          <w:szCs w:val="24"/>
        </w:rPr>
        <w:t xml:space="preserve">le </w:t>
      </w:r>
      <w:r w:rsidRPr="00E766A8">
        <w:rPr>
          <w:rFonts w:ascii="Times New Roman" w:hAnsi="Times New Roman" w:cs="Times New Roman"/>
          <w:color w:val="000000" w:themeColor="text1"/>
          <w:sz w:val="24"/>
          <w:szCs w:val="24"/>
        </w:rPr>
        <w:t>indagini</w:t>
      </w:r>
      <w:r w:rsidR="008872F5">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 </w:t>
      </w:r>
      <w:r w:rsidR="008872F5">
        <w:rPr>
          <w:rFonts w:ascii="Times New Roman" w:hAnsi="Times New Roman" w:cs="Times New Roman"/>
          <w:color w:val="000000" w:themeColor="text1"/>
          <w:sz w:val="24"/>
          <w:szCs w:val="24"/>
        </w:rPr>
        <w:t xml:space="preserve">le </w:t>
      </w:r>
      <w:r w:rsidRPr="00E766A8">
        <w:rPr>
          <w:rFonts w:ascii="Times New Roman" w:hAnsi="Times New Roman" w:cs="Times New Roman"/>
          <w:color w:val="000000" w:themeColor="text1"/>
          <w:sz w:val="24"/>
          <w:szCs w:val="24"/>
        </w:rPr>
        <w:t>rilevazioni e il rimborso di missioni</w:t>
      </w:r>
      <w:r w:rsidR="000D20D5">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 nonché quelli relativi alle spese di rappresentanza, in quanto strettamente legati alla specifica </w:t>
      </w:r>
      <w:r w:rsidRPr="00E766A8">
        <w:rPr>
          <w:rFonts w:ascii="Times New Roman" w:hAnsi="Times New Roman" w:cs="Times New Roman"/>
          <w:i/>
          <w:color w:val="000000" w:themeColor="text1"/>
          <w:sz w:val="24"/>
          <w:szCs w:val="24"/>
        </w:rPr>
        <w:t>m</w:t>
      </w:r>
      <w:r w:rsidRPr="00E766A8">
        <w:rPr>
          <w:rFonts w:ascii="Times New Roman" w:hAnsi="Times New Roman" w:cs="Times New Roman"/>
          <w:i/>
          <w:iCs/>
          <w:color w:val="000000" w:themeColor="text1"/>
          <w:sz w:val="24"/>
          <w:szCs w:val="24"/>
        </w:rPr>
        <w:t>ission</w:t>
      </w:r>
      <w:r w:rsidRPr="00E766A8">
        <w:rPr>
          <w:rFonts w:ascii="Times New Roman" w:hAnsi="Times New Roman" w:cs="Times New Roman"/>
          <w:color w:val="000000" w:themeColor="text1"/>
          <w:sz w:val="24"/>
          <w:szCs w:val="24"/>
        </w:rPr>
        <w:t xml:space="preserve"> istituzionale o alle esigenze dell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Autorità politica di riferimento e per i quali dall</w:t>
      </w:r>
      <w:r w:rsidR="00877AAF">
        <w:rPr>
          <w:rFonts w:ascii="Times New Roman" w:hAnsi="Times New Roman" w:cs="Times New Roman"/>
          <w:color w:val="000000" w:themeColor="text1"/>
          <w:sz w:val="24"/>
          <w:szCs w:val="24"/>
        </w:rPr>
        <w:t>’</w:t>
      </w:r>
      <w:r w:rsidRPr="00E766A8">
        <w:rPr>
          <w:rFonts w:ascii="Times New Roman" w:hAnsi="Times New Roman" w:cs="Times New Roman"/>
          <w:color w:val="000000" w:themeColor="text1"/>
          <w:sz w:val="24"/>
          <w:szCs w:val="24"/>
        </w:rPr>
        <w:t xml:space="preserve">accentramento, su un unico centro di responsabilità, non deriverebbero </w:t>
      </w:r>
      <w:r w:rsidR="008872F5">
        <w:rPr>
          <w:rFonts w:ascii="Times New Roman" w:hAnsi="Times New Roman" w:cs="Times New Roman"/>
          <w:color w:val="000000" w:themeColor="text1"/>
          <w:sz w:val="24"/>
          <w:szCs w:val="24"/>
        </w:rPr>
        <w:t xml:space="preserve">né </w:t>
      </w:r>
      <w:r w:rsidRPr="00E766A8">
        <w:rPr>
          <w:rFonts w:ascii="Times New Roman" w:hAnsi="Times New Roman" w:cs="Times New Roman"/>
          <w:color w:val="000000" w:themeColor="text1"/>
          <w:sz w:val="24"/>
          <w:szCs w:val="24"/>
        </w:rPr>
        <w:t>effettive economie di scala</w:t>
      </w:r>
      <w:r w:rsidR="008872F5">
        <w:rPr>
          <w:rFonts w:ascii="Times New Roman" w:hAnsi="Times New Roman" w:cs="Times New Roman"/>
          <w:color w:val="000000" w:themeColor="text1"/>
          <w:sz w:val="24"/>
          <w:szCs w:val="24"/>
        </w:rPr>
        <w:t xml:space="preserve"> né efficientamenti</w:t>
      </w:r>
      <w:r w:rsidRPr="00E766A8">
        <w:rPr>
          <w:rFonts w:ascii="Times New Roman" w:hAnsi="Times New Roman" w:cs="Times New Roman"/>
          <w:color w:val="000000" w:themeColor="text1"/>
          <w:sz w:val="24"/>
          <w:szCs w:val="24"/>
        </w:rPr>
        <w:t>.</w:t>
      </w:r>
      <w:r w:rsidRPr="00B81968">
        <w:rPr>
          <w:rFonts w:ascii="Times New Roman" w:hAnsi="Times New Roman" w:cs="Times New Roman"/>
          <w:color w:val="000000" w:themeColor="text1"/>
          <w:sz w:val="24"/>
          <w:szCs w:val="24"/>
        </w:rPr>
        <w:t xml:space="preserve"> </w:t>
      </w:r>
      <w:bookmarkEnd w:id="0"/>
    </w:p>
    <w:p w14:paraId="47CB32AD" w14:textId="729402BD" w:rsidR="00CE6817" w:rsidRPr="00E522C2" w:rsidRDefault="00CE6817" w:rsidP="00CE6817">
      <w:pPr>
        <w:spacing w:after="0" w:line="360" w:lineRule="auto"/>
        <w:jc w:val="both"/>
        <w:rPr>
          <w:rFonts w:ascii="Times New Roman" w:hAnsi="Times New Roman"/>
          <w:sz w:val="24"/>
          <w:szCs w:val="24"/>
        </w:rPr>
      </w:pPr>
      <w:r w:rsidRPr="00A52637">
        <w:rPr>
          <w:rFonts w:ascii="Times New Roman" w:hAnsi="Times New Roman" w:cs="Times New Roman"/>
          <w:b/>
          <w:bCs/>
          <w:color w:val="000000"/>
          <w:sz w:val="24"/>
          <w:szCs w:val="24"/>
        </w:rPr>
        <w:t>5.</w:t>
      </w:r>
      <w:r w:rsidR="00BD7B55">
        <w:rPr>
          <w:rFonts w:ascii="Times New Roman" w:hAnsi="Times New Roman" w:cs="Times New Roman"/>
          <w:b/>
          <w:bCs/>
          <w:color w:val="000000"/>
          <w:sz w:val="24"/>
          <w:szCs w:val="24"/>
        </w:rPr>
        <w:t>4</w:t>
      </w:r>
      <w:r w:rsidRPr="00E522C2">
        <w:rPr>
          <w:rFonts w:ascii="Times New Roman" w:hAnsi="Times New Roman" w:cs="Times New Roman"/>
          <w:b/>
          <w:bCs/>
          <w:color w:val="000000"/>
          <w:sz w:val="24"/>
          <w:szCs w:val="24"/>
        </w:rPr>
        <w:t xml:space="preserve"> </w:t>
      </w:r>
      <w:r w:rsidRPr="00E522C2">
        <w:rPr>
          <w:rFonts w:ascii="Times New Roman" w:hAnsi="Times New Roman" w:cs="Times New Roman"/>
          <w:color w:val="000000"/>
          <w:sz w:val="24"/>
          <w:szCs w:val="24"/>
        </w:rPr>
        <w:t>La Presidenza del Consiglio dei ministri</w:t>
      </w:r>
      <w:r w:rsidRPr="00E522C2">
        <w:rPr>
          <w:rFonts w:ascii="Times New Roman" w:hAnsi="Times New Roman"/>
          <w:sz w:val="24"/>
          <w:szCs w:val="24"/>
        </w:rPr>
        <w:t xml:space="preserve"> ha intrap</w:t>
      </w:r>
      <w:r w:rsidR="0053032C">
        <w:rPr>
          <w:rFonts w:ascii="Times New Roman" w:hAnsi="Times New Roman"/>
          <w:sz w:val="24"/>
          <w:szCs w:val="24"/>
        </w:rPr>
        <w:t>r</w:t>
      </w:r>
      <w:r w:rsidRPr="00E522C2">
        <w:rPr>
          <w:rFonts w:ascii="Times New Roman" w:hAnsi="Times New Roman"/>
          <w:sz w:val="24"/>
          <w:szCs w:val="24"/>
        </w:rPr>
        <w:t>eso negli ultimi anni un percorso, divenuto oramai strutturale,</w:t>
      </w:r>
      <w:r w:rsidRPr="00E522C2">
        <w:rPr>
          <w:rFonts w:ascii="Times New Roman" w:hAnsi="Times New Roman" w:cs="Times New Roman"/>
          <w:color w:val="000000"/>
          <w:sz w:val="24"/>
          <w:szCs w:val="24"/>
        </w:rPr>
        <w:t xml:space="preserve"> diretto a una </w:t>
      </w:r>
      <w:r w:rsidRPr="00E522C2">
        <w:rPr>
          <w:rFonts w:ascii="Times New Roman" w:hAnsi="Times New Roman"/>
          <w:sz w:val="24"/>
          <w:szCs w:val="24"/>
        </w:rPr>
        <w:t>sistematica revisione dei residui passivi, compresi quelli perenti, allo scopo di eliminare quelle partite debitorie per le quali, a qualunque titolo, non sia più esigibile l</w:t>
      </w:r>
      <w:r w:rsidR="00877AAF">
        <w:rPr>
          <w:rFonts w:ascii="Times New Roman" w:hAnsi="Times New Roman"/>
          <w:sz w:val="24"/>
          <w:szCs w:val="24"/>
        </w:rPr>
        <w:t>’</w:t>
      </w:r>
      <w:r w:rsidRPr="00E522C2">
        <w:rPr>
          <w:rFonts w:ascii="Times New Roman" w:hAnsi="Times New Roman"/>
          <w:sz w:val="24"/>
          <w:szCs w:val="24"/>
        </w:rPr>
        <w:t xml:space="preserve">obbligazione giuridica. </w:t>
      </w:r>
    </w:p>
    <w:p w14:paraId="5963EF7D" w14:textId="58EE6927" w:rsidR="00CE6817" w:rsidRPr="006B35E4" w:rsidRDefault="00CE6817" w:rsidP="00CE6817">
      <w:pPr>
        <w:spacing w:after="0" w:line="360" w:lineRule="auto"/>
        <w:jc w:val="both"/>
        <w:rPr>
          <w:rFonts w:ascii="Times New Roman" w:hAnsi="Times New Roman"/>
          <w:color w:val="000000" w:themeColor="text1"/>
          <w:sz w:val="24"/>
          <w:szCs w:val="24"/>
        </w:rPr>
      </w:pPr>
      <w:r w:rsidRPr="00E522C2">
        <w:rPr>
          <w:rFonts w:ascii="Times New Roman" w:hAnsi="Times New Roman"/>
          <w:sz w:val="24"/>
          <w:szCs w:val="24"/>
        </w:rPr>
        <w:t>Nel 2022 i Dipartimenti/Uffici della Presidenza del Consiglio dei ministri hanno proceduto a una puntuale attività di ricognizione dei residui passivi e perenti che ha portato,</w:t>
      </w:r>
      <w:r w:rsidRPr="00E522C2">
        <w:rPr>
          <w:sz w:val="24"/>
          <w:szCs w:val="24"/>
        </w:rPr>
        <w:t xml:space="preserve"> </w:t>
      </w:r>
      <w:r w:rsidRPr="00E522C2">
        <w:rPr>
          <w:rFonts w:ascii="Times New Roman" w:hAnsi="Times New Roman"/>
          <w:sz w:val="24"/>
          <w:szCs w:val="24"/>
        </w:rPr>
        <w:t xml:space="preserve">oltre a individuare le partite </w:t>
      </w:r>
      <w:r w:rsidRPr="00E522C2">
        <w:rPr>
          <w:rFonts w:ascii="Times New Roman" w:hAnsi="Times New Roman"/>
          <w:sz w:val="24"/>
          <w:szCs w:val="24"/>
        </w:rPr>
        <w:lastRenderedPageBreak/>
        <w:t xml:space="preserve">debitorie da conservare, </w:t>
      </w:r>
      <w:r w:rsidR="00877AAF">
        <w:rPr>
          <w:rFonts w:ascii="Times New Roman" w:hAnsi="Times New Roman"/>
          <w:sz w:val="24"/>
          <w:szCs w:val="24"/>
        </w:rPr>
        <w:t xml:space="preserve">anche a </w:t>
      </w:r>
      <w:r w:rsidRPr="00E522C2">
        <w:rPr>
          <w:rFonts w:ascii="Times New Roman" w:hAnsi="Times New Roman"/>
          <w:sz w:val="24"/>
          <w:szCs w:val="24"/>
        </w:rPr>
        <w:t>elimina</w:t>
      </w:r>
      <w:r w:rsidR="00877AAF">
        <w:rPr>
          <w:rFonts w:ascii="Times New Roman" w:hAnsi="Times New Roman"/>
          <w:sz w:val="24"/>
          <w:szCs w:val="24"/>
        </w:rPr>
        <w:t>r</w:t>
      </w:r>
      <w:r w:rsidRPr="00E522C2">
        <w:rPr>
          <w:rFonts w:ascii="Times New Roman" w:hAnsi="Times New Roman"/>
          <w:sz w:val="24"/>
          <w:szCs w:val="24"/>
        </w:rPr>
        <w:t>e, dal bilancio e dall</w:t>
      </w:r>
      <w:r w:rsidR="00877AAF">
        <w:rPr>
          <w:rFonts w:ascii="Times New Roman" w:hAnsi="Times New Roman"/>
          <w:sz w:val="24"/>
          <w:szCs w:val="24"/>
        </w:rPr>
        <w:t>’</w:t>
      </w:r>
      <w:r w:rsidRPr="00E522C2">
        <w:rPr>
          <w:rFonts w:ascii="Times New Roman" w:hAnsi="Times New Roman"/>
          <w:sz w:val="24"/>
          <w:szCs w:val="24"/>
        </w:rPr>
        <w:t xml:space="preserve">elenco dei residui passivi perenti, un consistente numero di partite debitorie divenute ormai inesigibili, in particolare per decorso dei termini di prescrizione, per un ammontare complessivo di </w:t>
      </w:r>
      <w:r w:rsidRPr="00E522C2">
        <w:rPr>
          <w:rFonts w:ascii="Times New Roman" w:hAnsi="Times New Roman"/>
          <w:color w:val="000000" w:themeColor="text1"/>
          <w:sz w:val="24"/>
          <w:szCs w:val="24"/>
        </w:rPr>
        <w:t xml:space="preserve">euro </w:t>
      </w:r>
      <w:r w:rsidRPr="00D97D3A">
        <w:rPr>
          <w:rFonts w:ascii="Times New Roman" w:hAnsi="Times New Roman"/>
          <w:color w:val="000000" w:themeColor="text1"/>
          <w:sz w:val="24"/>
          <w:szCs w:val="24"/>
        </w:rPr>
        <w:t xml:space="preserve">75.309.932,14, di cui euro 11.448.925,90 </w:t>
      </w:r>
      <w:r w:rsidRPr="00D97D3A">
        <w:rPr>
          <w:rFonts w:ascii="Times New Roman" w:hAnsi="Times New Roman" w:cs="Times New Roman"/>
          <w:color w:val="000000" w:themeColor="text1"/>
          <w:sz w:val="24"/>
          <w:szCs w:val="24"/>
        </w:rPr>
        <w:t>riferiti a</w:t>
      </w:r>
      <w:r w:rsidRPr="00D97D3A">
        <w:rPr>
          <w:rFonts w:ascii="Times New Roman" w:hAnsi="Times New Roman"/>
          <w:color w:val="000000" w:themeColor="text1"/>
          <w:sz w:val="24"/>
          <w:szCs w:val="24"/>
        </w:rPr>
        <w:t xml:space="preserve"> residui passivi ed euro </w:t>
      </w:r>
      <w:r w:rsidRPr="00D97D3A">
        <w:rPr>
          <w:rFonts w:ascii="Times New Roman" w:hAnsi="Times New Roman" w:cs="Times New Roman"/>
          <w:sz w:val="24"/>
          <w:szCs w:val="24"/>
        </w:rPr>
        <w:t xml:space="preserve">63.861.006,24 </w:t>
      </w:r>
      <w:r w:rsidRPr="00D97D3A">
        <w:rPr>
          <w:rFonts w:ascii="Times New Roman" w:hAnsi="Times New Roman"/>
          <w:color w:val="000000" w:themeColor="text1"/>
          <w:sz w:val="24"/>
          <w:szCs w:val="24"/>
        </w:rPr>
        <w:t>a residui passivi perenti.</w:t>
      </w:r>
      <w:r w:rsidRPr="006B35E4">
        <w:rPr>
          <w:rFonts w:ascii="Times New Roman" w:hAnsi="Times New Roman"/>
          <w:color w:val="000000" w:themeColor="text1"/>
          <w:sz w:val="24"/>
          <w:szCs w:val="24"/>
        </w:rPr>
        <w:t xml:space="preserve"> </w:t>
      </w:r>
    </w:p>
    <w:p w14:paraId="69E763AD" w14:textId="77777777" w:rsidR="00CE6817" w:rsidRPr="006B35E4" w:rsidRDefault="00CE6817" w:rsidP="00CE6817">
      <w:pPr>
        <w:spacing w:after="0" w:line="360" w:lineRule="auto"/>
        <w:jc w:val="both"/>
        <w:rPr>
          <w:rFonts w:ascii="Times New Roman" w:eastAsia="Times New Roman" w:hAnsi="Times New Roman" w:cs="Times New Roman"/>
          <w:b/>
          <w:color w:val="000000" w:themeColor="text1"/>
          <w:sz w:val="24"/>
          <w:szCs w:val="24"/>
          <w:lang w:eastAsia="it-IT"/>
        </w:rPr>
      </w:pPr>
    </w:p>
    <w:p w14:paraId="6CE7D8CF" w14:textId="77777777" w:rsidR="00CE6817" w:rsidRPr="006B35E4" w:rsidRDefault="00CE6817" w:rsidP="00CE6817">
      <w:pPr>
        <w:spacing w:after="0" w:line="360" w:lineRule="auto"/>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b/>
          <w:bCs/>
          <w:sz w:val="24"/>
          <w:szCs w:val="24"/>
          <w:lang w:eastAsia="it-IT"/>
        </w:rPr>
        <w:t>6. ENTRATE</w:t>
      </w:r>
    </w:p>
    <w:p w14:paraId="15756BCC" w14:textId="77777777" w:rsidR="00CE6817" w:rsidRPr="006B35E4" w:rsidRDefault="00CE6817" w:rsidP="00CE6817">
      <w:pPr>
        <w:spacing w:after="120" w:line="360" w:lineRule="auto"/>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b/>
          <w:color w:val="000000"/>
          <w:sz w:val="24"/>
          <w:szCs w:val="24"/>
          <w:lang w:eastAsia="it-IT"/>
        </w:rPr>
        <w:t xml:space="preserve">6.1 </w:t>
      </w:r>
      <w:r w:rsidRPr="006B35E4">
        <w:rPr>
          <w:rFonts w:ascii="Times New Roman" w:eastAsia="Times New Roman" w:hAnsi="Times New Roman" w:cs="Times New Roman"/>
          <w:b/>
          <w:bCs/>
          <w:sz w:val="24"/>
          <w:szCs w:val="24"/>
          <w:lang w:eastAsia="it-IT"/>
        </w:rPr>
        <w:t>Ricostruzione dei flussi finanziari di entrata del bilancio autonomo</w:t>
      </w:r>
    </w:p>
    <w:p w14:paraId="54B5287B" w14:textId="77777777" w:rsidR="00CE6817" w:rsidRPr="006B35E4" w:rsidRDefault="00CE6817" w:rsidP="00CE6817">
      <w:pPr>
        <w:spacing w:after="0" w:line="360" w:lineRule="auto"/>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color w:val="000000"/>
          <w:sz w:val="24"/>
          <w:szCs w:val="24"/>
          <w:lang w:eastAsia="it-IT"/>
        </w:rPr>
        <w:t>In conformità a quanto rappresentato nei conti finanziari degli anni precedenti sono di seguito esposti, per missioni e programmi, i quadri sinottici delle entrate del bilancio autonomo della Presidenza del Consiglio dei ministri provenienti dal bilancio dello Stato.</w:t>
      </w:r>
    </w:p>
    <w:p w14:paraId="1786E007" w14:textId="5C9031F2" w:rsidR="00D35612" w:rsidRDefault="00CE6817" w:rsidP="00CE6817">
      <w:pPr>
        <w:spacing w:after="0" w:line="360" w:lineRule="auto"/>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color w:val="000000"/>
          <w:sz w:val="24"/>
          <w:szCs w:val="24"/>
          <w:lang w:eastAsia="it-IT"/>
        </w:rPr>
        <w:t>Le risorse finanziarie che costituiscono le entrate del bilancio autonomo della Presidenza sono stanziate nel bilancio dello Stato in appositi capitoli dello stato di previsione del Ministero dell</w:t>
      </w:r>
      <w:r w:rsidR="00877AAF">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economia e delle finanze. Le entrate sono date dalle previsioni iniziali e dalle variazioni intervenute nel corso dell</w:t>
      </w:r>
      <w:r w:rsidR="00877AAF">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 xml:space="preserve">esercizio. </w:t>
      </w:r>
    </w:p>
    <w:p w14:paraId="44DED970" w14:textId="1CB951E9"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color w:val="000000"/>
          <w:sz w:val="24"/>
          <w:szCs w:val="24"/>
          <w:lang w:eastAsia="it-IT"/>
        </w:rPr>
        <w:t xml:space="preserve">In particolare, nella </w:t>
      </w:r>
      <w:r w:rsidR="00D35612">
        <w:rPr>
          <w:rFonts w:ascii="Times New Roman" w:eastAsia="Times New Roman" w:hAnsi="Times New Roman" w:cs="Times New Roman"/>
          <w:color w:val="000000"/>
          <w:sz w:val="24"/>
          <w:szCs w:val="24"/>
          <w:lang w:eastAsia="it-IT"/>
        </w:rPr>
        <w:t xml:space="preserve">seguente </w:t>
      </w:r>
      <w:r w:rsidRPr="006B35E4">
        <w:rPr>
          <w:rFonts w:ascii="Times New Roman" w:eastAsia="Times New Roman" w:hAnsi="Times New Roman" w:cs="Times New Roman"/>
          <w:color w:val="000000"/>
          <w:sz w:val="24"/>
          <w:szCs w:val="24"/>
          <w:lang w:eastAsia="it-IT"/>
        </w:rPr>
        <w:t>Tabella 1 è indicato il quadro dei flussi finanziari delle entrate iniziali, determinate sulla base del disegno di legge “</w:t>
      </w:r>
      <w:r w:rsidRPr="008F384A">
        <w:rPr>
          <w:rFonts w:ascii="Times New Roman" w:eastAsia="Times New Roman" w:hAnsi="Times New Roman" w:cs="Times New Roman"/>
          <w:i/>
          <w:color w:val="000000"/>
          <w:sz w:val="24"/>
          <w:szCs w:val="24"/>
          <w:lang w:eastAsia="it-IT"/>
        </w:rPr>
        <w:t>Bilancio di previsione dello Stato per l</w:t>
      </w:r>
      <w:r w:rsidR="00877AAF" w:rsidRPr="008F384A">
        <w:rPr>
          <w:rFonts w:ascii="Times New Roman" w:eastAsia="Times New Roman" w:hAnsi="Times New Roman" w:cs="Times New Roman"/>
          <w:i/>
          <w:color w:val="000000"/>
          <w:sz w:val="24"/>
          <w:szCs w:val="24"/>
          <w:lang w:eastAsia="it-IT"/>
        </w:rPr>
        <w:t>’</w:t>
      </w:r>
      <w:r w:rsidRPr="008F384A">
        <w:rPr>
          <w:rFonts w:ascii="Times New Roman" w:eastAsia="Times New Roman" w:hAnsi="Times New Roman" w:cs="Times New Roman"/>
          <w:i/>
          <w:color w:val="000000"/>
          <w:sz w:val="24"/>
          <w:szCs w:val="24"/>
          <w:lang w:eastAsia="it-IT"/>
        </w:rPr>
        <w:t>anno finanziario 2022 e bilancio pluriennale per il triennio 2022-2024</w:t>
      </w:r>
      <w:r w:rsidRPr="006B35E4">
        <w:rPr>
          <w:rFonts w:ascii="Times New Roman" w:eastAsia="Times New Roman" w:hAnsi="Times New Roman" w:cs="Times New Roman"/>
          <w:color w:val="000000"/>
          <w:sz w:val="24"/>
          <w:szCs w:val="24"/>
          <w:lang w:eastAsia="it-IT"/>
        </w:rPr>
        <w:t>” A.S. 2448, aggiornato con le variazioni, intervenute nel corso dell</w:t>
      </w:r>
      <w:r w:rsidR="00877AAF">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esercizio 2022, comprensive di quelle che derivano dall</w:t>
      </w:r>
      <w:r w:rsidR="00877AAF">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adeguamento alla legge 30</w:t>
      </w:r>
      <w:r w:rsidRPr="006B35E4">
        <w:rPr>
          <w:rFonts w:ascii="Times New Roman" w:hAnsi="Times New Roman" w:cs="Times New Roman"/>
          <w:sz w:val="24"/>
          <w:szCs w:val="24"/>
        </w:rPr>
        <w:t xml:space="preserve"> dicembre 2021, n. 234 (legge </w:t>
      </w:r>
      <w:r w:rsidRPr="006B35E4">
        <w:rPr>
          <w:rFonts w:ascii="Times New Roman" w:eastAsia="Times New Roman" w:hAnsi="Times New Roman" w:cs="Times New Roman"/>
          <w:color w:val="000000"/>
          <w:sz w:val="24"/>
          <w:szCs w:val="24"/>
          <w:lang w:eastAsia="it-IT"/>
        </w:rPr>
        <w:t>di bilancio dello Stato 2022</w:t>
      </w:r>
      <w:r>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2024)</w:t>
      </w:r>
      <w:r w:rsidRPr="006B35E4">
        <w:rPr>
          <w:rFonts w:ascii="Times New Roman" w:hAnsi="Times New Roman" w:cs="Times New Roman"/>
          <w:sz w:val="24"/>
          <w:szCs w:val="24"/>
        </w:rPr>
        <w:t xml:space="preserve">. </w:t>
      </w:r>
      <w:r w:rsidRPr="006B35E4">
        <w:rPr>
          <w:rFonts w:ascii="Times New Roman" w:eastAsia="Times New Roman" w:hAnsi="Times New Roman" w:cs="Times New Roman"/>
          <w:sz w:val="24"/>
          <w:szCs w:val="24"/>
          <w:lang w:eastAsia="it-IT"/>
        </w:rPr>
        <w:t>La tabella indica, inoltre,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incidenza delle risorse per ciascuna delle singole missioni sul totale di quelle assegnate per il complesso delle missioni. </w:t>
      </w:r>
    </w:p>
    <w:p w14:paraId="46EF3BDB" w14:textId="39831D9E" w:rsidR="00740CCE" w:rsidRDefault="00740CCE" w:rsidP="00CE6817">
      <w:pPr>
        <w:spacing w:after="0" w:line="360" w:lineRule="auto"/>
        <w:jc w:val="both"/>
        <w:rPr>
          <w:rFonts w:ascii="Times New Roman" w:eastAsia="Times New Roman" w:hAnsi="Times New Roman" w:cs="Times New Roman"/>
          <w:sz w:val="24"/>
          <w:szCs w:val="24"/>
          <w:lang w:eastAsia="it-IT"/>
        </w:rPr>
      </w:pPr>
      <w:r w:rsidRPr="00740CCE">
        <w:rPr>
          <w:noProof/>
          <w:lang w:eastAsia="it-IT"/>
        </w:rPr>
        <w:lastRenderedPageBreak/>
        <w:drawing>
          <wp:inline distT="0" distB="0" distL="0" distR="0" wp14:anchorId="3B6FEE50" wp14:editId="7E52FD8F">
            <wp:extent cx="6210810" cy="9196754"/>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5015" cy="9202981"/>
                    </a:xfrm>
                    <a:prstGeom prst="rect">
                      <a:avLst/>
                    </a:prstGeom>
                    <a:noFill/>
                    <a:ln>
                      <a:noFill/>
                    </a:ln>
                  </pic:spPr>
                </pic:pic>
              </a:graphicData>
            </a:graphic>
          </wp:inline>
        </w:drawing>
      </w:r>
    </w:p>
    <w:p w14:paraId="56EE93E9" w14:textId="1CC1035F" w:rsidR="00740CCE" w:rsidRDefault="006109D1" w:rsidP="00CE6817">
      <w:pPr>
        <w:spacing w:after="0" w:line="360" w:lineRule="auto"/>
        <w:jc w:val="both"/>
        <w:rPr>
          <w:noProof/>
          <w:lang w:eastAsia="it-IT"/>
        </w:rPr>
      </w:pPr>
      <w:r w:rsidRPr="006109D1">
        <w:rPr>
          <w:noProof/>
          <w:lang w:eastAsia="it-IT"/>
        </w:rPr>
        <w:lastRenderedPageBreak/>
        <w:drawing>
          <wp:inline distT="0" distB="0" distL="0" distR="0" wp14:anchorId="53AC2CED" wp14:editId="17D008D1">
            <wp:extent cx="6210540" cy="9144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4993" cy="9150557"/>
                    </a:xfrm>
                    <a:prstGeom prst="rect">
                      <a:avLst/>
                    </a:prstGeom>
                    <a:noFill/>
                    <a:ln>
                      <a:noFill/>
                    </a:ln>
                  </pic:spPr>
                </pic:pic>
              </a:graphicData>
            </a:graphic>
          </wp:inline>
        </w:drawing>
      </w:r>
    </w:p>
    <w:p w14:paraId="5B24B956" w14:textId="0EF1952F" w:rsidR="00740CCE" w:rsidRDefault="00740CCE" w:rsidP="00CE6817">
      <w:pPr>
        <w:spacing w:after="0" w:line="360" w:lineRule="auto"/>
        <w:jc w:val="both"/>
        <w:rPr>
          <w:rFonts w:ascii="Times New Roman" w:eastAsia="Times New Roman" w:hAnsi="Times New Roman" w:cs="Times New Roman"/>
          <w:sz w:val="24"/>
          <w:szCs w:val="24"/>
          <w:lang w:eastAsia="it-IT"/>
        </w:rPr>
      </w:pPr>
      <w:r w:rsidRPr="00740CCE">
        <w:rPr>
          <w:noProof/>
          <w:lang w:eastAsia="it-IT"/>
        </w:rPr>
        <w:lastRenderedPageBreak/>
        <w:drawing>
          <wp:inline distT="0" distB="0" distL="0" distR="0" wp14:anchorId="0E772DFD" wp14:editId="285EEC49">
            <wp:extent cx="6210935" cy="2383602"/>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2383602"/>
                    </a:xfrm>
                    <a:prstGeom prst="rect">
                      <a:avLst/>
                    </a:prstGeom>
                    <a:noFill/>
                    <a:ln>
                      <a:noFill/>
                    </a:ln>
                  </pic:spPr>
                </pic:pic>
              </a:graphicData>
            </a:graphic>
          </wp:inline>
        </w:drawing>
      </w:r>
    </w:p>
    <w:p w14:paraId="530E040B" w14:textId="4FF73B6F" w:rsidR="00740CCE" w:rsidRDefault="00740CCE" w:rsidP="00CE6817">
      <w:pPr>
        <w:spacing w:after="0" w:line="360" w:lineRule="auto"/>
        <w:jc w:val="both"/>
        <w:rPr>
          <w:rFonts w:ascii="Times New Roman" w:eastAsia="Times New Roman" w:hAnsi="Times New Roman" w:cs="Times New Roman"/>
          <w:sz w:val="24"/>
          <w:szCs w:val="24"/>
          <w:lang w:eastAsia="it-IT"/>
        </w:rPr>
      </w:pPr>
    </w:p>
    <w:p w14:paraId="29628314" w14:textId="77777777" w:rsidR="00CE6817" w:rsidRDefault="00CE6817" w:rsidP="00CE6817">
      <w:pPr>
        <w:spacing w:after="0" w:line="360" w:lineRule="auto"/>
        <w:jc w:val="center"/>
        <w:rPr>
          <w:noProof/>
          <w:sz w:val="24"/>
          <w:szCs w:val="24"/>
          <w:lang w:eastAsia="it-IT"/>
        </w:rPr>
      </w:pPr>
    </w:p>
    <w:p w14:paraId="434B5787" w14:textId="4552DCDF" w:rsidR="00CE6817" w:rsidRPr="006B35E4" w:rsidRDefault="00CE6817" w:rsidP="00CE6817">
      <w:pPr>
        <w:spacing w:after="0" w:line="360" w:lineRule="auto"/>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sz w:val="24"/>
          <w:szCs w:val="24"/>
          <w:lang w:eastAsia="it-IT"/>
        </w:rPr>
        <w:t>Dall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analisi della Tabella 1 risulta che le entrate definitive della Presidenza del Consiglio dei ministri, provenienti dal bilancio dello Stato, sono state pari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6.695.858.573,00</w:t>
      </w:r>
      <w:r w:rsidR="00C14614">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w:t>
      </w:r>
      <w:r w:rsidRPr="006B35E4">
        <w:rPr>
          <w:rFonts w:ascii="Times New Roman" w:eastAsia="Times New Roman" w:hAnsi="Times New Roman" w:cs="Times New Roman"/>
          <w:color w:val="000000"/>
          <w:sz w:val="24"/>
          <w:szCs w:val="24"/>
          <w:lang w:eastAsia="it-IT"/>
        </w:rPr>
        <w:t xml:space="preserve">un consistente scostamento di euro 2.767.874.965,00 </w:t>
      </w:r>
      <w:r w:rsidRPr="003D7483">
        <w:rPr>
          <w:rFonts w:ascii="Times New Roman" w:eastAsia="Times New Roman" w:hAnsi="Times New Roman" w:cs="Times New Roman"/>
          <w:color w:val="000000"/>
          <w:sz w:val="24"/>
          <w:szCs w:val="24"/>
          <w:lang w:eastAsia="it-IT"/>
        </w:rPr>
        <w:t>(cfr. prospetto 3</w:t>
      </w:r>
      <w:r>
        <w:rPr>
          <w:rFonts w:ascii="Times New Roman" w:eastAsia="Times New Roman" w:hAnsi="Times New Roman" w:cs="Times New Roman"/>
          <w:color w:val="000000"/>
          <w:sz w:val="24"/>
          <w:szCs w:val="24"/>
          <w:lang w:eastAsia="it-IT"/>
        </w:rPr>
        <w:t>)</w:t>
      </w:r>
      <w:r w:rsidRPr="003D7483">
        <w:rPr>
          <w:rFonts w:ascii="Times New Roman" w:eastAsia="Times New Roman" w:hAnsi="Times New Roman" w:cs="Times New Roman"/>
          <w:color w:val="000000"/>
          <w:sz w:val="24"/>
          <w:szCs w:val="24"/>
          <w:lang w:eastAsia="it-IT"/>
        </w:rPr>
        <w:t xml:space="preserve"> </w:t>
      </w:r>
      <w:r w:rsidRPr="006B35E4">
        <w:rPr>
          <w:rFonts w:ascii="Times New Roman" w:eastAsia="Times New Roman" w:hAnsi="Times New Roman" w:cs="Times New Roman"/>
          <w:color w:val="000000"/>
          <w:sz w:val="24"/>
          <w:szCs w:val="24"/>
          <w:lang w:eastAsia="it-IT"/>
        </w:rPr>
        <w:t xml:space="preserve">rispetto alle previsioni iniziali pari </w:t>
      </w:r>
      <w:r w:rsidR="009F77D1">
        <w:rPr>
          <w:rFonts w:ascii="Times New Roman" w:eastAsia="Times New Roman" w:hAnsi="Times New Roman" w:cs="Times New Roman"/>
          <w:color w:val="000000"/>
          <w:sz w:val="24"/>
          <w:szCs w:val="24"/>
          <w:lang w:eastAsia="it-IT"/>
        </w:rPr>
        <w:t>a euro</w:t>
      </w:r>
      <w:r w:rsidRPr="006B35E4">
        <w:rPr>
          <w:rFonts w:ascii="Times New Roman" w:eastAsia="Times New Roman" w:hAnsi="Times New Roman" w:cs="Times New Roman"/>
          <w:color w:val="000000"/>
          <w:sz w:val="24"/>
          <w:szCs w:val="24"/>
          <w:lang w:eastAsia="it-IT"/>
        </w:rPr>
        <w:t xml:space="preserve"> 3.927.983.608,00. </w:t>
      </w:r>
    </w:p>
    <w:p w14:paraId="3C69B7E6" w14:textId="77777777" w:rsidR="00CE6817" w:rsidRPr="006B35E4" w:rsidRDefault="00CE6817" w:rsidP="00CE6817">
      <w:pPr>
        <w:spacing w:after="0" w:line="360" w:lineRule="auto"/>
        <w:ind w:right="98"/>
        <w:jc w:val="both"/>
        <w:rPr>
          <w:rFonts w:ascii="Times New Roman" w:eastAsia="Times New Roman" w:hAnsi="Times New Roman" w:cs="Times New Roman"/>
          <w:color w:val="000000"/>
          <w:sz w:val="24"/>
          <w:szCs w:val="24"/>
          <w:lang w:eastAsia="it-IT"/>
        </w:rPr>
      </w:pPr>
      <w:r w:rsidRPr="006B35E4">
        <w:rPr>
          <w:rFonts w:ascii="Times New Roman" w:eastAsia="Times New Roman" w:hAnsi="Times New Roman" w:cs="Times New Roman"/>
          <w:color w:val="000000"/>
          <w:sz w:val="24"/>
          <w:szCs w:val="24"/>
          <w:lang w:eastAsia="it-IT"/>
        </w:rPr>
        <w:t>Tale scostamento è dovuto:</w:t>
      </w:r>
    </w:p>
    <w:p w14:paraId="3EC0D4F0" w14:textId="652F2D48" w:rsidR="00CE6817" w:rsidRPr="006B35E4" w:rsidRDefault="00CE6817" w:rsidP="00CE6817">
      <w:pPr>
        <w:spacing w:after="0" w:line="360" w:lineRule="auto"/>
        <w:ind w:left="284" w:hanging="284"/>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color w:val="000000"/>
          <w:sz w:val="24"/>
          <w:szCs w:val="24"/>
          <w:lang w:eastAsia="it-IT"/>
        </w:rPr>
        <w:t>a)</w:t>
      </w:r>
      <w:r>
        <w:rPr>
          <w:rFonts w:ascii="Times New Roman" w:eastAsia="Times New Roman" w:hAnsi="Times New Roman" w:cs="Times New Roman"/>
          <w:color w:val="000000"/>
          <w:sz w:val="24"/>
          <w:szCs w:val="24"/>
          <w:lang w:eastAsia="it-IT"/>
        </w:rPr>
        <w:tab/>
        <w:t>a</w:t>
      </w:r>
      <w:r w:rsidRPr="006B35E4">
        <w:rPr>
          <w:rFonts w:ascii="Times New Roman" w:eastAsia="Times New Roman" w:hAnsi="Times New Roman" w:cs="Times New Roman"/>
          <w:color w:val="000000"/>
          <w:sz w:val="24"/>
          <w:szCs w:val="24"/>
          <w:lang w:eastAsia="it-IT"/>
        </w:rPr>
        <w:t>ll</w:t>
      </w:r>
      <w:r w:rsidR="00877AAF">
        <w:rPr>
          <w:rFonts w:ascii="Times New Roman" w:eastAsia="Times New Roman" w:hAnsi="Times New Roman" w:cs="Times New Roman"/>
          <w:color w:val="000000"/>
          <w:sz w:val="24"/>
          <w:szCs w:val="24"/>
          <w:lang w:eastAsia="it-IT"/>
        </w:rPr>
        <w:t>’</w:t>
      </w:r>
      <w:r w:rsidRPr="006B35E4">
        <w:rPr>
          <w:rFonts w:ascii="Times New Roman" w:eastAsia="Times New Roman" w:hAnsi="Times New Roman" w:cs="Times New Roman"/>
          <w:color w:val="000000"/>
          <w:sz w:val="24"/>
          <w:szCs w:val="24"/>
          <w:lang w:eastAsia="it-IT"/>
        </w:rPr>
        <w:t>adeguamento degli stanziamenti iniziali</w:t>
      </w:r>
      <w:r w:rsidRPr="00C45B63">
        <w:rPr>
          <w:rFonts w:ascii="Times New Roman" w:eastAsia="Times New Roman" w:hAnsi="Times New Roman" w:cs="Times New Roman"/>
          <w:color w:val="000000"/>
          <w:vertAlign w:val="superscript"/>
          <w:lang w:eastAsia="it-IT"/>
        </w:rPr>
        <w:footnoteReference w:id="1"/>
      </w:r>
      <w:r w:rsidRPr="006B35E4">
        <w:rPr>
          <w:rFonts w:ascii="Times New Roman" w:eastAsia="Times New Roman" w:hAnsi="Times New Roman" w:cs="Times New Roman"/>
          <w:color w:val="000000"/>
          <w:sz w:val="24"/>
          <w:szCs w:val="24"/>
          <w:lang w:eastAsia="it-IT"/>
        </w:rPr>
        <w:t xml:space="preserve"> del bilancio di previsione della Presidenza del Consiglio dei ministri alle variazioni stabilite dalla legge 30 dicembre 2021, n. 234</w:t>
      </w:r>
      <w:r w:rsidR="008F384A">
        <w:rPr>
          <w:rFonts w:ascii="Times New Roman" w:eastAsia="Times New Roman" w:hAnsi="Times New Roman" w:cs="Times New Roman"/>
          <w:sz w:val="24"/>
          <w:szCs w:val="24"/>
          <w:lang w:eastAsia="it-IT"/>
        </w:rPr>
        <w:t xml:space="preserve"> - </w:t>
      </w:r>
      <w:r w:rsidRPr="006B35E4">
        <w:rPr>
          <w:rFonts w:ascii="Times New Roman" w:eastAsia="Times New Roman" w:hAnsi="Times New Roman" w:cs="Times New Roman"/>
          <w:sz w:val="24"/>
          <w:szCs w:val="24"/>
          <w:lang w:eastAsia="it-IT"/>
        </w:rPr>
        <w:t xml:space="preserve">recante </w:t>
      </w:r>
      <w:r w:rsidRPr="006B35E4">
        <w:rPr>
          <w:rFonts w:ascii="Times New Roman" w:eastAsia="Times New Roman" w:hAnsi="Times New Roman" w:cs="Times New Roman"/>
          <w:color w:val="000000"/>
          <w:sz w:val="24"/>
          <w:szCs w:val="24"/>
          <w:lang w:eastAsia="it-IT"/>
        </w:rPr>
        <w:t xml:space="preserve">il bilancio </w:t>
      </w:r>
      <w:r w:rsidRPr="006B35E4">
        <w:rPr>
          <w:rFonts w:ascii="Times New Roman" w:hAnsi="Times New Roman" w:cs="Times New Roman"/>
          <w:color w:val="000000"/>
          <w:sz w:val="24"/>
          <w:szCs w:val="24"/>
        </w:rPr>
        <w:t>di previsione dello Stato per l</w:t>
      </w:r>
      <w:r w:rsidR="00877AAF">
        <w:rPr>
          <w:rFonts w:ascii="Times New Roman" w:hAnsi="Times New Roman" w:cs="Times New Roman"/>
          <w:color w:val="000000"/>
          <w:sz w:val="24"/>
          <w:szCs w:val="24"/>
        </w:rPr>
        <w:t>’</w:t>
      </w:r>
      <w:r w:rsidRPr="006B35E4">
        <w:rPr>
          <w:rFonts w:ascii="Times New Roman" w:hAnsi="Times New Roman" w:cs="Times New Roman"/>
          <w:color w:val="000000"/>
          <w:sz w:val="24"/>
          <w:szCs w:val="24"/>
        </w:rPr>
        <w:t>anno finanziario 2022 e bilancio pluriennale per il triennio 2022-2024</w:t>
      </w:r>
      <w:r w:rsidR="008F384A">
        <w:rPr>
          <w:rFonts w:ascii="Times New Roman" w:hAnsi="Times New Roman" w:cs="Times New Roman"/>
          <w:color w:val="000000"/>
          <w:sz w:val="24"/>
          <w:szCs w:val="24"/>
        </w:rPr>
        <w:t xml:space="preserve"> -</w:t>
      </w:r>
      <w:r w:rsidRPr="006B35E4">
        <w:rPr>
          <w:rFonts w:ascii="Times New Roman" w:eastAsia="Times New Roman" w:hAnsi="Times New Roman" w:cs="Times New Roman"/>
          <w:color w:val="000000"/>
          <w:sz w:val="24"/>
          <w:szCs w:val="24"/>
          <w:lang w:eastAsia="it-IT"/>
        </w:rPr>
        <w:t xml:space="preserve"> in aumento </w:t>
      </w:r>
      <w:r w:rsidRPr="006B35E4">
        <w:rPr>
          <w:rFonts w:ascii="Times New Roman" w:eastAsia="Times New Roman" w:hAnsi="Times New Roman" w:cs="Times New Roman"/>
          <w:sz w:val="24"/>
          <w:szCs w:val="24"/>
          <w:lang w:eastAsia="it-IT"/>
        </w:rPr>
        <w:t xml:space="preserve">per </w:t>
      </w:r>
      <w:proofErr w:type="gramStart"/>
      <w:r w:rsidRPr="006B35E4">
        <w:rPr>
          <w:rFonts w:ascii="Times New Roman" w:eastAsia="Times New Roman" w:hAnsi="Times New Roman" w:cs="Times New Roman"/>
          <w:sz w:val="24"/>
          <w:szCs w:val="24"/>
          <w:lang w:eastAsia="it-IT"/>
        </w:rPr>
        <w:t>euro  136.100.000</w:t>
      </w:r>
      <w:proofErr w:type="gramEnd"/>
      <w:r w:rsidRPr="006B35E4">
        <w:rPr>
          <w:rFonts w:ascii="Times New Roman" w:eastAsia="Times New Roman" w:hAnsi="Times New Roman" w:cs="Times New Roman"/>
          <w:sz w:val="24"/>
          <w:szCs w:val="24"/>
          <w:lang w:eastAsia="it-IT"/>
        </w:rPr>
        <w:t>,00</w:t>
      </w:r>
      <w:r w:rsidRPr="00C45B63">
        <w:rPr>
          <w:rFonts w:ascii="Times New Roman" w:eastAsia="Times New Roman" w:hAnsi="Times New Roman" w:cs="Times New Roman"/>
          <w:vertAlign w:val="superscript"/>
          <w:lang w:eastAsia="it-IT"/>
        </w:rPr>
        <w:footnoteReference w:id="2"/>
      </w:r>
      <w:r w:rsidRPr="006B35E4">
        <w:rPr>
          <w:rFonts w:ascii="Times New Roman" w:eastAsia="Times New Roman" w:hAnsi="Times New Roman" w:cs="Times New Roman"/>
          <w:sz w:val="24"/>
          <w:szCs w:val="24"/>
          <w:lang w:eastAsia="it-IT"/>
        </w:rPr>
        <w:t>;</w:t>
      </w:r>
    </w:p>
    <w:p w14:paraId="06B5C1A0" w14:textId="77777777" w:rsidR="00CE6817" w:rsidRPr="006B35E4" w:rsidRDefault="00CE6817" w:rsidP="00CE6817">
      <w:pPr>
        <w:spacing w:after="0" w:line="360" w:lineRule="auto"/>
        <w:ind w:left="284" w:hanging="284"/>
        <w:jc w:val="both"/>
        <w:rPr>
          <w:b/>
          <w:bCs/>
          <w:sz w:val="24"/>
          <w:szCs w:val="24"/>
        </w:rPr>
      </w:pPr>
      <w:r w:rsidRPr="006B35E4">
        <w:rPr>
          <w:rFonts w:ascii="Times New Roman" w:eastAsia="Times New Roman" w:hAnsi="Times New Roman" w:cs="Times New Roman"/>
          <w:sz w:val="24"/>
          <w:szCs w:val="24"/>
          <w:lang w:eastAsia="it-IT"/>
        </w:rPr>
        <w:t>b) alle variazioni in aumento conseguenti ad autorizzazioni di spesa legislativamente approvate, per complessivi euro 2.719.408.039,00;</w:t>
      </w:r>
      <w:r w:rsidRPr="006B35E4">
        <w:rPr>
          <w:b/>
          <w:bCs/>
          <w:sz w:val="24"/>
          <w:szCs w:val="24"/>
        </w:rPr>
        <w:t xml:space="preserve"> </w:t>
      </w:r>
    </w:p>
    <w:p w14:paraId="05D1C0B7" w14:textId="77777777" w:rsidR="00CE6817" w:rsidRPr="006B35E4" w:rsidRDefault="00CE6817" w:rsidP="00CE6817">
      <w:pPr>
        <w:spacing w:after="0" w:line="360" w:lineRule="auto"/>
        <w:ind w:left="284" w:hanging="284"/>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c) alle variazioni in diminuzione stabilite da disposizioni di legge e atti amministrativi, per complessivi euro 87.633.074,00.</w:t>
      </w:r>
    </w:p>
    <w:p w14:paraId="5ADAD8B0" w14:textId="77777777" w:rsidR="00CE6817" w:rsidRPr="006B35E4" w:rsidRDefault="00CE6817" w:rsidP="00CE6817">
      <w:pPr>
        <w:spacing w:after="0" w:line="360" w:lineRule="auto"/>
        <w:ind w:right="96"/>
        <w:jc w:val="both"/>
        <w:rPr>
          <w:rFonts w:ascii="Times New Roman" w:eastAsia="Times New Roman" w:hAnsi="Times New Roman" w:cs="Times New Roman"/>
          <w:sz w:val="24"/>
          <w:szCs w:val="24"/>
          <w:lang w:eastAsia="it-IT"/>
        </w:rPr>
      </w:pPr>
    </w:p>
    <w:p w14:paraId="18B7B839" w14:textId="4911FDBE" w:rsidR="00CE6817" w:rsidRPr="006B35E4" w:rsidRDefault="00CE6817" w:rsidP="00CE6817">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Nel 2022, come evidenziato nella Tabella 1, i trasferimenti destinati alla Missione 1 “Organi costituzionali, a rilevanza costituzionale e Presidenza del Consiglio dei ministri” risultano pari a complessivi euro 1.256.754.702,00 con una incidenza del 18,77 per cento sul totale dei trasferimenti.</w:t>
      </w:r>
    </w:p>
    <w:p w14:paraId="5B2325D7" w14:textId="6DB86923" w:rsidR="00CE6817" w:rsidRPr="006B35E4" w:rsidRDefault="00CE6817" w:rsidP="00CE6817">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I trasferimenti destinati alla Missione 3 “Relazioni finanziarie con le autonomie territoriali” ammontano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3.500.000,00 con una incidenza dello 0,05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p w14:paraId="6E6F9FB7" w14:textId="46D89130" w:rsidR="00CE6817" w:rsidRPr="006B35E4" w:rsidRDefault="00CE6817" w:rsidP="00CE6817">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I trasferimenti destinati alla Missione 8 “Soccorso civile” ammontano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1.773.939.007,00 </w:t>
      </w:r>
      <w:proofErr w:type="gramStart"/>
      <w:r w:rsidRPr="006B35E4">
        <w:rPr>
          <w:rFonts w:ascii="Times New Roman" w:eastAsia="Times New Roman" w:hAnsi="Times New Roman" w:cs="Times New Roman"/>
          <w:sz w:val="24"/>
          <w:szCs w:val="24"/>
          <w:lang w:eastAsia="it-IT"/>
        </w:rPr>
        <w:t>con  una</w:t>
      </w:r>
      <w:proofErr w:type="gramEnd"/>
      <w:r w:rsidRPr="006B35E4">
        <w:rPr>
          <w:rFonts w:ascii="Times New Roman" w:eastAsia="Times New Roman" w:hAnsi="Times New Roman" w:cs="Times New Roman"/>
          <w:sz w:val="24"/>
          <w:szCs w:val="24"/>
          <w:lang w:eastAsia="it-IT"/>
        </w:rPr>
        <w:t xml:space="preserve"> incidenza del 26,49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p w14:paraId="4B4F1DED" w14:textId="1F1AD651" w:rsidR="00CE6817" w:rsidRPr="006B35E4" w:rsidRDefault="00CE6817" w:rsidP="00CE6817">
      <w:pPr>
        <w:spacing w:line="360" w:lineRule="auto"/>
        <w:ind w:right="98"/>
        <w:contextualSpacing/>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sz w:val="24"/>
          <w:szCs w:val="24"/>
          <w:lang w:eastAsia="it-IT"/>
        </w:rPr>
        <w:lastRenderedPageBreak/>
        <w:t xml:space="preserve">Le risorse finanziarie destinate alla Missione 15 “Comunicazioni” ammontano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bCs/>
          <w:sz w:val="24"/>
          <w:szCs w:val="24"/>
          <w:lang w:eastAsia="it-IT"/>
        </w:rPr>
        <w:t>438.124.007</w:t>
      </w:r>
      <w:r w:rsidRPr="006B35E4">
        <w:rPr>
          <w:rFonts w:ascii="Times New Roman" w:eastAsia="Times New Roman" w:hAnsi="Times New Roman" w:cs="Times New Roman"/>
          <w:bCs/>
          <w:sz w:val="24"/>
          <w:szCs w:val="24"/>
          <w:lang w:eastAsia="it-IT"/>
        </w:rPr>
        <w:t>,00</w:t>
      </w:r>
      <w:r w:rsidRPr="006B35E4">
        <w:rPr>
          <w:rFonts w:ascii="Times New Roman" w:eastAsia="Times New Roman" w:hAnsi="Times New Roman" w:cs="Times New Roman"/>
          <w:sz w:val="24"/>
          <w:szCs w:val="24"/>
          <w:lang w:eastAsia="it-IT"/>
        </w:rPr>
        <w:t xml:space="preserve"> con una incidenza del 6,54 per cento sul totale dei trasferimenti.</w:t>
      </w:r>
    </w:p>
    <w:p w14:paraId="353BDD0C" w14:textId="25DE8647" w:rsidR="00CE6817" w:rsidRPr="006B35E4" w:rsidRDefault="00CE6817" w:rsidP="00CE6817">
      <w:pPr>
        <w:spacing w:line="360" w:lineRule="auto"/>
        <w:ind w:right="98"/>
        <w:contextualSpacing/>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sz w:val="24"/>
          <w:szCs w:val="24"/>
          <w:lang w:eastAsia="it-IT"/>
        </w:rPr>
        <w:t xml:space="preserve">I trasferimenti destinati alla Missione 17 “Ricerca e innovazione”, per complessivi euro </w:t>
      </w:r>
      <w:r w:rsidRPr="006B35E4">
        <w:rPr>
          <w:rFonts w:ascii="Times New Roman" w:eastAsia="Times New Roman" w:hAnsi="Times New Roman" w:cs="Times New Roman"/>
          <w:bCs/>
          <w:sz w:val="24"/>
          <w:szCs w:val="24"/>
          <w:lang w:eastAsia="it-IT"/>
        </w:rPr>
        <w:t>1.211.209.938,00</w:t>
      </w:r>
      <w:r w:rsidR="00C14614">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sz w:val="24"/>
          <w:szCs w:val="24"/>
          <w:lang w:eastAsia="it-IT"/>
        </w:rPr>
        <w:t xml:space="preserve">presentano una incidenza del 18,09 per cento sul totale dei trasferimenti.  </w:t>
      </w:r>
    </w:p>
    <w:p w14:paraId="549BE7EE" w14:textId="64D20A5D" w:rsidR="00CE6817" w:rsidRPr="006B35E4" w:rsidRDefault="00CE6817" w:rsidP="00CE6817">
      <w:pPr>
        <w:spacing w:line="360" w:lineRule="auto"/>
        <w:ind w:right="98"/>
        <w:contextualSpacing/>
        <w:jc w:val="both"/>
        <w:rPr>
          <w:rFonts w:ascii="Times New Roman" w:eastAsia="Times New Roman" w:hAnsi="Times New Roman" w:cs="Times New Roman"/>
          <w:b/>
          <w:bCs/>
          <w:sz w:val="24"/>
          <w:szCs w:val="24"/>
          <w:lang w:eastAsia="it-IT"/>
        </w:rPr>
      </w:pPr>
      <w:r w:rsidRPr="006B35E4">
        <w:rPr>
          <w:rFonts w:ascii="Times New Roman" w:eastAsia="Times New Roman" w:hAnsi="Times New Roman" w:cs="Times New Roman"/>
          <w:sz w:val="24"/>
          <w:szCs w:val="24"/>
          <w:lang w:eastAsia="it-IT"/>
        </w:rPr>
        <w:t>I trasferimenti destinati alla Missione 18 “Sviluppo sostenibile e tutela del territorio e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ambiente”, per complessivi euro </w:t>
      </w:r>
      <w:r w:rsidRPr="006B35E4">
        <w:rPr>
          <w:rFonts w:ascii="Times New Roman" w:eastAsia="Times New Roman" w:hAnsi="Times New Roman" w:cs="Times New Roman"/>
          <w:bCs/>
          <w:sz w:val="24"/>
          <w:szCs w:val="24"/>
          <w:lang w:eastAsia="it-IT"/>
        </w:rPr>
        <w:t>8.500.000,00</w:t>
      </w:r>
      <w:r w:rsidR="00C14614">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sz w:val="24"/>
          <w:szCs w:val="24"/>
          <w:lang w:eastAsia="it-IT"/>
        </w:rPr>
        <w:t>presentano una incidenza dello 0,13 per cento</w:t>
      </w:r>
      <w:r w:rsidRPr="006B35E4">
        <w:rPr>
          <w:sz w:val="24"/>
          <w:szCs w:val="24"/>
        </w:rPr>
        <w:t xml:space="preserve"> </w:t>
      </w:r>
      <w:r w:rsidRPr="006B35E4">
        <w:rPr>
          <w:rFonts w:ascii="Times New Roman" w:eastAsia="Times New Roman" w:hAnsi="Times New Roman" w:cs="Times New Roman"/>
          <w:sz w:val="24"/>
          <w:szCs w:val="24"/>
          <w:lang w:eastAsia="it-IT"/>
        </w:rPr>
        <w:t>sul totale dei trasferimenti.</w:t>
      </w:r>
    </w:p>
    <w:p w14:paraId="7C1D75BE" w14:textId="68E470F1" w:rsidR="00CE6817" w:rsidRPr="006B35E4" w:rsidRDefault="00CE6817" w:rsidP="00CE6817">
      <w:pPr>
        <w:spacing w:line="360" w:lineRule="auto"/>
        <w:ind w:right="98"/>
        <w:contextualSpacing/>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Le risorse finanziarie destinate alla Missione 19 “Casa e assetto urbanistico”, per complessivi euro 70.000.000,00</w:t>
      </w:r>
      <w:r w:rsidR="00C14614">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presentano una incidenza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1,05 per cento</w:t>
      </w:r>
      <w:r w:rsidRPr="006B35E4">
        <w:rPr>
          <w:sz w:val="24"/>
          <w:szCs w:val="24"/>
        </w:rPr>
        <w:t xml:space="preserve"> </w:t>
      </w:r>
      <w:bookmarkStart w:id="1" w:name="_Hlk134621916"/>
      <w:r w:rsidRPr="006B35E4">
        <w:rPr>
          <w:rFonts w:ascii="Times New Roman" w:eastAsia="Times New Roman" w:hAnsi="Times New Roman" w:cs="Times New Roman"/>
          <w:sz w:val="24"/>
          <w:szCs w:val="24"/>
          <w:lang w:eastAsia="it-IT"/>
        </w:rPr>
        <w:t>sul totale dei trasferimenti</w:t>
      </w:r>
      <w:bookmarkEnd w:id="1"/>
      <w:r w:rsidRPr="006B35E4">
        <w:rPr>
          <w:rFonts w:ascii="Times New Roman" w:eastAsia="Times New Roman" w:hAnsi="Times New Roman" w:cs="Times New Roman"/>
          <w:sz w:val="24"/>
          <w:szCs w:val="24"/>
          <w:lang w:eastAsia="it-IT"/>
        </w:rPr>
        <w:t>.</w:t>
      </w:r>
    </w:p>
    <w:p w14:paraId="113AE387" w14:textId="28793569" w:rsidR="00CE6817" w:rsidRPr="006B35E4" w:rsidRDefault="00CE6817" w:rsidP="00CE6817">
      <w:pPr>
        <w:spacing w:line="360" w:lineRule="auto"/>
        <w:ind w:right="98"/>
        <w:contextualSpacing/>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Le risorse finanziarie destinate alla Missione 24 “Diritti sociali, politiche sociali e famiglia”, pari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597.769.397,00, presentano una incidenza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8,93 per cento, mentre quelle destinate alla Missione 30 “Giovani e sport”</w:t>
      </w:r>
      <w:r w:rsidR="00C14614">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pari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1.004.761.842,00, presentano una incidenza del 15,01 per cento</w:t>
      </w:r>
      <w:r w:rsidR="00C14614" w:rsidRPr="00C14614">
        <w:t xml:space="preserve"> </w:t>
      </w:r>
      <w:r w:rsidR="00C14614" w:rsidRPr="00C14614">
        <w:rPr>
          <w:rFonts w:ascii="Times New Roman" w:eastAsia="Times New Roman" w:hAnsi="Times New Roman" w:cs="Times New Roman"/>
          <w:sz w:val="24"/>
          <w:szCs w:val="24"/>
          <w:lang w:eastAsia="it-IT"/>
        </w:rPr>
        <w:t>sul totale dei trasferimenti</w:t>
      </w:r>
      <w:r w:rsidRPr="006B35E4">
        <w:rPr>
          <w:rFonts w:ascii="Times New Roman" w:eastAsia="Times New Roman" w:hAnsi="Times New Roman" w:cs="Times New Roman"/>
          <w:sz w:val="24"/>
          <w:szCs w:val="24"/>
          <w:lang w:eastAsia="it-IT"/>
        </w:rPr>
        <w:t xml:space="preserve">. </w:t>
      </w:r>
    </w:p>
    <w:p w14:paraId="1B375BEE" w14:textId="1D63C629" w:rsidR="00CE6817" w:rsidRPr="006B35E4" w:rsidRDefault="00CE6817" w:rsidP="00CE6817">
      <w:pPr>
        <w:spacing w:line="360" w:lineRule="auto"/>
        <w:ind w:right="98"/>
        <w:contextualSpacing/>
        <w:jc w:val="both"/>
        <w:rPr>
          <w:rFonts w:ascii="Times New Roman" w:hAnsi="Times New Roman" w:cs="Times New Roman"/>
          <w:sz w:val="24"/>
          <w:szCs w:val="24"/>
        </w:rPr>
      </w:pPr>
      <w:r w:rsidRPr="006B35E4">
        <w:rPr>
          <w:rFonts w:ascii="Times New Roman" w:eastAsia="Times New Roman" w:hAnsi="Times New Roman" w:cs="Times New Roman"/>
          <w:sz w:val="24"/>
          <w:szCs w:val="24"/>
          <w:lang w:eastAsia="it-IT"/>
        </w:rPr>
        <w:t>I trasferimenti destinati alla Missione 32 “</w:t>
      </w:r>
      <w:r w:rsidRPr="006B35E4">
        <w:rPr>
          <w:rFonts w:ascii="Times New Roman" w:hAnsi="Times New Roman" w:cs="Times New Roman"/>
          <w:sz w:val="24"/>
          <w:szCs w:val="24"/>
        </w:rPr>
        <w:t xml:space="preserve">Servizi istituzionali e generali delle amministrazioni pubbliche” ammontano </w:t>
      </w:r>
      <w:r w:rsidR="009F77D1">
        <w:rPr>
          <w:rFonts w:ascii="Times New Roman" w:hAnsi="Times New Roman" w:cs="Times New Roman"/>
          <w:sz w:val="24"/>
          <w:szCs w:val="24"/>
        </w:rPr>
        <w:t>a euro</w:t>
      </w:r>
      <w:r w:rsidRPr="006B35E4">
        <w:rPr>
          <w:rFonts w:ascii="Times New Roman" w:hAnsi="Times New Roman" w:cs="Times New Roman"/>
          <w:sz w:val="24"/>
          <w:szCs w:val="24"/>
        </w:rPr>
        <w:t xml:space="preserve"> 331.299.680,00</w:t>
      </w:r>
      <w:r w:rsidR="00C14614">
        <w:rPr>
          <w:rFonts w:ascii="Times New Roman" w:hAnsi="Times New Roman" w:cs="Times New Roman"/>
          <w:sz w:val="24"/>
          <w:szCs w:val="24"/>
        </w:rPr>
        <w:t>,</w:t>
      </w:r>
      <w:r w:rsidRPr="006B35E4">
        <w:rPr>
          <w:rFonts w:ascii="Times New Roman" w:hAnsi="Times New Roman" w:cs="Times New Roman"/>
          <w:sz w:val="24"/>
          <w:szCs w:val="24"/>
        </w:rPr>
        <w:t xml:space="preserve"> con una incidenza del 4,94 per cento</w:t>
      </w:r>
      <w:r w:rsidR="00C14614" w:rsidRPr="00C14614">
        <w:t xml:space="preserve"> </w:t>
      </w:r>
      <w:r w:rsidR="00C14614" w:rsidRPr="00C14614">
        <w:rPr>
          <w:rFonts w:ascii="Times New Roman" w:hAnsi="Times New Roman" w:cs="Times New Roman"/>
          <w:sz w:val="24"/>
          <w:szCs w:val="24"/>
        </w:rPr>
        <w:t>sul totale de</w:t>
      </w:r>
      <w:r w:rsidR="00307B1E">
        <w:rPr>
          <w:rFonts w:ascii="Times New Roman" w:hAnsi="Times New Roman" w:cs="Times New Roman"/>
          <w:sz w:val="24"/>
          <w:szCs w:val="24"/>
        </w:rPr>
        <w:t>gli stessi</w:t>
      </w:r>
      <w:r w:rsidRPr="006B35E4">
        <w:rPr>
          <w:rFonts w:ascii="Times New Roman" w:hAnsi="Times New Roman" w:cs="Times New Roman"/>
          <w:sz w:val="24"/>
          <w:szCs w:val="24"/>
        </w:rPr>
        <w:t>.</w:t>
      </w:r>
    </w:p>
    <w:p w14:paraId="35CE818B"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4E4C814B" w14:textId="500DBEB7" w:rsidR="00CE6817" w:rsidRPr="006B35E4" w:rsidRDefault="00CE6817" w:rsidP="00CE6817">
      <w:pPr>
        <w:spacing w:line="360" w:lineRule="auto"/>
        <w:ind w:right="96"/>
        <w:contextualSpacing/>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Rispetto 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anno 2021, le entrate complessive trasferite dai capitoli iscritti nello stato di previsione del Ministero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economia e delle finanze presentano una diminuzione pari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3.232.709.852,00. Si passa, in particolare, da euro 9.928.568.425,00 del 2021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6.695.858.573,00 del 2022, con un decremento del </w:t>
      </w:r>
      <w:r w:rsidR="00DD6976">
        <w:rPr>
          <w:rFonts w:ascii="Times New Roman" w:eastAsia="Times New Roman" w:hAnsi="Times New Roman" w:cs="Times New Roman"/>
          <w:sz w:val="24"/>
          <w:szCs w:val="24"/>
          <w:lang w:eastAsia="it-IT"/>
        </w:rPr>
        <w:t>32,6</w:t>
      </w:r>
      <w:r w:rsidRPr="006B35E4">
        <w:rPr>
          <w:rFonts w:ascii="Times New Roman" w:eastAsia="Times New Roman" w:hAnsi="Times New Roman" w:cs="Times New Roman"/>
          <w:sz w:val="24"/>
          <w:szCs w:val="24"/>
          <w:lang w:eastAsia="it-IT"/>
        </w:rPr>
        <w:t xml:space="preserve"> per cento dei trasferimenti. </w:t>
      </w:r>
    </w:p>
    <w:p w14:paraId="6809053E" w14:textId="655EE7F0" w:rsidR="00CE6817" w:rsidRPr="006B35E4" w:rsidRDefault="00CE6817" w:rsidP="00CE6817">
      <w:pPr>
        <w:spacing w:after="0" w:line="360" w:lineRule="auto"/>
        <w:ind w:right="98"/>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Nella Tabella 2 è evidenziato il raffronto tra le entrate definitive 2022 </w:t>
      </w:r>
      <w:r w:rsidR="00C14614">
        <w:rPr>
          <w:rFonts w:ascii="Times New Roman" w:eastAsia="Times New Roman" w:hAnsi="Times New Roman" w:cs="Times New Roman"/>
          <w:sz w:val="24"/>
          <w:szCs w:val="24"/>
          <w:lang w:eastAsia="it-IT"/>
        </w:rPr>
        <w:t>e</w:t>
      </w:r>
      <w:r w:rsidRPr="006B35E4">
        <w:rPr>
          <w:rFonts w:ascii="Times New Roman" w:eastAsia="Times New Roman" w:hAnsi="Times New Roman" w:cs="Times New Roman"/>
          <w:sz w:val="24"/>
          <w:szCs w:val="24"/>
          <w:lang w:eastAsia="it-IT"/>
        </w:rPr>
        <w:t xml:space="preserve"> i flussi di entrata del decorso esercizio finanziario, suddivisi per missioni e programmi</w:t>
      </w:r>
      <w:r w:rsidR="00C14614">
        <w:rPr>
          <w:rFonts w:ascii="Times New Roman" w:eastAsia="Times New Roman" w:hAnsi="Times New Roman" w:cs="Times New Roman"/>
          <w:sz w:val="24"/>
          <w:szCs w:val="24"/>
          <w:lang w:eastAsia="it-IT"/>
        </w:rPr>
        <w:t xml:space="preserve">, </w:t>
      </w:r>
      <w:r w:rsidR="0053032C">
        <w:rPr>
          <w:rFonts w:ascii="Times New Roman" w:eastAsia="Times New Roman" w:hAnsi="Times New Roman" w:cs="Times New Roman"/>
          <w:sz w:val="24"/>
          <w:szCs w:val="24"/>
          <w:lang w:eastAsia="it-IT"/>
        </w:rPr>
        <w:t>nonché</w:t>
      </w:r>
      <w:r w:rsidRPr="006B35E4">
        <w:rPr>
          <w:rFonts w:ascii="Times New Roman" w:eastAsia="Times New Roman" w:hAnsi="Times New Roman" w:cs="Times New Roman"/>
          <w:sz w:val="24"/>
          <w:szCs w:val="24"/>
          <w:lang w:eastAsia="it-IT"/>
        </w:rPr>
        <w:t xml:space="preserve">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aumento e/o diminuzione delle risorse assegnate alla Presidenza del Consiglio dei ministri rispetto al 2021.</w:t>
      </w:r>
    </w:p>
    <w:p w14:paraId="3D1B040D"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5077291C"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0670EE78"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35791629"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0153EEF3"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0C02A1C5"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p>
    <w:p w14:paraId="5C04AC9A" w14:textId="77777777" w:rsidR="00CE6817" w:rsidRDefault="00CE6817" w:rsidP="00CE6817">
      <w:pPr>
        <w:spacing w:line="360" w:lineRule="auto"/>
        <w:ind w:right="96"/>
        <w:contextualSpacing/>
        <w:jc w:val="both"/>
        <w:rPr>
          <w:rFonts w:ascii="Times New Roman" w:eastAsia="Times New Roman" w:hAnsi="Times New Roman" w:cs="Times New Roman"/>
          <w:b/>
          <w:sz w:val="24"/>
          <w:szCs w:val="24"/>
          <w:lang w:eastAsia="it-IT"/>
        </w:rPr>
      </w:pPr>
      <w:r w:rsidRPr="002C7167">
        <w:rPr>
          <w:noProof/>
          <w:lang w:eastAsia="it-IT"/>
        </w:rPr>
        <w:lastRenderedPageBreak/>
        <w:drawing>
          <wp:inline distT="0" distB="0" distL="0" distR="0" wp14:anchorId="5FF4C2A5" wp14:editId="4194CFC4">
            <wp:extent cx="6210300" cy="9020908"/>
            <wp:effectExtent l="0" t="0" r="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011" cy="9029203"/>
                    </a:xfrm>
                    <a:prstGeom prst="rect">
                      <a:avLst/>
                    </a:prstGeom>
                    <a:noFill/>
                    <a:ln>
                      <a:noFill/>
                    </a:ln>
                  </pic:spPr>
                </pic:pic>
              </a:graphicData>
            </a:graphic>
          </wp:inline>
        </w:drawing>
      </w:r>
    </w:p>
    <w:p w14:paraId="5433B866"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sidRPr="002C7167">
        <w:rPr>
          <w:noProof/>
          <w:lang w:eastAsia="it-IT"/>
        </w:rPr>
        <w:lastRenderedPageBreak/>
        <w:drawing>
          <wp:inline distT="0" distB="0" distL="0" distR="0" wp14:anchorId="53BBE6D2" wp14:editId="6A92DBDB">
            <wp:extent cx="6210729" cy="882015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4796" cy="8825926"/>
                    </a:xfrm>
                    <a:prstGeom prst="rect">
                      <a:avLst/>
                    </a:prstGeom>
                    <a:noFill/>
                    <a:ln>
                      <a:noFill/>
                    </a:ln>
                  </pic:spPr>
                </pic:pic>
              </a:graphicData>
            </a:graphic>
          </wp:inline>
        </w:drawing>
      </w:r>
    </w:p>
    <w:p w14:paraId="5F35F68C"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p>
    <w:p w14:paraId="34403C5D"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sidRPr="002C7167">
        <w:rPr>
          <w:noProof/>
          <w:lang w:eastAsia="it-IT"/>
        </w:rPr>
        <w:lastRenderedPageBreak/>
        <w:drawing>
          <wp:inline distT="0" distB="0" distL="0" distR="0" wp14:anchorId="1F094B09" wp14:editId="42905004">
            <wp:extent cx="6210866" cy="667702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6029" cy="6682576"/>
                    </a:xfrm>
                    <a:prstGeom prst="rect">
                      <a:avLst/>
                    </a:prstGeom>
                    <a:noFill/>
                    <a:ln>
                      <a:noFill/>
                    </a:ln>
                  </pic:spPr>
                </pic:pic>
              </a:graphicData>
            </a:graphic>
          </wp:inline>
        </w:drawing>
      </w:r>
    </w:p>
    <w:p w14:paraId="1F589E05"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p>
    <w:p w14:paraId="25B2DE50" w14:textId="7B37309B"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Dall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esame della Tabella 2 emerge che risultano in aumento le Missioni</w:t>
      </w:r>
      <w:r>
        <w:rPr>
          <w:rFonts w:ascii="Times New Roman" w:eastAsia="Times New Roman" w:hAnsi="Times New Roman" w:cs="Times New Roman"/>
          <w:sz w:val="24"/>
          <w:szCs w:val="24"/>
          <w:lang w:eastAsia="it-IT"/>
        </w:rPr>
        <w:t>: 1</w:t>
      </w:r>
      <w:r w:rsidRPr="006B35E4">
        <w:rPr>
          <w:rFonts w:ascii="Times New Roman" w:eastAsia="Times New Roman" w:hAnsi="Times New Roman" w:cs="Times New Roman"/>
          <w:sz w:val="24"/>
          <w:szCs w:val="24"/>
          <w:lang w:eastAsia="it-IT"/>
        </w:rPr>
        <w:t xml:space="preserve"> “Organi costituzionali, a rilevanza costituzionale e Presidenza del Consiglio dei ministri”, </w:t>
      </w:r>
      <w:r>
        <w:rPr>
          <w:rFonts w:ascii="Times New Roman" w:eastAsia="Times New Roman" w:hAnsi="Times New Roman" w:cs="Times New Roman"/>
          <w:sz w:val="24"/>
          <w:szCs w:val="24"/>
          <w:lang w:eastAsia="it-IT"/>
        </w:rPr>
        <w:t xml:space="preserve">15 </w:t>
      </w:r>
      <w:r w:rsidRPr="006B35E4">
        <w:rPr>
          <w:rFonts w:ascii="Times New Roman" w:eastAsia="Times New Roman" w:hAnsi="Times New Roman" w:cs="Times New Roman"/>
          <w:sz w:val="24"/>
          <w:szCs w:val="24"/>
          <w:lang w:eastAsia="it-IT"/>
        </w:rPr>
        <w:t xml:space="preserve">“Comunicazioni”, </w:t>
      </w:r>
      <w:r>
        <w:rPr>
          <w:rFonts w:ascii="Times New Roman" w:eastAsia="Times New Roman" w:hAnsi="Times New Roman" w:cs="Times New Roman"/>
          <w:sz w:val="24"/>
          <w:szCs w:val="24"/>
          <w:lang w:eastAsia="it-IT"/>
        </w:rPr>
        <w:t xml:space="preserve">17 </w:t>
      </w:r>
      <w:r w:rsidRPr="006B35E4">
        <w:rPr>
          <w:rFonts w:ascii="Times New Roman" w:eastAsia="Times New Roman" w:hAnsi="Times New Roman" w:cs="Times New Roman"/>
          <w:sz w:val="24"/>
          <w:szCs w:val="24"/>
          <w:lang w:eastAsia="it-IT"/>
        </w:rPr>
        <w:t>“Ricerca e innovazione”</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e</w:t>
      </w:r>
      <w:r w:rsidRPr="006B35E4">
        <w:rPr>
          <w:sz w:val="24"/>
          <w:szCs w:val="24"/>
        </w:rPr>
        <w:t xml:space="preserve"> </w:t>
      </w:r>
      <w:r w:rsidRPr="00920B0B">
        <w:rPr>
          <w:rFonts w:ascii="Times New Roman" w:hAnsi="Times New Roman" w:cs="Times New Roman"/>
          <w:sz w:val="24"/>
          <w:szCs w:val="24"/>
        </w:rPr>
        <w:t>32</w:t>
      </w:r>
      <w:r>
        <w:rPr>
          <w:sz w:val="24"/>
          <w:szCs w:val="24"/>
        </w:rPr>
        <w:t xml:space="preserve"> </w:t>
      </w:r>
      <w:r w:rsidRPr="006B35E4">
        <w:rPr>
          <w:rFonts w:ascii="Times New Roman" w:eastAsia="Times New Roman" w:hAnsi="Times New Roman" w:cs="Times New Roman"/>
          <w:sz w:val="24"/>
          <w:szCs w:val="24"/>
          <w:lang w:eastAsia="it-IT"/>
        </w:rPr>
        <w:t>“Servizi istituzionali e generali delle amministrazioni pubbliche”. Inoltre, sono state assegnate nuove risorse a favore della PCM nell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ambito della Missione </w:t>
      </w:r>
      <w:r>
        <w:rPr>
          <w:rFonts w:ascii="Times New Roman" w:eastAsia="Times New Roman" w:hAnsi="Times New Roman" w:cs="Times New Roman"/>
          <w:sz w:val="24"/>
          <w:szCs w:val="24"/>
          <w:lang w:eastAsia="it-IT"/>
        </w:rPr>
        <w:t xml:space="preserve">3 </w:t>
      </w:r>
      <w:r w:rsidRPr="006B35E4">
        <w:rPr>
          <w:rFonts w:ascii="Times New Roman" w:eastAsia="Times New Roman" w:hAnsi="Times New Roman" w:cs="Times New Roman"/>
          <w:sz w:val="24"/>
          <w:szCs w:val="24"/>
          <w:lang w:eastAsia="it-IT"/>
        </w:rPr>
        <w:t xml:space="preserve">“Relazioni finanziarie con le autonomie territoriali”. </w:t>
      </w:r>
    </w:p>
    <w:p w14:paraId="5A077B40" w14:textId="7E22E323" w:rsidR="00CE6817" w:rsidRPr="006B35E4" w:rsidRDefault="002868BD" w:rsidP="00CE6817">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w:t>
      </w:r>
      <w:r w:rsidR="00CE6817" w:rsidRPr="006B35E4">
        <w:rPr>
          <w:rFonts w:ascii="Times New Roman" w:eastAsia="Times New Roman" w:hAnsi="Times New Roman" w:cs="Times New Roman"/>
          <w:sz w:val="24"/>
          <w:szCs w:val="24"/>
          <w:lang w:eastAsia="it-IT"/>
        </w:rPr>
        <w:t>n particolare</w:t>
      </w:r>
      <w:r>
        <w:rPr>
          <w:rFonts w:ascii="Times New Roman" w:eastAsia="Times New Roman" w:hAnsi="Times New Roman" w:cs="Times New Roman"/>
          <w:sz w:val="24"/>
          <w:szCs w:val="24"/>
          <w:lang w:eastAsia="it-IT"/>
        </w:rPr>
        <w:t>,</w:t>
      </w:r>
      <w:r w:rsidRPr="002868BD">
        <w:t xml:space="preserve"> </w:t>
      </w:r>
      <w:r w:rsidRPr="002868BD">
        <w:rPr>
          <w:rFonts w:ascii="Times New Roman" w:eastAsia="Times New Roman" w:hAnsi="Times New Roman" w:cs="Times New Roman"/>
          <w:sz w:val="24"/>
          <w:szCs w:val="24"/>
          <w:lang w:eastAsia="it-IT"/>
        </w:rPr>
        <w:t>si rileva</w:t>
      </w:r>
      <w:r w:rsidR="00CE6817" w:rsidRPr="006B35E4">
        <w:rPr>
          <w:rFonts w:ascii="Times New Roman" w:eastAsia="Times New Roman" w:hAnsi="Times New Roman" w:cs="Times New Roman"/>
          <w:sz w:val="24"/>
          <w:szCs w:val="24"/>
          <w:lang w:eastAsia="it-IT"/>
        </w:rPr>
        <w:t xml:space="preserve"> un </w:t>
      </w:r>
      <w:r w:rsidR="00CE6817" w:rsidRPr="006B35E4">
        <w:rPr>
          <w:rFonts w:ascii="Times New Roman" w:eastAsia="Times New Roman" w:hAnsi="Times New Roman" w:cs="Times New Roman"/>
          <w:b/>
          <w:sz w:val="24"/>
          <w:szCs w:val="24"/>
          <w:u w:val="single"/>
          <w:lang w:eastAsia="it-IT"/>
        </w:rPr>
        <w:t>aumento</w:t>
      </w:r>
      <w:r w:rsidR="00CE6817" w:rsidRPr="006B35E4">
        <w:rPr>
          <w:rFonts w:ascii="Times New Roman" w:eastAsia="Times New Roman" w:hAnsi="Times New Roman" w:cs="Times New Roman"/>
          <w:sz w:val="24"/>
          <w:szCs w:val="24"/>
          <w:lang w:eastAsia="it-IT"/>
        </w:rPr>
        <w:t>:</w:t>
      </w:r>
    </w:p>
    <w:p w14:paraId="6C103E6F" w14:textId="77777777" w:rsidR="00CE6817" w:rsidRPr="006B35E4" w:rsidRDefault="00CE6817" w:rsidP="00CE6817">
      <w:pPr>
        <w:spacing w:after="0" w:line="240" w:lineRule="auto"/>
        <w:jc w:val="both"/>
        <w:rPr>
          <w:rFonts w:ascii="Times New Roman" w:eastAsia="Times New Roman" w:hAnsi="Times New Roman" w:cs="Times New Roman"/>
          <w:sz w:val="24"/>
          <w:szCs w:val="24"/>
          <w:lang w:eastAsia="it-IT"/>
        </w:rPr>
      </w:pPr>
    </w:p>
    <w:p w14:paraId="46380FA6" w14:textId="1C8A681B" w:rsidR="00CE6817" w:rsidRPr="006B35E4" w:rsidRDefault="008F384A"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lastRenderedPageBreak/>
        <w:t xml:space="preserve">- </w:t>
      </w:r>
      <w:r w:rsidR="00C15EB4" w:rsidRPr="00C15EB4">
        <w:rPr>
          <w:rFonts w:ascii="Times New Roman" w:eastAsia="Times New Roman" w:hAnsi="Times New Roman" w:cs="Times New Roman"/>
          <w:sz w:val="24"/>
          <w:szCs w:val="24"/>
          <w:lang w:eastAsia="it-IT"/>
        </w:rPr>
        <w:t>della</w:t>
      </w:r>
      <w:r w:rsidR="00C15EB4">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b/>
          <w:sz w:val="24"/>
          <w:szCs w:val="24"/>
          <w:lang w:eastAsia="it-IT"/>
        </w:rPr>
        <w:t>Missione 1</w:t>
      </w:r>
      <w:r w:rsidR="00CE6817" w:rsidRPr="006B35E4">
        <w:rPr>
          <w:rFonts w:ascii="Times New Roman" w:eastAsia="Times New Roman" w:hAnsi="Times New Roman" w:cs="Times New Roman"/>
          <w:sz w:val="24"/>
          <w:szCs w:val="24"/>
          <w:lang w:eastAsia="it-IT"/>
        </w:rPr>
        <w:t xml:space="preserve"> “Organi costituzionali, a rilevanza costituzionale e Presidenza del Consiglio dei ministri” e del relativo </w:t>
      </w:r>
      <w:r w:rsidR="00CE6817" w:rsidRPr="001B2472">
        <w:rPr>
          <w:rFonts w:ascii="Times New Roman" w:eastAsia="Times New Roman" w:hAnsi="Times New Roman" w:cs="Times New Roman"/>
          <w:b/>
          <w:sz w:val="24"/>
          <w:szCs w:val="24"/>
          <w:lang w:eastAsia="it-IT"/>
        </w:rPr>
        <w:t>Programma 1.3</w:t>
      </w:r>
      <w:r w:rsidR="00CE6817" w:rsidRPr="006B35E4">
        <w:rPr>
          <w:rFonts w:ascii="Times New Roman" w:eastAsia="Times New Roman" w:hAnsi="Times New Roman" w:cs="Times New Roman"/>
          <w:sz w:val="24"/>
          <w:szCs w:val="24"/>
          <w:lang w:eastAsia="it-IT"/>
        </w:rPr>
        <w:t xml:space="preserve"> “Presidenza del Consiglio dei ministri” del 3,93 per cento</w:t>
      </w:r>
      <w:r w:rsidR="00A00B73">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In particolare</w:t>
      </w:r>
      <w:r w:rsidR="006B3506">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 nell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ambito della Missione presentano un </w:t>
      </w:r>
      <w:r w:rsidR="00A00B73">
        <w:rPr>
          <w:rFonts w:ascii="Times New Roman" w:eastAsia="Times New Roman" w:hAnsi="Times New Roman" w:cs="Times New Roman"/>
          <w:sz w:val="24"/>
          <w:szCs w:val="24"/>
          <w:lang w:eastAsia="it-IT"/>
        </w:rPr>
        <w:t>incremento</w:t>
      </w:r>
      <w:r w:rsidR="00CE6817" w:rsidRPr="006B35E4">
        <w:rPr>
          <w:rFonts w:ascii="Times New Roman" w:eastAsia="Times New Roman" w:hAnsi="Times New Roman" w:cs="Times New Roman"/>
          <w:sz w:val="24"/>
          <w:szCs w:val="24"/>
          <w:lang w:eastAsia="it-IT"/>
        </w:rPr>
        <w:t>:</w:t>
      </w:r>
    </w:p>
    <w:p w14:paraId="6FBD3FB9" w14:textId="0CD0E53B"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i fondi assegnati per le celebrazioni a carattere nazionale </w:t>
      </w:r>
      <w:r w:rsidRPr="006B35E4">
        <w:rPr>
          <w:rFonts w:ascii="Times New Roman" w:eastAsia="Times New Roman" w:hAnsi="Times New Roman" w:cs="Times New Roman"/>
          <w:b/>
          <w:sz w:val="24"/>
          <w:szCs w:val="24"/>
          <w:lang w:eastAsia="it-IT"/>
        </w:rPr>
        <w:t>(cap. 2098)</w:t>
      </w:r>
      <w:r w:rsidR="006B3506" w:rsidRPr="006B3506">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complessivi euro 400.000,00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3.200.000,00, con un aumento di euro 2.800.000,00;</w:t>
      </w:r>
    </w:p>
    <w:p w14:paraId="4A42960A" w14:textId="44F6C8CC"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le somme stanziate per la promozione </w:t>
      </w:r>
      <w:r>
        <w:rPr>
          <w:rFonts w:ascii="Times New Roman" w:eastAsia="Times New Roman" w:hAnsi="Times New Roman" w:cs="Times New Roman"/>
          <w:sz w:val="24"/>
          <w:szCs w:val="24"/>
          <w:lang w:eastAsia="it-IT"/>
        </w:rPr>
        <w:t xml:space="preserve">di </w:t>
      </w:r>
      <w:r w:rsidRPr="006B35E4">
        <w:rPr>
          <w:rFonts w:ascii="Times New Roman" w:eastAsia="Times New Roman" w:hAnsi="Times New Roman" w:cs="Times New Roman"/>
          <w:sz w:val="24"/>
          <w:szCs w:val="24"/>
          <w:lang w:eastAsia="it-IT"/>
        </w:rPr>
        <w:t xml:space="preserve">esperienze di formazione e lavoro professionalizzanti per i giovani nella P.A. </w:t>
      </w:r>
      <w:r w:rsidRPr="006B35E4">
        <w:rPr>
          <w:rFonts w:ascii="Times New Roman" w:eastAsia="Times New Roman" w:hAnsi="Times New Roman" w:cs="Times New Roman"/>
          <w:b/>
          <w:sz w:val="24"/>
          <w:szCs w:val="24"/>
          <w:lang w:eastAsia="it-IT"/>
        </w:rPr>
        <w:t>(cap. 2117)</w:t>
      </w:r>
      <w:r w:rsidR="006B3506" w:rsidRPr="006B3506">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700.000,00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1.000.000,00, con un aumento di euro 300.000,00;</w:t>
      </w:r>
    </w:p>
    <w:p w14:paraId="7782E4F5" w14:textId="544B8D23"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i fondi assegnati per le spese obbligatorie e per il funzionamento della Presidenza del Consiglio dei</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ministri </w:t>
      </w:r>
      <w:r w:rsidRPr="006B35E4">
        <w:rPr>
          <w:rFonts w:ascii="Times New Roman" w:eastAsia="Times New Roman" w:hAnsi="Times New Roman" w:cs="Times New Roman"/>
          <w:b/>
          <w:sz w:val="24"/>
          <w:szCs w:val="24"/>
          <w:lang w:eastAsia="it-IT"/>
        </w:rPr>
        <w:t>(cap. 2120)</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che </w:t>
      </w:r>
      <w:r w:rsidRPr="006B35E4">
        <w:rPr>
          <w:rFonts w:ascii="Times New Roman" w:eastAsia="Times New Roman" w:hAnsi="Times New Roman" w:cs="Times New Roman"/>
          <w:sz w:val="24"/>
          <w:szCs w:val="24"/>
          <w:lang w:eastAsia="it-IT"/>
        </w:rPr>
        <w:t xml:space="preserve">passano da euro 338.274.482,00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364.439.831,00, con un aumento di euro 26.165.349,00;</w:t>
      </w:r>
    </w:p>
    <w:p w14:paraId="73967759" w14:textId="4A821512"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le somme destinate alla valorizzazione e promozione delle aree territoriali svantaggiate confinanti con le Regioni a statuto speciale e le Province autonome di Trento e Bolzano </w:t>
      </w:r>
      <w:r w:rsidRPr="006B35E4">
        <w:rPr>
          <w:rFonts w:ascii="Times New Roman" w:eastAsia="Times New Roman" w:hAnsi="Times New Roman" w:cs="Times New Roman"/>
          <w:b/>
          <w:sz w:val="24"/>
          <w:szCs w:val="24"/>
          <w:lang w:eastAsia="it-IT"/>
        </w:rPr>
        <w:t>(cap. 2149</w:t>
      </w:r>
      <w:r w:rsidRPr="009968D8">
        <w:rPr>
          <w:rFonts w:ascii="Times New Roman" w:eastAsia="Times New Roman" w:hAnsi="Times New Roman" w:cs="Times New Roman"/>
          <w:b/>
          <w:sz w:val="24"/>
          <w:szCs w:val="24"/>
          <w:lang w:eastAsia="it-IT"/>
        </w:rPr>
        <w:t>)</w:t>
      </w:r>
      <w:r w:rsidR="006B3506" w:rsidRPr="006B3506">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23.496.797,00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24.000.000,00, con un aumento di euro 503.203,00;</w:t>
      </w:r>
    </w:p>
    <w:p w14:paraId="6E6D8458" w14:textId="06FCC4B6" w:rsidR="00CE6817" w:rsidRPr="00275169"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l</w:t>
      </w:r>
      <w:r>
        <w:rPr>
          <w:rFonts w:ascii="Times New Roman" w:eastAsia="Times New Roman" w:hAnsi="Times New Roman" w:cs="Times New Roman"/>
          <w:sz w:val="24"/>
          <w:szCs w:val="24"/>
          <w:lang w:eastAsia="it-IT"/>
        </w:rPr>
        <w:t>e</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somme destinate </w:t>
      </w:r>
      <w:r w:rsidR="006B3506">
        <w:rPr>
          <w:rFonts w:ascii="Times New Roman" w:eastAsia="Times New Roman" w:hAnsi="Times New Roman" w:cs="Times New Roman"/>
          <w:sz w:val="24"/>
          <w:szCs w:val="24"/>
          <w:lang w:eastAsia="it-IT"/>
        </w:rPr>
        <w:t>al</w:t>
      </w:r>
      <w:r w:rsidRPr="00275169">
        <w:rPr>
          <w:rFonts w:ascii="Times New Roman" w:eastAsia="Times New Roman" w:hAnsi="Times New Roman" w:cs="Times New Roman"/>
          <w:sz w:val="24"/>
          <w:szCs w:val="24"/>
          <w:lang w:eastAsia="it-IT"/>
        </w:rPr>
        <w:t xml:space="preserve">la Struttura con funzioni di Segreteria tecnica per il supporto alle </w:t>
      </w:r>
      <w:proofErr w:type="gramStart"/>
      <w:r w:rsidRPr="00275169">
        <w:rPr>
          <w:rFonts w:ascii="Times New Roman" w:eastAsia="Times New Roman" w:hAnsi="Times New Roman" w:cs="Times New Roman"/>
          <w:sz w:val="24"/>
          <w:szCs w:val="24"/>
          <w:lang w:eastAsia="it-IT"/>
        </w:rPr>
        <w:t xml:space="preserve">attività </w:t>
      </w:r>
      <w:r w:rsidR="008F384A">
        <w:rPr>
          <w:rFonts w:ascii="Times New Roman" w:eastAsia="Times New Roman" w:hAnsi="Times New Roman" w:cs="Times New Roman"/>
          <w:sz w:val="24"/>
          <w:szCs w:val="24"/>
          <w:lang w:eastAsia="it-IT"/>
        </w:rPr>
        <w:t xml:space="preserve"> </w:t>
      </w:r>
      <w:r w:rsidRPr="00275169">
        <w:rPr>
          <w:rFonts w:ascii="Times New Roman" w:eastAsia="Times New Roman" w:hAnsi="Times New Roman" w:cs="Times New Roman"/>
          <w:sz w:val="24"/>
          <w:szCs w:val="24"/>
          <w:lang w:eastAsia="it-IT"/>
        </w:rPr>
        <w:t>della</w:t>
      </w:r>
      <w:proofErr w:type="gramEnd"/>
    </w:p>
    <w:p w14:paraId="7A7B1D46" w14:textId="6D39ADCE" w:rsidR="00CE6817" w:rsidRPr="006B35E4" w:rsidRDefault="00CE6817" w:rsidP="00CE6817">
      <w:pPr>
        <w:spacing w:after="0" w:line="360" w:lineRule="auto"/>
        <w:ind w:left="142"/>
        <w:jc w:val="both"/>
        <w:rPr>
          <w:rFonts w:ascii="Times New Roman" w:eastAsia="Times New Roman" w:hAnsi="Times New Roman" w:cs="Times New Roman"/>
          <w:sz w:val="24"/>
          <w:szCs w:val="24"/>
          <w:lang w:eastAsia="it-IT"/>
        </w:rPr>
      </w:pPr>
      <w:r w:rsidRPr="00275169">
        <w:rPr>
          <w:rFonts w:ascii="Times New Roman" w:eastAsia="Times New Roman" w:hAnsi="Times New Roman" w:cs="Times New Roman"/>
          <w:sz w:val="24"/>
          <w:szCs w:val="24"/>
          <w:lang w:eastAsia="it-IT"/>
        </w:rPr>
        <w:t>Cabina di regia e del Tavolo permanente</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(cap. 2171</w:t>
      </w:r>
      <w:r>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 xml:space="preserve">che passano da euro 200.000,00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400.000,00, con un aumento di euro 200.000,00;</w:t>
      </w:r>
    </w:p>
    <w:p w14:paraId="601F09A1" w14:textId="7144A43F" w:rsidR="00CE6817" w:rsidRPr="00275169" w:rsidRDefault="00CE6817" w:rsidP="00CE6817">
      <w:pPr>
        <w:pStyle w:val="Paragrafoelenco"/>
        <w:numPr>
          <w:ilvl w:val="0"/>
          <w:numId w:val="21"/>
        </w:numPr>
        <w:spacing w:line="360" w:lineRule="auto"/>
        <w:ind w:left="142" w:hanging="142"/>
        <w:jc w:val="both"/>
        <w:rPr>
          <w:sz w:val="24"/>
          <w:szCs w:val="24"/>
        </w:rPr>
      </w:pPr>
      <w:r w:rsidRPr="00275169">
        <w:rPr>
          <w:sz w:val="24"/>
          <w:szCs w:val="24"/>
        </w:rPr>
        <w:t xml:space="preserve">le somme destinate </w:t>
      </w:r>
      <w:r w:rsidR="007B56C3">
        <w:rPr>
          <w:sz w:val="24"/>
          <w:szCs w:val="24"/>
        </w:rPr>
        <w:t>al</w:t>
      </w:r>
      <w:r w:rsidRPr="00275169">
        <w:rPr>
          <w:sz w:val="24"/>
          <w:szCs w:val="24"/>
        </w:rPr>
        <w:t xml:space="preserve">la </w:t>
      </w:r>
      <w:r w:rsidR="007B56C3">
        <w:rPr>
          <w:sz w:val="24"/>
          <w:szCs w:val="24"/>
        </w:rPr>
        <w:t>S</w:t>
      </w:r>
      <w:r w:rsidRPr="00275169">
        <w:rPr>
          <w:sz w:val="24"/>
          <w:szCs w:val="24"/>
        </w:rPr>
        <w:t>truttura di missione “Unità per la razionalizzazione e il miglioramento della regolazione</w:t>
      </w:r>
      <w:r w:rsidR="007B56C3">
        <w:rPr>
          <w:sz w:val="24"/>
          <w:szCs w:val="24"/>
        </w:rPr>
        <w:t>”</w:t>
      </w:r>
      <w:r w:rsidRPr="00275169">
        <w:rPr>
          <w:sz w:val="24"/>
          <w:szCs w:val="24"/>
        </w:rPr>
        <w:t xml:space="preserve"> </w:t>
      </w:r>
      <w:r w:rsidRPr="00275169">
        <w:rPr>
          <w:b/>
          <w:sz w:val="24"/>
          <w:szCs w:val="24"/>
        </w:rPr>
        <w:t>(cap. 2174)</w:t>
      </w:r>
      <w:r w:rsidR="007B56C3" w:rsidRPr="007B56C3">
        <w:rPr>
          <w:bCs/>
          <w:sz w:val="24"/>
          <w:szCs w:val="24"/>
        </w:rPr>
        <w:t>,</w:t>
      </w:r>
      <w:r w:rsidRPr="00275169">
        <w:rPr>
          <w:sz w:val="24"/>
          <w:szCs w:val="24"/>
        </w:rPr>
        <w:t xml:space="preserve"> che passano da euro 200.000,00 </w:t>
      </w:r>
      <w:r w:rsidR="009F77D1">
        <w:rPr>
          <w:sz w:val="24"/>
          <w:szCs w:val="24"/>
        </w:rPr>
        <w:t>a euro</w:t>
      </w:r>
      <w:r w:rsidRPr="00275169">
        <w:rPr>
          <w:sz w:val="24"/>
          <w:szCs w:val="24"/>
        </w:rPr>
        <w:t xml:space="preserve"> 400.000,00, con un aumento di euro 200.000,00;</w:t>
      </w:r>
    </w:p>
    <w:p w14:paraId="21C1416D" w14:textId="0D3A08F6"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le somme destinate 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8</w:t>
      </w:r>
      <w:r w:rsidR="00044B9B">
        <w:rPr>
          <w:rFonts w:ascii="Times New Roman" w:eastAsia="Times New Roman" w:hAnsi="Times New Roman" w:cs="Times New Roman"/>
          <w:sz w:val="24"/>
          <w:szCs w:val="24"/>
          <w:lang w:eastAsia="it-IT"/>
        </w:rPr>
        <w:t xml:space="preserve"> per mille</w:t>
      </w:r>
      <w:r w:rsidRPr="006B35E4">
        <w:rPr>
          <w:rFonts w:ascii="Times New Roman" w:eastAsia="Times New Roman" w:hAnsi="Times New Roman" w:cs="Times New Roman"/>
          <w:sz w:val="24"/>
          <w:szCs w:val="24"/>
          <w:lang w:eastAsia="it-IT"/>
        </w:rPr>
        <w:t xml:space="preserve"> IRPEF di pertinenza statale </w:t>
      </w:r>
      <w:r w:rsidRPr="006B35E4">
        <w:rPr>
          <w:rFonts w:ascii="Times New Roman" w:eastAsia="Times New Roman" w:hAnsi="Times New Roman" w:cs="Times New Roman"/>
          <w:b/>
          <w:sz w:val="24"/>
          <w:szCs w:val="24"/>
          <w:lang w:eastAsia="it-IT"/>
        </w:rPr>
        <w:t>(cap. 2780)</w:t>
      </w:r>
      <w:r w:rsidR="007B56C3" w:rsidRPr="007B56C3">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78.070.670,00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103.329.302,00</w:t>
      </w:r>
      <w:r w:rsidR="000C44FD">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 incremento di euro 25.258.632,00;</w:t>
      </w:r>
    </w:p>
    <w:p w14:paraId="0DF7C792" w14:textId="5204116D"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le somme destinate ad investimenti nelle isole minori </w:t>
      </w:r>
      <w:r w:rsidRPr="006B35E4">
        <w:rPr>
          <w:rFonts w:ascii="Times New Roman" w:eastAsia="Times New Roman" w:hAnsi="Times New Roman" w:cs="Times New Roman"/>
          <w:b/>
          <w:sz w:val="24"/>
          <w:szCs w:val="24"/>
          <w:lang w:eastAsia="it-IT"/>
        </w:rPr>
        <w:t>(cap. 7472)</w:t>
      </w:r>
      <w:r w:rsidR="000C44FD" w:rsidRPr="000C44FD">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24.000.000,00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33.000.000,00</w:t>
      </w:r>
      <w:r w:rsidR="000C44FD">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 incremento di euro 9.000.000,00;</w:t>
      </w:r>
    </w:p>
    <w:p w14:paraId="75AFDEC3" w14:textId="1CB81BB5"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le somme destinate alla riqualificazione dei luoghi connessi agli eventi storici anche di rilevanza internazionale </w:t>
      </w:r>
      <w:r w:rsidRPr="006B35E4">
        <w:rPr>
          <w:rFonts w:ascii="Times New Roman" w:eastAsia="Times New Roman" w:hAnsi="Times New Roman" w:cs="Times New Roman"/>
          <w:b/>
          <w:sz w:val="24"/>
          <w:szCs w:val="24"/>
          <w:lang w:eastAsia="it-IT"/>
        </w:rPr>
        <w:t>(cap. 7476)</w:t>
      </w:r>
      <w:r w:rsidR="000C44FD" w:rsidRPr="000C44FD">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10.000.000,00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77.000.000,00</w:t>
      </w:r>
      <w:r w:rsidR="000C44FD">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con un incremento di euro 67.000.000,00;</w:t>
      </w:r>
    </w:p>
    <w:p w14:paraId="7701DDEA" w14:textId="7F4D23C0"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le somme destinate al Fondo </w:t>
      </w:r>
      <w:r>
        <w:rPr>
          <w:rFonts w:ascii="Times New Roman" w:eastAsia="Times New Roman" w:hAnsi="Times New Roman" w:cs="Times New Roman"/>
          <w:sz w:val="24"/>
          <w:szCs w:val="24"/>
          <w:lang w:eastAsia="it-IT"/>
        </w:rPr>
        <w:t>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attrazione</w:t>
      </w:r>
      <w:r>
        <w:rPr>
          <w:rFonts w:ascii="Times New Roman" w:eastAsia="Times New Roman" w:hAnsi="Times New Roman" w:cs="Times New Roman"/>
          <w:sz w:val="24"/>
          <w:szCs w:val="24"/>
          <w:lang w:eastAsia="it-IT"/>
        </w:rPr>
        <w:t xml:space="preserve"> di</w:t>
      </w:r>
      <w:r w:rsidRPr="006B35E4">
        <w:rPr>
          <w:rFonts w:ascii="Times New Roman" w:eastAsia="Times New Roman" w:hAnsi="Times New Roman" w:cs="Times New Roman"/>
          <w:sz w:val="24"/>
          <w:szCs w:val="24"/>
          <w:lang w:eastAsia="it-IT"/>
        </w:rPr>
        <w:t xml:space="preserve"> investimenti in aree dismesse e beni dismessi </w:t>
      </w:r>
      <w:r w:rsidRPr="006B35E4">
        <w:rPr>
          <w:rFonts w:ascii="Times New Roman" w:eastAsia="Times New Roman" w:hAnsi="Times New Roman" w:cs="Times New Roman"/>
          <w:b/>
          <w:sz w:val="24"/>
          <w:szCs w:val="24"/>
          <w:lang w:eastAsia="it-IT"/>
        </w:rPr>
        <w:t>(cap. 7480)</w:t>
      </w:r>
      <w:r w:rsidR="000C44FD" w:rsidRPr="000C44FD">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36.000.000,00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72.000.000,00</w:t>
      </w:r>
      <w:r w:rsidR="000C44FD">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 incremento di euro 36.000.000,00</w:t>
      </w:r>
      <w:r>
        <w:rPr>
          <w:rFonts w:ascii="Times New Roman" w:eastAsia="Times New Roman" w:hAnsi="Times New Roman" w:cs="Times New Roman"/>
          <w:sz w:val="24"/>
          <w:szCs w:val="24"/>
          <w:lang w:eastAsia="it-IT"/>
        </w:rPr>
        <w:t>.</w:t>
      </w:r>
    </w:p>
    <w:p w14:paraId="1DAB5C9C" w14:textId="34050F3C" w:rsidR="00CE6817" w:rsidRDefault="00CE6817" w:rsidP="00CE6817">
      <w:pPr>
        <w:spacing w:after="0" w:line="360" w:lineRule="auto"/>
        <w:jc w:val="both"/>
        <w:rPr>
          <w:rFonts w:ascii="Times New Roman" w:eastAsia="Times New Roman" w:hAnsi="Times New Roman" w:cs="Times New Roman"/>
          <w:b/>
          <w:sz w:val="24"/>
          <w:szCs w:val="24"/>
          <w:lang w:eastAsia="it-IT"/>
        </w:rPr>
      </w:pPr>
      <w:r w:rsidRPr="006B35E4">
        <w:rPr>
          <w:rFonts w:ascii="Times New Roman" w:eastAsia="Times New Roman" w:hAnsi="Times New Roman" w:cs="Times New Roman"/>
          <w:sz w:val="24"/>
          <w:szCs w:val="24"/>
          <w:lang w:eastAsia="it-IT"/>
        </w:rPr>
        <w:t>Nell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ambito della </w:t>
      </w:r>
      <w:r w:rsidRPr="00E5554D">
        <w:rPr>
          <w:rFonts w:ascii="Times New Roman" w:eastAsia="Times New Roman" w:hAnsi="Times New Roman" w:cs="Times New Roman"/>
          <w:sz w:val="24"/>
          <w:szCs w:val="24"/>
          <w:lang w:eastAsia="it-IT"/>
        </w:rPr>
        <w:t>Missione 1</w:t>
      </w:r>
      <w:r w:rsidRPr="008E742B">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inoltre</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sono state assegnate </w:t>
      </w:r>
      <w:r w:rsidRPr="009D7518">
        <w:rPr>
          <w:rFonts w:ascii="Times New Roman" w:eastAsia="Times New Roman" w:hAnsi="Times New Roman" w:cs="Times New Roman"/>
          <w:b/>
          <w:sz w:val="24"/>
          <w:szCs w:val="24"/>
          <w:u w:val="single"/>
          <w:lang w:eastAsia="it-IT"/>
        </w:rPr>
        <w:t>ulteriori risorse</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pari a euro </w:t>
      </w:r>
      <w:r w:rsidRPr="004C3DC0">
        <w:rPr>
          <w:rFonts w:ascii="Times New Roman" w:eastAsia="Times New Roman" w:hAnsi="Times New Roman" w:cs="Times New Roman"/>
          <w:sz w:val="24"/>
          <w:szCs w:val="24"/>
          <w:lang w:eastAsia="it-IT"/>
        </w:rPr>
        <w:t xml:space="preserve">120.000.000,00 </w:t>
      </w:r>
      <w:r w:rsidRPr="006B35E4">
        <w:rPr>
          <w:rFonts w:ascii="Times New Roman" w:eastAsia="Times New Roman" w:hAnsi="Times New Roman" w:cs="Times New Roman"/>
          <w:sz w:val="24"/>
          <w:szCs w:val="24"/>
          <w:lang w:eastAsia="it-IT"/>
        </w:rPr>
        <w:t>per il sostegno agli enti del terzo settore ed enti religiosi per far fronte ai costi energetici</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(cap. 2</w:t>
      </w:r>
      <w:r>
        <w:rPr>
          <w:rFonts w:ascii="Times New Roman" w:eastAsia="Times New Roman" w:hAnsi="Times New Roman" w:cs="Times New Roman"/>
          <w:b/>
          <w:sz w:val="24"/>
          <w:szCs w:val="24"/>
          <w:lang w:eastAsia="it-IT"/>
        </w:rPr>
        <w:t>025</w:t>
      </w:r>
      <w:r w:rsidRPr="006B35E4">
        <w:rPr>
          <w:rFonts w:ascii="Times New Roman" w:eastAsia="Times New Roman" w:hAnsi="Times New Roman" w:cs="Times New Roman"/>
          <w:b/>
          <w:sz w:val="24"/>
          <w:szCs w:val="24"/>
          <w:lang w:eastAsia="it-IT"/>
        </w:rPr>
        <w:t>)</w:t>
      </w:r>
      <w:r w:rsidRPr="004C3DC0">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a </w:t>
      </w:r>
      <w:r w:rsidRPr="006B35E4">
        <w:rPr>
          <w:rFonts w:ascii="Times New Roman" w:eastAsia="Times New Roman" w:hAnsi="Times New Roman" w:cs="Times New Roman"/>
          <w:sz w:val="24"/>
          <w:szCs w:val="24"/>
          <w:lang w:eastAsia="it-IT"/>
        </w:rPr>
        <w:t>euro 129.506.475,00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per lo sviluppo delle montagne italiane</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(cap. 2</w:t>
      </w:r>
      <w:r>
        <w:rPr>
          <w:rFonts w:ascii="Times New Roman" w:eastAsia="Times New Roman" w:hAnsi="Times New Roman" w:cs="Times New Roman"/>
          <w:b/>
          <w:sz w:val="24"/>
          <w:szCs w:val="24"/>
          <w:lang w:eastAsia="it-IT"/>
        </w:rPr>
        <w:t>0</w:t>
      </w:r>
      <w:r w:rsidRPr="006B35E4">
        <w:rPr>
          <w:rFonts w:ascii="Times New Roman" w:eastAsia="Times New Roman" w:hAnsi="Times New Roman" w:cs="Times New Roman"/>
          <w:b/>
          <w:sz w:val="24"/>
          <w:szCs w:val="24"/>
          <w:lang w:eastAsia="it-IT"/>
        </w:rPr>
        <w:t>6</w:t>
      </w:r>
      <w:r>
        <w:rPr>
          <w:rFonts w:ascii="Times New Roman" w:eastAsia="Times New Roman" w:hAnsi="Times New Roman" w:cs="Times New Roman"/>
          <w:b/>
          <w:sz w:val="24"/>
          <w:szCs w:val="24"/>
          <w:lang w:eastAsia="it-IT"/>
        </w:rPr>
        <w:t>8</w:t>
      </w:r>
      <w:r w:rsidRPr="006B35E4">
        <w:rPr>
          <w:rFonts w:ascii="Times New Roman" w:eastAsia="Times New Roman" w:hAnsi="Times New Roman" w:cs="Times New Roman"/>
          <w:b/>
          <w:sz w:val="24"/>
          <w:szCs w:val="24"/>
          <w:lang w:eastAsia="it-IT"/>
        </w:rPr>
        <w:t>)</w:t>
      </w:r>
      <w:r>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a </w:t>
      </w:r>
      <w:r w:rsidRPr="006B35E4">
        <w:rPr>
          <w:rFonts w:ascii="Times New Roman" w:eastAsia="Times New Roman" w:hAnsi="Times New Roman" w:cs="Times New Roman"/>
          <w:sz w:val="24"/>
          <w:szCs w:val="24"/>
          <w:lang w:eastAsia="it-IT"/>
        </w:rPr>
        <w:t>euro 570.000,00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per il Nucleo di valutazione e analisi strategica in materia di esercizio dei poteri speciali </w:t>
      </w:r>
      <w:r w:rsidRPr="006B35E4">
        <w:rPr>
          <w:rFonts w:ascii="Times New Roman" w:eastAsia="Times New Roman" w:hAnsi="Times New Roman" w:cs="Times New Roman"/>
          <w:b/>
          <w:sz w:val="24"/>
          <w:szCs w:val="24"/>
          <w:lang w:eastAsia="it-IT"/>
        </w:rPr>
        <w:t>(cap. 2069)</w:t>
      </w:r>
      <w:r>
        <w:rPr>
          <w:rFonts w:ascii="Times New Roman" w:eastAsia="Times New Roman" w:hAnsi="Times New Roman" w:cs="Times New Roman"/>
          <w:b/>
          <w:sz w:val="24"/>
          <w:szCs w:val="24"/>
          <w:lang w:eastAsia="it-IT"/>
        </w:rPr>
        <w:t>,</w:t>
      </w:r>
      <w:r w:rsidRPr="006B35E4">
        <w:rPr>
          <w:rFonts w:ascii="Times New Roman" w:eastAsia="Times New Roman" w:hAnsi="Times New Roman" w:cs="Times New Roman"/>
          <w:sz w:val="24"/>
          <w:szCs w:val="24"/>
          <w:lang w:eastAsia="it-IT"/>
        </w:rPr>
        <w:t xml:space="preserve"> </w:t>
      </w:r>
      <w:r w:rsidRPr="004C3DC0">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a </w:t>
      </w:r>
      <w:r w:rsidRPr="006B35E4">
        <w:rPr>
          <w:rFonts w:ascii="Times New Roman" w:eastAsia="Times New Roman" w:hAnsi="Times New Roman" w:cs="Times New Roman"/>
          <w:sz w:val="24"/>
          <w:szCs w:val="24"/>
          <w:lang w:eastAsia="it-IT"/>
        </w:rPr>
        <w:t>euro 300.000,00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per il contributo da destinare al conto speciale del Consiglio d</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Europa </w:t>
      </w:r>
      <w:r w:rsidRPr="006B35E4">
        <w:rPr>
          <w:rFonts w:ascii="Times New Roman" w:eastAsia="Times New Roman" w:hAnsi="Times New Roman" w:cs="Times New Roman"/>
          <w:b/>
          <w:sz w:val="24"/>
          <w:szCs w:val="24"/>
          <w:lang w:eastAsia="it-IT"/>
        </w:rPr>
        <w:t>(cap. 2074</w:t>
      </w:r>
      <w:r w:rsidRPr="006B35E4">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a </w:t>
      </w:r>
      <w:r w:rsidRPr="006B35E4">
        <w:rPr>
          <w:rFonts w:ascii="Times New Roman" w:eastAsia="Times New Roman" w:hAnsi="Times New Roman" w:cs="Times New Roman"/>
          <w:sz w:val="24"/>
          <w:szCs w:val="24"/>
          <w:lang w:eastAsia="it-IT"/>
        </w:rPr>
        <w:t xml:space="preserve">euro </w:t>
      </w:r>
      <w:r w:rsidRPr="006B35E4">
        <w:rPr>
          <w:rFonts w:ascii="Times New Roman" w:eastAsia="Times New Roman" w:hAnsi="Times New Roman" w:cs="Times New Roman"/>
          <w:sz w:val="24"/>
          <w:szCs w:val="24"/>
          <w:lang w:eastAsia="it-IT"/>
        </w:rPr>
        <w:lastRenderedPageBreak/>
        <w:t xml:space="preserve">200.000,00 per la stipula della convenzione per il supporto tecnico per la ricognizione del numero e della classificazione funzionale delle strutture sanitarie, assistenziali e scolastiche e delle infrastrutture stradali, autostradali, ferroviarie, portuali e aeroportuali </w:t>
      </w:r>
      <w:r w:rsidRPr="006B35E4">
        <w:rPr>
          <w:rFonts w:ascii="Times New Roman" w:eastAsia="Times New Roman" w:hAnsi="Times New Roman" w:cs="Times New Roman"/>
          <w:b/>
          <w:sz w:val="24"/>
          <w:szCs w:val="24"/>
          <w:lang w:eastAsia="it-IT"/>
        </w:rPr>
        <w:t>(cap. 2075)</w:t>
      </w:r>
      <w:r w:rsidRPr="00433F7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a euro </w:t>
      </w:r>
      <w:r w:rsidRPr="004C3DC0">
        <w:rPr>
          <w:rFonts w:ascii="Times New Roman" w:eastAsia="Times New Roman" w:hAnsi="Times New Roman" w:cs="Times New Roman"/>
          <w:sz w:val="24"/>
          <w:szCs w:val="24"/>
          <w:lang w:eastAsia="it-IT"/>
        </w:rPr>
        <w:t>1.435.684,00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per il Nucleo PNRR - Stato Regioni </w:t>
      </w:r>
      <w:r w:rsidRPr="006B35E4">
        <w:rPr>
          <w:rFonts w:ascii="Times New Roman" w:eastAsia="Times New Roman" w:hAnsi="Times New Roman" w:cs="Times New Roman"/>
          <w:b/>
          <w:sz w:val="24"/>
          <w:szCs w:val="24"/>
          <w:lang w:eastAsia="it-IT"/>
        </w:rPr>
        <w:t>(cap. 2076</w:t>
      </w:r>
      <w:r w:rsidRPr="004C3DC0">
        <w:rPr>
          <w:rFonts w:ascii="Times New Roman" w:eastAsia="Times New Roman" w:hAnsi="Times New Roman" w:cs="Times New Roman"/>
          <w:b/>
          <w:sz w:val="24"/>
          <w:szCs w:val="24"/>
          <w:lang w:eastAsia="it-IT"/>
        </w:rPr>
        <w:t>)</w:t>
      </w:r>
      <w:r w:rsidRPr="004C3DC0">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e </w:t>
      </w:r>
      <w:r w:rsidRPr="004C3DC0">
        <w:rPr>
          <w:rFonts w:ascii="Times New Roman" w:eastAsia="Times New Roman" w:hAnsi="Times New Roman" w:cs="Times New Roman"/>
          <w:sz w:val="24"/>
          <w:szCs w:val="24"/>
          <w:lang w:eastAsia="it-IT"/>
        </w:rPr>
        <w:t>a</w:t>
      </w:r>
      <w:r w:rsidRPr="006B35E4">
        <w:rPr>
          <w:rFonts w:ascii="Times New Roman" w:eastAsia="Times New Roman" w:hAnsi="Times New Roman" w:cs="Times New Roman"/>
          <w:sz w:val="24"/>
          <w:szCs w:val="24"/>
          <w:lang w:eastAsia="it-IT"/>
        </w:rPr>
        <w:t xml:space="preserve"> euro 500.000,00 per gli interventi e le opere necessarie alla gestione commissariale “Giubileo 2025” </w:t>
      </w:r>
      <w:r w:rsidRPr="006B35E4">
        <w:rPr>
          <w:rFonts w:ascii="Times New Roman" w:eastAsia="Times New Roman" w:hAnsi="Times New Roman" w:cs="Times New Roman"/>
          <w:b/>
          <w:sz w:val="24"/>
          <w:szCs w:val="24"/>
          <w:lang w:eastAsia="it-IT"/>
        </w:rPr>
        <w:t>(cap. 2167)</w:t>
      </w:r>
      <w:r w:rsidRPr="00BD3563">
        <w:rPr>
          <w:rFonts w:ascii="Times New Roman" w:eastAsia="Times New Roman" w:hAnsi="Times New Roman" w:cs="Times New Roman"/>
          <w:sz w:val="24"/>
          <w:szCs w:val="24"/>
          <w:lang w:eastAsia="it-IT"/>
        </w:rPr>
        <w:t>.</w:t>
      </w:r>
    </w:p>
    <w:p w14:paraId="520C973A" w14:textId="756467C1"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A fronte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aumento delle risorse finanziarie sopra evidenziato, per la stessa </w:t>
      </w:r>
      <w:r w:rsidRPr="009D7518">
        <w:rPr>
          <w:rFonts w:ascii="Times New Roman" w:eastAsia="Times New Roman" w:hAnsi="Times New Roman" w:cs="Times New Roman"/>
          <w:sz w:val="24"/>
          <w:szCs w:val="24"/>
          <w:lang w:eastAsia="it-IT"/>
        </w:rPr>
        <w:t>Missione 1,</w:t>
      </w:r>
      <w:r w:rsidRPr="006B35E4">
        <w:rPr>
          <w:rFonts w:ascii="Times New Roman" w:eastAsia="Times New Roman" w:hAnsi="Times New Roman" w:cs="Times New Roman"/>
          <w:sz w:val="24"/>
          <w:szCs w:val="24"/>
          <w:lang w:eastAsia="it-IT"/>
        </w:rPr>
        <w:t xml:space="preserve"> va segnalata una </w:t>
      </w:r>
      <w:r w:rsidRPr="00E95E7E">
        <w:rPr>
          <w:rFonts w:ascii="Times New Roman" w:eastAsia="Times New Roman" w:hAnsi="Times New Roman" w:cs="Times New Roman"/>
          <w:sz w:val="24"/>
          <w:szCs w:val="24"/>
          <w:lang w:eastAsia="it-IT"/>
        </w:rPr>
        <w:t>diminuzione</w:t>
      </w:r>
      <w:r w:rsidRPr="006B35E4">
        <w:rPr>
          <w:rFonts w:ascii="Times New Roman" w:eastAsia="Times New Roman" w:hAnsi="Times New Roman" w:cs="Times New Roman"/>
          <w:sz w:val="24"/>
          <w:szCs w:val="24"/>
          <w:lang w:eastAsia="it-IT"/>
        </w:rPr>
        <w:t>:</w:t>
      </w:r>
    </w:p>
    <w:p w14:paraId="48125BA5" w14:textId="412650A1"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delle risorse finanziarie destinate alle spese derivanti da contenziosi </w:t>
      </w:r>
      <w:r w:rsidRPr="006B35E4">
        <w:rPr>
          <w:rFonts w:ascii="Times New Roman" w:eastAsia="Times New Roman" w:hAnsi="Times New Roman" w:cs="Times New Roman"/>
          <w:b/>
          <w:sz w:val="24"/>
          <w:szCs w:val="24"/>
          <w:lang w:eastAsia="it-IT"/>
        </w:rPr>
        <w:t>(cap. 2127)</w:t>
      </w:r>
      <w:r w:rsidR="00D44E5E" w:rsidRPr="00D44E5E">
        <w:rPr>
          <w:rFonts w:ascii="Times New Roman" w:eastAsia="Times New Roman" w:hAnsi="Times New Roman" w:cs="Times New Roman"/>
          <w:bCs/>
          <w:sz w:val="24"/>
          <w:szCs w:val="24"/>
          <w:lang w:eastAsia="it-IT"/>
        </w:rPr>
        <w:t>,</w:t>
      </w:r>
      <w:r w:rsidRPr="00D44E5E">
        <w:rPr>
          <w:rFonts w:ascii="Times New Roman" w:eastAsia="Times New Roman" w:hAnsi="Times New Roman" w:cs="Times New Roman"/>
          <w:bCs/>
          <w:sz w:val="24"/>
          <w:szCs w:val="24"/>
          <w:lang w:eastAsia="it-IT"/>
        </w:rPr>
        <w:t xml:space="preserve"> </w:t>
      </w:r>
      <w:r w:rsidRPr="006B35E4">
        <w:rPr>
          <w:rFonts w:ascii="Times New Roman" w:eastAsia="Times New Roman" w:hAnsi="Times New Roman" w:cs="Times New Roman"/>
          <w:sz w:val="24"/>
          <w:szCs w:val="24"/>
          <w:lang w:eastAsia="it-IT"/>
        </w:rPr>
        <w:t xml:space="preserve">che passano da euro 580.000.000,00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310.000.000,00, con una diminuzione di euro 270.000.000,00;</w:t>
      </w:r>
    </w:p>
    <w:p w14:paraId="03529F0A" w14:textId="75F0168A"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dei fondi destinati alle spese di personale di specifica ed elevata competenza della Struttura 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innovazione tecnologica e la transizione digitale </w:t>
      </w:r>
      <w:r w:rsidRPr="00EE5EE0">
        <w:rPr>
          <w:rFonts w:ascii="Times New Roman" w:eastAsia="Times New Roman" w:hAnsi="Times New Roman" w:cs="Times New Roman"/>
          <w:b/>
          <w:sz w:val="24"/>
          <w:szCs w:val="24"/>
          <w:lang w:eastAsia="it-IT"/>
        </w:rPr>
        <w:t>(cap. 2144)</w:t>
      </w:r>
      <w:r w:rsidR="00D44E5E" w:rsidRPr="00D44E5E">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2.200.000,00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800.000,00, con una riduzione di euro 1.400.000,00;</w:t>
      </w:r>
    </w:p>
    <w:p w14:paraId="13ABEACC" w14:textId="1E50B7A2"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delle risorse </w:t>
      </w:r>
      <w:r>
        <w:rPr>
          <w:rFonts w:ascii="Times New Roman" w:eastAsia="Times New Roman" w:hAnsi="Times New Roman" w:cs="Times New Roman"/>
          <w:sz w:val="24"/>
          <w:szCs w:val="24"/>
          <w:lang w:eastAsia="it-IT"/>
        </w:rPr>
        <w:t>destinat</w:t>
      </w:r>
      <w:r w:rsidRPr="006B35E4">
        <w:rPr>
          <w:rFonts w:ascii="Times New Roman" w:eastAsia="Times New Roman" w:hAnsi="Times New Roman" w:cs="Times New Roman"/>
          <w:sz w:val="24"/>
          <w:szCs w:val="24"/>
          <w:lang w:eastAsia="it-IT"/>
        </w:rPr>
        <w:t xml:space="preserve">e </w:t>
      </w:r>
      <w:r>
        <w:rPr>
          <w:rFonts w:ascii="Times New Roman" w:eastAsia="Times New Roman" w:hAnsi="Times New Roman" w:cs="Times New Roman"/>
          <w:sz w:val="24"/>
          <w:szCs w:val="24"/>
          <w:lang w:eastAsia="it-IT"/>
        </w:rPr>
        <w:t>alla d</w:t>
      </w:r>
      <w:r w:rsidRPr="006B35E4">
        <w:rPr>
          <w:rFonts w:ascii="Times New Roman" w:eastAsia="Times New Roman" w:hAnsi="Times New Roman" w:cs="Times New Roman"/>
          <w:sz w:val="24"/>
          <w:szCs w:val="24"/>
          <w:lang w:eastAsia="it-IT"/>
        </w:rPr>
        <w:t xml:space="preserve">elegazione per la Presidenza italiana del G20 </w:t>
      </w:r>
      <w:r w:rsidRPr="006B35E4">
        <w:rPr>
          <w:rFonts w:ascii="Times New Roman" w:eastAsia="Times New Roman" w:hAnsi="Times New Roman" w:cs="Times New Roman"/>
          <w:b/>
          <w:sz w:val="24"/>
          <w:szCs w:val="24"/>
          <w:lang w:eastAsia="it-IT"/>
        </w:rPr>
        <w:t>(cap. 2157</w:t>
      </w:r>
      <w:r w:rsidRPr="00EE5EE0">
        <w:rPr>
          <w:rFonts w:ascii="Times New Roman" w:eastAsia="Times New Roman" w:hAnsi="Times New Roman" w:cs="Times New Roman"/>
          <w:b/>
          <w:sz w:val="24"/>
          <w:szCs w:val="24"/>
          <w:lang w:eastAsia="it-IT"/>
        </w:rPr>
        <w:t>)</w:t>
      </w:r>
      <w:r w:rsidRPr="006B35E4">
        <w:rPr>
          <w:rFonts w:ascii="Times New Roman" w:eastAsia="Times New Roman" w:hAnsi="Times New Roman" w:cs="Times New Roman"/>
          <w:sz w:val="24"/>
          <w:szCs w:val="24"/>
          <w:lang w:eastAsia="it-IT"/>
        </w:rPr>
        <w:t xml:space="preserve"> che passano da euro 46.331.000,00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1.000.000,00 con una </w:t>
      </w:r>
      <w:r>
        <w:rPr>
          <w:rFonts w:ascii="Times New Roman" w:eastAsia="Times New Roman" w:hAnsi="Times New Roman" w:cs="Times New Roman"/>
          <w:sz w:val="24"/>
          <w:szCs w:val="24"/>
          <w:lang w:eastAsia="it-IT"/>
        </w:rPr>
        <w:t>riduzione di euro 45.331.000,00.</w:t>
      </w:r>
    </w:p>
    <w:p w14:paraId="455B5560" w14:textId="40B40862" w:rsidR="00CE6817"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Inoltre, non sono state previste risorse per il </w:t>
      </w:r>
      <w:r>
        <w:rPr>
          <w:rFonts w:ascii="Times New Roman" w:eastAsia="Times New Roman" w:hAnsi="Times New Roman" w:cs="Times New Roman"/>
          <w:sz w:val="24"/>
          <w:szCs w:val="24"/>
          <w:lang w:eastAsia="it-IT"/>
        </w:rPr>
        <w:t>c</w:t>
      </w:r>
      <w:r w:rsidRPr="006B35E4">
        <w:rPr>
          <w:rFonts w:ascii="Times New Roman" w:eastAsia="Times New Roman" w:hAnsi="Times New Roman" w:cs="Times New Roman"/>
          <w:sz w:val="24"/>
          <w:szCs w:val="24"/>
          <w:lang w:eastAsia="it-IT"/>
        </w:rPr>
        <w:t xml:space="preserve">oordinamento delle politiche di governo in materia di investimenti pubblici (ex Struttura di missione denominata </w:t>
      </w:r>
      <w:r w:rsidR="00D44E5E">
        <w:rPr>
          <w:rFonts w:ascii="Times New Roman" w:eastAsia="Times New Roman" w:hAnsi="Times New Roman" w:cs="Times New Roman"/>
          <w:sz w:val="24"/>
          <w:szCs w:val="24"/>
          <w:lang w:eastAsia="it-IT"/>
        </w:rPr>
        <w:t>“</w:t>
      </w:r>
      <w:proofErr w:type="spellStart"/>
      <w:r w:rsidRPr="006B35E4">
        <w:rPr>
          <w:rFonts w:ascii="Times New Roman" w:eastAsia="Times New Roman" w:hAnsi="Times New Roman" w:cs="Times New Roman"/>
          <w:sz w:val="24"/>
          <w:szCs w:val="24"/>
          <w:lang w:eastAsia="it-IT"/>
        </w:rPr>
        <w:t>InvestItalia</w:t>
      </w:r>
      <w:proofErr w:type="spellEnd"/>
      <w:r w:rsidR="00D44E5E">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(cap. 2107</w:t>
      </w:r>
      <w:r w:rsidRPr="00320858">
        <w:rPr>
          <w:rFonts w:ascii="Times New Roman" w:eastAsia="Times New Roman" w:hAnsi="Times New Roman" w:cs="Times New Roman"/>
          <w:b/>
          <w:sz w:val="24"/>
          <w:szCs w:val="24"/>
          <w:lang w:eastAsia="it-IT"/>
        </w:rPr>
        <w:t>)</w:t>
      </w:r>
      <w:r w:rsidRPr="006B35E4">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che nel 2021 ammontavano a euro 24.370.997,00,</w:t>
      </w:r>
      <w:r w:rsidRPr="006B35E4">
        <w:rPr>
          <w:rFonts w:ascii="Times New Roman" w:eastAsia="Times New Roman" w:hAnsi="Times New Roman" w:cs="Times New Roman"/>
          <w:sz w:val="24"/>
          <w:szCs w:val="24"/>
          <w:lang w:eastAsia="it-IT"/>
        </w:rPr>
        <w:t xml:space="preserve"> per il Fondo integrativo comuni montani </w:t>
      </w:r>
      <w:r w:rsidRPr="006B35E4">
        <w:rPr>
          <w:rFonts w:ascii="Times New Roman" w:eastAsia="Times New Roman" w:hAnsi="Times New Roman" w:cs="Times New Roman"/>
          <w:b/>
          <w:sz w:val="24"/>
          <w:szCs w:val="24"/>
          <w:lang w:eastAsia="it-IT"/>
        </w:rPr>
        <w:t>(cap. 2126)</w:t>
      </w:r>
      <w:r>
        <w:rPr>
          <w:rFonts w:ascii="Times New Roman" w:eastAsia="Times New Roman" w:hAnsi="Times New Roman" w:cs="Times New Roman"/>
          <w:sz w:val="24"/>
          <w:szCs w:val="24"/>
          <w:lang w:eastAsia="it-IT"/>
        </w:rPr>
        <w:t xml:space="preserve">, che nel 2021 ammontavano a euro 9.506.475,00, </w:t>
      </w:r>
      <w:r w:rsidRPr="006B35E4">
        <w:rPr>
          <w:rFonts w:ascii="Times New Roman" w:eastAsia="Times New Roman" w:hAnsi="Times New Roman" w:cs="Times New Roman"/>
          <w:sz w:val="24"/>
          <w:szCs w:val="24"/>
          <w:lang w:eastAsia="it-IT"/>
        </w:rPr>
        <w:t>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implementazione del sistema di monitoraggio finanziario delle grandi opere</w:t>
      </w:r>
      <w:r w:rsidRPr="006B35E4">
        <w:rPr>
          <w:rFonts w:ascii="Times New Roman" w:eastAsia="Times New Roman" w:hAnsi="Times New Roman" w:cs="Times New Roman"/>
          <w:b/>
          <w:sz w:val="24"/>
          <w:szCs w:val="24"/>
          <w:lang w:eastAsia="it-IT"/>
        </w:rPr>
        <w:t xml:space="preserve"> (cap. </w:t>
      </w:r>
      <w:r w:rsidRPr="008E03EF">
        <w:rPr>
          <w:rFonts w:ascii="Times New Roman" w:eastAsia="Times New Roman" w:hAnsi="Times New Roman" w:cs="Times New Roman"/>
          <w:b/>
          <w:sz w:val="24"/>
          <w:szCs w:val="24"/>
          <w:lang w:eastAsia="it-IT"/>
        </w:rPr>
        <w:t>2136</w:t>
      </w:r>
      <w:r w:rsidRPr="004C0349">
        <w:rPr>
          <w:rFonts w:ascii="Times New Roman" w:eastAsia="Times New Roman" w:hAnsi="Times New Roman" w:cs="Times New Roman"/>
          <w:b/>
          <w:sz w:val="24"/>
          <w:szCs w:val="24"/>
          <w:lang w:eastAsia="it-IT"/>
        </w:rPr>
        <w:t>)</w:t>
      </w:r>
      <w:r w:rsidRPr="004C0349">
        <w:rPr>
          <w:rFonts w:ascii="Times New Roman" w:eastAsia="Times New Roman" w:hAnsi="Times New Roman" w:cs="Times New Roman"/>
          <w:sz w:val="24"/>
          <w:szCs w:val="24"/>
          <w:lang w:eastAsia="it-IT"/>
        </w:rPr>
        <w:t>, che nel 2021 ammontavano a euro 109.654</w:t>
      </w:r>
      <w:r>
        <w:rPr>
          <w:rFonts w:ascii="Times New Roman" w:eastAsia="Times New Roman" w:hAnsi="Times New Roman" w:cs="Times New Roman"/>
          <w:b/>
          <w:sz w:val="24"/>
          <w:szCs w:val="24"/>
          <w:lang w:eastAsia="it-IT"/>
        </w:rPr>
        <w:t>,</w:t>
      </w:r>
      <w:r>
        <w:rPr>
          <w:rFonts w:ascii="Times New Roman" w:eastAsia="Times New Roman" w:hAnsi="Times New Roman" w:cs="Times New Roman"/>
          <w:sz w:val="24"/>
          <w:szCs w:val="24"/>
          <w:lang w:eastAsia="it-IT"/>
        </w:rPr>
        <w:t xml:space="preserve">00 </w:t>
      </w:r>
      <w:r w:rsidRPr="006B35E4">
        <w:rPr>
          <w:rFonts w:ascii="Times New Roman" w:eastAsia="Times New Roman" w:hAnsi="Times New Roman" w:cs="Times New Roman"/>
          <w:sz w:val="24"/>
          <w:szCs w:val="24"/>
          <w:lang w:eastAsia="it-IT"/>
        </w:rPr>
        <w:t xml:space="preserve">e per il Fondo nazionale per la montagna </w:t>
      </w:r>
      <w:r w:rsidRPr="006B35E4">
        <w:rPr>
          <w:rFonts w:ascii="Times New Roman" w:eastAsia="Times New Roman" w:hAnsi="Times New Roman" w:cs="Times New Roman"/>
          <w:b/>
          <w:sz w:val="24"/>
          <w:szCs w:val="24"/>
          <w:lang w:eastAsia="it-IT"/>
        </w:rPr>
        <w:t>(cap. 7469</w:t>
      </w:r>
      <w:r w:rsidRPr="004C0349">
        <w:rPr>
          <w:rFonts w:ascii="Times New Roman" w:eastAsia="Times New Roman" w:hAnsi="Times New Roman" w:cs="Times New Roman"/>
          <w:b/>
          <w:sz w:val="24"/>
          <w:szCs w:val="24"/>
          <w:lang w:eastAsia="it-IT"/>
        </w:rPr>
        <w:t>)</w:t>
      </w:r>
      <w:r>
        <w:rPr>
          <w:rFonts w:ascii="Times New Roman" w:eastAsia="Times New Roman" w:hAnsi="Times New Roman" w:cs="Times New Roman"/>
          <w:sz w:val="24"/>
          <w:szCs w:val="24"/>
          <w:lang w:eastAsia="it-IT"/>
        </w:rPr>
        <w:t>, che nel 2021 ammontavano a euro 21.748.399,00;</w:t>
      </w:r>
    </w:p>
    <w:p w14:paraId="5BE7165F" w14:textId="77777777" w:rsidR="00CE6817" w:rsidRPr="00C507F2" w:rsidRDefault="00CE6817" w:rsidP="00CE6817">
      <w:pPr>
        <w:spacing w:after="0" w:line="360" w:lineRule="auto"/>
        <w:jc w:val="both"/>
        <w:rPr>
          <w:rFonts w:ascii="Times New Roman" w:eastAsia="Times New Roman" w:hAnsi="Times New Roman" w:cs="Times New Roman"/>
          <w:sz w:val="12"/>
          <w:szCs w:val="24"/>
          <w:lang w:eastAsia="it-IT"/>
        </w:rPr>
      </w:pPr>
    </w:p>
    <w:p w14:paraId="4B5213D3" w14:textId="553E1FC8" w:rsidR="00CE6817" w:rsidRPr="00EE0555" w:rsidRDefault="008F384A"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t>-</w:t>
      </w:r>
      <w:r w:rsidR="00C15EB4" w:rsidRPr="00C15EB4">
        <w:rPr>
          <w:rFonts w:ascii="Times New Roman" w:eastAsia="Times New Roman" w:hAnsi="Times New Roman" w:cs="Times New Roman"/>
          <w:sz w:val="24"/>
          <w:szCs w:val="24"/>
          <w:lang w:eastAsia="it-IT"/>
        </w:rPr>
        <w:t xml:space="preserve"> della</w:t>
      </w:r>
      <w:r w:rsidR="00C15EB4" w:rsidRPr="006B35E4">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b/>
          <w:sz w:val="24"/>
          <w:szCs w:val="24"/>
          <w:lang w:eastAsia="it-IT"/>
        </w:rPr>
        <w:t>Missione 15</w:t>
      </w:r>
      <w:r w:rsidR="00CE6817" w:rsidRPr="006B35E4">
        <w:rPr>
          <w:rFonts w:ascii="Times New Roman" w:eastAsia="Times New Roman" w:hAnsi="Times New Roman" w:cs="Times New Roman"/>
          <w:sz w:val="24"/>
          <w:szCs w:val="24"/>
          <w:lang w:eastAsia="it-IT"/>
        </w:rPr>
        <w:t xml:space="preserve"> “Comunicazioni” del 25,26 per cento</w:t>
      </w:r>
      <w:r w:rsidR="00CE6817">
        <w:rPr>
          <w:rFonts w:ascii="Times New Roman" w:eastAsia="Times New Roman" w:hAnsi="Times New Roman" w:cs="Times New Roman"/>
          <w:sz w:val="24"/>
          <w:szCs w:val="24"/>
          <w:lang w:eastAsia="it-IT"/>
        </w:rPr>
        <w:t>, dovuto allo stanziamento, nell</w:t>
      </w:r>
      <w:r w:rsidR="00877AAF">
        <w:rPr>
          <w:rFonts w:ascii="Times New Roman" w:eastAsia="Times New Roman" w:hAnsi="Times New Roman" w:cs="Times New Roman"/>
          <w:sz w:val="24"/>
          <w:szCs w:val="24"/>
          <w:lang w:eastAsia="it-IT"/>
        </w:rPr>
        <w:t>’</w:t>
      </w:r>
      <w:r w:rsidR="00CE6817">
        <w:rPr>
          <w:rFonts w:ascii="Times New Roman" w:eastAsia="Times New Roman" w:hAnsi="Times New Roman" w:cs="Times New Roman"/>
          <w:sz w:val="24"/>
          <w:szCs w:val="24"/>
          <w:lang w:eastAsia="it-IT"/>
        </w:rPr>
        <w:t xml:space="preserve">ambito del </w:t>
      </w:r>
      <w:r w:rsidR="00CE6817" w:rsidRPr="008E03EF">
        <w:rPr>
          <w:rFonts w:ascii="Times New Roman" w:eastAsia="Times New Roman" w:hAnsi="Times New Roman" w:cs="Times New Roman"/>
          <w:b/>
          <w:sz w:val="24"/>
          <w:szCs w:val="24"/>
          <w:lang w:eastAsia="it-IT"/>
        </w:rPr>
        <w:t>Programma 15.4</w:t>
      </w:r>
      <w:r w:rsidR="00CE6817" w:rsidRPr="006B35E4">
        <w:rPr>
          <w:rFonts w:ascii="Times New Roman" w:eastAsia="Times New Roman" w:hAnsi="Times New Roman" w:cs="Times New Roman"/>
          <w:sz w:val="24"/>
          <w:szCs w:val="24"/>
          <w:lang w:eastAsia="it-IT"/>
        </w:rPr>
        <w:t xml:space="preserve"> “Sostegno all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editoria”</w:t>
      </w:r>
      <w:r w:rsidR="00CE6817">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 </w:t>
      </w:r>
      <w:r w:rsidR="00CE6817">
        <w:rPr>
          <w:rFonts w:ascii="Times New Roman" w:eastAsia="Times New Roman" w:hAnsi="Times New Roman" w:cs="Times New Roman"/>
          <w:sz w:val="24"/>
          <w:szCs w:val="24"/>
          <w:lang w:eastAsia="it-IT"/>
        </w:rPr>
        <w:t xml:space="preserve">di nuove risorse pari a euro 90.000.000,00 destinate al </w:t>
      </w:r>
      <w:r w:rsidR="00CE6817" w:rsidRPr="000F0A1D">
        <w:rPr>
          <w:rFonts w:ascii="Times New Roman" w:eastAsia="Times New Roman" w:hAnsi="Times New Roman" w:cs="Times New Roman"/>
          <w:sz w:val="24"/>
          <w:szCs w:val="24"/>
          <w:lang w:eastAsia="it-IT"/>
        </w:rPr>
        <w:t>Fondo straordinario per gli interventi di sostegno all</w:t>
      </w:r>
      <w:r w:rsidR="00877AAF">
        <w:rPr>
          <w:rFonts w:ascii="Times New Roman" w:eastAsia="Times New Roman" w:hAnsi="Times New Roman" w:cs="Times New Roman"/>
          <w:sz w:val="24"/>
          <w:szCs w:val="24"/>
          <w:lang w:eastAsia="it-IT"/>
        </w:rPr>
        <w:t>’</w:t>
      </w:r>
      <w:r w:rsidR="00CE6817" w:rsidRPr="000F0A1D">
        <w:rPr>
          <w:rFonts w:ascii="Times New Roman" w:eastAsia="Times New Roman" w:hAnsi="Times New Roman" w:cs="Times New Roman"/>
          <w:sz w:val="24"/>
          <w:szCs w:val="24"/>
          <w:lang w:eastAsia="it-IT"/>
        </w:rPr>
        <w:t xml:space="preserve">editoria </w:t>
      </w:r>
      <w:r w:rsidR="00CE6817" w:rsidRPr="006B35E4">
        <w:rPr>
          <w:rFonts w:ascii="Times New Roman" w:eastAsia="Times New Roman" w:hAnsi="Times New Roman" w:cs="Times New Roman"/>
          <w:b/>
          <w:sz w:val="24"/>
          <w:szCs w:val="24"/>
          <w:lang w:eastAsia="it-IT"/>
        </w:rPr>
        <w:t>(cap. 7620)</w:t>
      </w:r>
      <w:r w:rsidR="00CE6817">
        <w:rPr>
          <w:rFonts w:ascii="Times New Roman" w:eastAsia="Times New Roman" w:hAnsi="Times New Roman" w:cs="Times New Roman"/>
          <w:sz w:val="24"/>
          <w:szCs w:val="24"/>
          <w:lang w:eastAsia="it-IT"/>
        </w:rPr>
        <w:t xml:space="preserve">. A fronte di tale aumento, si registra invece </w:t>
      </w:r>
      <w:r w:rsidR="00CE6817" w:rsidRPr="006B35E4">
        <w:rPr>
          <w:rFonts w:ascii="Times New Roman" w:eastAsia="Times New Roman" w:hAnsi="Times New Roman" w:cs="Times New Roman"/>
          <w:sz w:val="24"/>
          <w:szCs w:val="24"/>
          <w:lang w:eastAsia="it-IT"/>
        </w:rPr>
        <w:t>una diminuzione delle risorse destinate all</w:t>
      </w:r>
      <w:r w:rsidR="00877AAF">
        <w:rPr>
          <w:rFonts w:ascii="Times New Roman" w:eastAsia="Times New Roman" w:hAnsi="Times New Roman" w:cs="Times New Roman"/>
          <w:sz w:val="24"/>
          <w:szCs w:val="24"/>
          <w:lang w:eastAsia="it-IT"/>
        </w:rPr>
        <w:t>’</w:t>
      </w:r>
      <w:r w:rsidR="00CE6817">
        <w:rPr>
          <w:rFonts w:ascii="Times New Roman" w:eastAsia="Times New Roman" w:hAnsi="Times New Roman" w:cs="Times New Roman"/>
          <w:sz w:val="24"/>
          <w:szCs w:val="24"/>
          <w:lang w:eastAsia="it-IT"/>
        </w:rPr>
        <w:t>a</w:t>
      </w:r>
      <w:r w:rsidR="00CE6817" w:rsidRPr="006B35E4">
        <w:rPr>
          <w:rFonts w:ascii="Times New Roman" w:eastAsia="Times New Roman" w:hAnsi="Times New Roman" w:cs="Times New Roman"/>
          <w:sz w:val="24"/>
          <w:szCs w:val="24"/>
          <w:lang w:eastAsia="it-IT"/>
        </w:rPr>
        <w:t xml:space="preserve">ccordo di collaborazione in materia radiotelevisiva fra il Governo della Repubblica Italiana e il Governo della Repubblica di San Marino e per le attività connesse alla diffusione di notizie italiane con i servizi esteri </w:t>
      </w:r>
      <w:r w:rsidR="00CE6817" w:rsidRPr="006B35E4">
        <w:rPr>
          <w:rFonts w:ascii="Times New Roman" w:eastAsia="Times New Roman" w:hAnsi="Times New Roman" w:cs="Times New Roman"/>
          <w:b/>
          <w:sz w:val="24"/>
          <w:szCs w:val="24"/>
          <w:lang w:eastAsia="it-IT"/>
        </w:rPr>
        <w:t>(cap. 2183)</w:t>
      </w:r>
      <w:r w:rsidR="00D44E5E" w:rsidRPr="00D44E5E">
        <w:rPr>
          <w:rFonts w:ascii="Times New Roman" w:eastAsia="Times New Roman" w:hAnsi="Times New Roman" w:cs="Times New Roman"/>
          <w:bCs/>
          <w:sz w:val="24"/>
          <w:szCs w:val="24"/>
          <w:lang w:eastAsia="it-IT"/>
        </w:rPr>
        <w:t>,</w:t>
      </w:r>
      <w:r w:rsidR="00CE6817" w:rsidRPr="00D44E5E">
        <w:rPr>
          <w:rFonts w:ascii="Times New Roman" w:eastAsia="Times New Roman" w:hAnsi="Times New Roman" w:cs="Times New Roman"/>
          <w:bCs/>
          <w:sz w:val="24"/>
          <w:szCs w:val="24"/>
          <w:lang w:eastAsia="it-IT"/>
        </w:rPr>
        <w:t xml:space="preserve"> </w:t>
      </w:r>
      <w:r w:rsidR="00CE6817" w:rsidRPr="006B35E4">
        <w:rPr>
          <w:rFonts w:ascii="Times New Roman" w:eastAsia="Times New Roman" w:hAnsi="Times New Roman" w:cs="Times New Roman"/>
          <w:sz w:val="24"/>
          <w:szCs w:val="24"/>
          <w:lang w:eastAsia="it-IT"/>
        </w:rPr>
        <w:t>che passano da euro 9.782.667,00 a euro 9.688.168,00</w:t>
      </w:r>
      <w:r w:rsidR="00CE6817">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 </w:t>
      </w:r>
      <w:r w:rsidR="00CE6817">
        <w:rPr>
          <w:rFonts w:ascii="Times New Roman" w:eastAsia="Times New Roman" w:hAnsi="Times New Roman" w:cs="Times New Roman"/>
          <w:sz w:val="24"/>
          <w:szCs w:val="24"/>
          <w:lang w:eastAsia="it-IT"/>
        </w:rPr>
        <w:t>con</w:t>
      </w:r>
      <w:r w:rsidR="00CE6817" w:rsidRPr="006B35E4">
        <w:rPr>
          <w:rFonts w:ascii="Times New Roman" w:eastAsia="Times New Roman" w:hAnsi="Times New Roman" w:cs="Times New Roman"/>
          <w:sz w:val="24"/>
          <w:szCs w:val="24"/>
          <w:lang w:eastAsia="it-IT"/>
        </w:rPr>
        <w:t xml:space="preserve"> un </w:t>
      </w:r>
      <w:r w:rsidR="00CE6817">
        <w:rPr>
          <w:rFonts w:ascii="Times New Roman" w:eastAsia="Times New Roman" w:hAnsi="Times New Roman" w:cs="Times New Roman"/>
          <w:sz w:val="24"/>
          <w:szCs w:val="24"/>
          <w:lang w:eastAsia="it-IT"/>
        </w:rPr>
        <w:t>de</w:t>
      </w:r>
      <w:r w:rsidR="00CE6817" w:rsidRPr="006B35E4">
        <w:rPr>
          <w:rFonts w:ascii="Times New Roman" w:eastAsia="Times New Roman" w:hAnsi="Times New Roman" w:cs="Times New Roman"/>
          <w:sz w:val="24"/>
          <w:szCs w:val="24"/>
          <w:lang w:eastAsia="it-IT"/>
        </w:rPr>
        <w:t>cremento di euro 94.499,00</w:t>
      </w:r>
      <w:r w:rsidR="00CE6817">
        <w:rPr>
          <w:rFonts w:ascii="Times New Roman" w:eastAsia="Times New Roman" w:hAnsi="Times New Roman" w:cs="Times New Roman"/>
          <w:sz w:val="24"/>
          <w:szCs w:val="24"/>
          <w:lang w:eastAsia="it-IT"/>
        </w:rPr>
        <w:t xml:space="preserve"> e di quelle finalizzate agli i</w:t>
      </w:r>
      <w:r w:rsidR="00CE6817" w:rsidRPr="008E03EF">
        <w:rPr>
          <w:rFonts w:ascii="Times New Roman" w:eastAsia="Times New Roman" w:hAnsi="Times New Roman" w:cs="Times New Roman"/>
          <w:sz w:val="24"/>
          <w:szCs w:val="24"/>
          <w:lang w:eastAsia="it-IT"/>
        </w:rPr>
        <w:t>nterventi a favore dell</w:t>
      </w:r>
      <w:r w:rsidR="00877AAF">
        <w:rPr>
          <w:rFonts w:ascii="Times New Roman" w:eastAsia="Times New Roman" w:hAnsi="Times New Roman" w:cs="Times New Roman"/>
          <w:sz w:val="24"/>
          <w:szCs w:val="24"/>
          <w:lang w:eastAsia="it-IT"/>
        </w:rPr>
        <w:t>’</w:t>
      </w:r>
      <w:r w:rsidR="00CE6817">
        <w:rPr>
          <w:rFonts w:ascii="Times New Roman" w:eastAsia="Times New Roman" w:hAnsi="Times New Roman" w:cs="Times New Roman"/>
          <w:sz w:val="24"/>
          <w:szCs w:val="24"/>
          <w:lang w:eastAsia="it-IT"/>
        </w:rPr>
        <w:t>e</w:t>
      </w:r>
      <w:r w:rsidR="00CE6817" w:rsidRPr="008E03EF">
        <w:rPr>
          <w:rFonts w:ascii="Times New Roman" w:eastAsia="Times New Roman" w:hAnsi="Times New Roman" w:cs="Times New Roman"/>
          <w:sz w:val="24"/>
          <w:szCs w:val="24"/>
          <w:lang w:eastAsia="it-IT"/>
        </w:rPr>
        <w:t>ditoria ai sensi dell</w:t>
      </w:r>
      <w:r w:rsidR="00877AAF">
        <w:rPr>
          <w:rFonts w:ascii="Times New Roman" w:eastAsia="Times New Roman" w:hAnsi="Times New Roman" w:cs="Times New Roman"/>
          <w:sz w:val="24"/>
          <w:szCs w:val="24"/>
          <w:lang w:eastAsia="it-IT"/>
        </w:rPr>
        <w:t>’</w:t>
      </w:r>
      <w:r w:rsidR="00CE6817" w:rsidRPr="008E03EF">
        <w:rPr>
          <w:rFonts w:ascii="Times New Roman" w:eastAsia="Times New Roman" w:hAnsi="Times New Roman" w:cs="Times New Roman"/>
          <w:sz w:val="24"/>
          <w:szCs w:val="24"/>
          <w:lang w:eastAsia="it-IT"/>
        </w:rPr>
        <w:t>art</w:t>
      </w:r>
      <w:r w:rsidR="00CE6817">
        <w:rPr>
          <w:rFonts w:ascii="Times New Roman" w:eastAsia="Times New Roman" w:hAnsi="Times New Roman" w:cs="Times New Roman"/>
          <w:sz w:val="24"/>
          <w:szCs w:val="24"/>
          <w:lang w:eastAsia="it-IT"/>
        </w:rPr>
        <w:t xml:space="preserve">icolo </w:t>
      </w:r>
      <w:r w:rsidR="00CE6817" w:rsidRPr="008E03EF">
        <w:rPr>
          <w:rFonts w:ascii="Times New Roman" w:eastAsia="Times New Roman" w:hAnsi="Times New Roman" w:cs="Times New Roman"/>
          <w:sz w:val="24"/>
          <w:szCs w:val="24"/>
          <w:lang w:eastAsia="it-IT"/>
        </w:rPr>
        <w:t>1, c</w:t>
      </w:r>
      <w:r w:rsidR="00CE6817">
        <w:rPr>
          <w:rFonts w:ascii="Times New Roman" w:eastAsia="Times New Roman" w:hAnsi="Times New Roman" w:cs="Times New Roman"/>
          <w:sz w:val="24"/>
          <w:szCs w:val="24"/>
          <w:lang w:eastAsia="it-IT"/>
        </w:rPr>
        <w:t xml:space="preserve">omma </w:t>
      </w:r>
      <w:r w:rsidR="00CE6817" w:rsidRPr="008E03EF">
        <w:rPr>
          <w:rFonts w:ascii="Times New Roman" w:eastAsia="Times New Roman" w:hAnsi="Times New Roman" w:cs="Times New Roman"/>
          <w:sz w:val="24"/>
          <w:szCs w:val="24"/>
          <w:lang w:eastAsia="it-IT"/>
        </w:rPr>
        <w:t>6</w:t>
      </w:r>
      <w:r w:rsidR="00CE6817">
        <w:rPr>
          <w:rFonts w:ascii="Times New Roman" w:eastAsia="Times New Roman" w:hAnsi="Times New Roman" w:cs="Times New Roman"/>
          <w:sz w:val="24"/>
          <w:szCs w:val="24"/>
          <w:lang w:eastAsia="it-IT"/>
        </w:rPr>
        <w:t>,</w:t>
      </w:r>
      <w:r w:rsidR="00CE6817" w:rsidRPr="008E03EF">
        <w:rPr>
          <w:rFonts w:ascii="Times New Roman" w:eastAsia="Times New Roman" w:hAnsi="Times New Roman" w:cs="Times New Roman"/>
          <w:sz w:val="24"/>
          <w:szCs w:val="24"/>
          <w:lang w:eastAsia="it-IT"/>
        </w:rPr>
        <w:t xml:space="preserve"> </w:t>
      </w:r>
      <w:r w:rsidR="00CE6817">
        <w:rPr>
          <w:rFonts w:ascii="Times New Roman" w:eastAsia="Times New Roman" w:hAnsi="Times New Roman" w:cs="Times New Roman"/>
          <w:sz w:val="24"/>
          <w:szCs w:val="24"/>
          <w:lang w:eastAsia="it-IT"/>
        </w:rPr>
        <w:t>della l</w:t>
      </w:r>
      <w:r w:rsidR="00D44E5E">
        <w:rPr>
          <w:rFonts w:ascii="Times New Roman" w:eastAsia="Times New Roman" w:hAnsi="Times New Roman" w:cs="Times New Roman"/>
          <w:sz w:val="24"/>
          <w:szCs w:val="24"/>
          <w:lang w:eastAsia="it-IT"/>
        </w:rPr>
        <w:t xml:space="preserve">egge </w:t>
      </w:r>
      <w:r w:rsidR="00CE6817">
        <w:rPr>
          <w:rFonts w:ascii="Times New Roman" w:eastAsia="Times New Roman" w:hAnsi="Times New Roman" w:cs="Times New Roman"/>
          <w:sz w:val="24"/>
          <w:szCs w:val="24"/>
          <w:lang w:eastAsia="it-IT"/>
        </w:rPr>
        <w:t>n.</w:t>
      </w:r>
      <w:r w:rsidR="00CE6817" w:rsidRPr="008E03EF">
        <w:rPr>
          <w:rFonts w:ascii="Times New Roman" w:eastAsia="Times New Roman" w:hAnsi="Times New Roman" w:cs="Times New Roman"/>
          <w:sz w:val="24"/>
          <w:szCs w:val="24"/>
          <w:lang w:eastAsia="it-IT"/>
        </w:rPr>
        <w:t xml:space="preserve"> 198/2016 </w:t>
      </w:r>
      <w:r w:rsidR="00CE6817" w:rsidRPr="006B35E4">
        <w:rPr>
          <w:rFonts w:ascii="Times New Roman" w:eastAsia="Times New Roman" w:hAnsi="Times New Roman" w:cs="Times New Roman"/>
          <w:b/>
          <w:sz w:val="24"/>
          <w:szCs w:val="24"/>
          <w:lang w:eastAsia="it-IT"/>
        </w:rPr>
        <w:t>(cap. 21</w:t>
      </w:r>
      <w:r w:rsidR="00CE6817">
        <w:rPr>
          <w:rFonts w:ascii="Times New Roman" w:eastAsia="Times New Roman" w:hAnsi="Times New Roman" w:cs="Times New Roman"/>
          <w:b/>
          <w:sz w:val="24"/>
          <w:szCs w:val="24"/>
          <w:lang w:eastAsia="it-IT"/>
        </w:rPr>
        <w:t>9</w:t>
      </w:r>
      <w:r w:rsidR="00CE6817" w:rsidRPr="006B35E4">
        <w:rPr>
          <w:rFonts w:ascii="Times New Roman" w:eastAsia="Times New Roman" w:hAnsi="Times New Roman" w:cs="Times New Roman"/>
          <w:b/>
          <w:sz w:val="24"/>
          <w:szCs w:val="24"/>
          <w:lang w:eastAsia="it-IT"/>
        </w:rPr>
        <w:t>3)</w:t>
      </w:r>
      <w:r w:rsidR="00D44E5E" w:rsidRPr="00D44E5E">
        <w:rPr>
          <w:rFonts w:ascii="Times New Roman" w:eastAsia="Times New Roman" w:hAnsi="Times New Roman" w:cs="Times New Roman"/>
          <w:bCs/>
          <w:sz w:val="24"/>
          <w:szCs w:val="24"/>
          <w:lang w:eastAsia="it-IT"/>
        </w:rPr>
        <w:t>,</w:t>
      </w:r>
      <w:r w:rsidR="00CE6817">
        <w:rPr>
          <w:rFonts w:ascii="Times New Roman" w:eastAsia="Times New Roman" w:hAnsi="Times New Roman" w:cs="Times New Roman"/>
          <w:b/>
          <w:sz w:val="24"/>
          <w:szCs w:val="24"/>
          <w:lang w:eastAsia="it-IT"/>
        </w:rPr>
        <w:t xml:space="preserve"> </w:t>
      </w:r>
      <w:r w:rsidR="00CE6817" w:rsidRPr="008E03EF">
        <w:rPr>
          <w:rFonts w:ascii="Times New Roman" w:eastAsia="Times New Roman" w:hAnsi="Times New Roman" w:cs="Times New Roman"/>
          <w:sz w:val="24"/>
          <w:szCs w:val="24"/>
          <w:lang w:eastAsia="it-IT"/>
        </w:rPr>
        <w:t>che passano da euro 286.752.418,00 a euro 285.926.000,00</w:t>
      </w:r>
      <w:r w:rsidR="00CE6817">
        <w:rPr>
          <w:rFonts w:ascii="Times New Roman" w:eastAsia="Times New Roman" w:hAnsi="Times New Roman" w:cs="Times New Roman"/>
          <w:sz w:val="24"/>
          <w:szCs w:val="24"/>
          <w:lang w:eastAsia="it-IT"/>
        </w:rPr>
        <w:t xml:space="preserve">, con una diminuzione di euro </w:t>
      </w:r>
      <w:r w:rsidR="00CE6817" w:rsidRPr="008E03EF">
        <w:rPr>
          <w:rFonts w:ascii="Times New Roman" w:eastAsia="Times New Roman" w:hAnsi="Times New Roman" w:cs="Times New Roman"/>
          <w:sz w:val="24"/>
          <w:szCs w:val="24"/>
          <w:lang w:eastAsia="it-IT"/>
        </w:rPr>
        <w:t>826.418,00</w:t>
      </w:r>
      <w:r w:rsidR="00CE6817">
        <w:rPr>
          <w:rFonts w:ascii="Times New Roman" w:eastAsia="Times New Roman" w:hAnsi="Times New Roman" w:cs="Times New Roman"/>
          <w:sz w:val="24"/>
          <w:szCs w:val="24"/>
          <w:lang w:eastAsia="it-IT"/>
        </w:rPr>
        <w:t xml:space="preserve">. </w:t>
      </w:r>
      <w:r w:rsidR="00CE6817" w:rsidRPr="00EE0555">
        <w:rPr>
          <w:rFonts w:ascii="Times New Roman" w:eastAsia="Times New Roman" w:hAnsi="Times New Roman" w:cs="Times New Roman"/>
          <w:sz w:val="24"/>
          <w:szCs w:val="24"/>
          <w:lang w:eastAsia="it-IT"/>
        </w:rPr>
        <w:t>Anche nell</w:t>
      </w:r>
      <w:r w:rsidR="00877AAF">
        <w:rPr>
          <w:rFonts w:ascii="Times New Roman" w:eastAsia="Times New Roman" w:hAnsi="Times New Roman" w:cs="Times New Roman"/>
          <w:sz w:val="24"/>
          <w:szCs w:val="24"/>
          <w:lang w:eastAsia="it-IT"/>
        </w:rPr>
        <w:t>’</w:t>
      </w:r>
      <w:r w:rsidR="00CE6817" w:rsidRPr="00EE0555">
        <w:rPr>
          <w:rFonts w:ascii="Times New Roman" w:eastAsia="Times New Roman" w:hAnsi="Times New Roman" w:cs="Times New Roman"/>
          <w:sz w:val="24"/>
          <w:szCs w:val="24"/>
          <w:lang w:eastAsia="it-IT"/>
        </w:rPr>
        <w:t xml:space="preserve">ambito del </w:t>
      </w:r>
      <w:r w:rsidR="00CE6817" w:rsidRPr="00D866E1">
        <w:rPr>
          <w:rFonts w:ascii="Times New Roman" w:eastAsia="Times New Roman" w:hAnsi="Times New Roman" w:cs="Times New Roman"/>
          <w:b/>
          <w:sz w:val="24"/>
          <w:szCs w:val="24"/>
          <w:lang w:eastAsia="it-IT"/>
        </w:rPr>
        <w:t>Programma 15.3</w:t>
      </w:r>
      <w:r w:rsidR="00CE6817" w:rsidRPr="00EE0555">
        <w:t xml:space="preserve"> </w:t>
      </w:r>
      <w:r w:rsidR="00CE6817" w:rsidRPr="00D866E1">
        <w:rPr>
          <w:rFonts w:ascii="Times New Roman" w:eastAsia="Times New Roman" w:hAnsi="Times New Roman" w:cs="Times New Roman"/>
          <w:sz w:val="24"/>
          <w:szCs w:val="24"/>
          <w:lang w:eastAsia="it-IT"/>
        </w:rPr>
        <w:t>“Servizi postali”</w:t>
      </w:r>
      <w:r w:rsidR="00CE6817">
        <w:rPr>
          <w:rFonts w:ascii="Times New Roman" w:eastAsia="Times New Roman" w:hAnsi="Times New Roman" w:cs="Times New Roman"/>
          <w:sz w:val="24"/>
          <w:szCs w:val="24"/>
          <w:lang w:eastAsia="it-IT"/>
        </w:rPr>
        <w:t xml:space="preserve"> si registra una diminuzione delle risorse destinate a</w:t>
      </w:r>
      <w:r w:rsidR="00CE6817" w:rsidRPr="00EE0555">
        <w:rPr>
          <w:rFonts w:ascii="Times New Roman" w:eastAsia="Times New Roman" w:hAnsi="Times New Roman" w:cs="Times New Roman"/>
          <w:sz w:val="24"/>
          <w:szCs w:val="24"/>
          <w:lang w:eastAsia="it-IT"/>
        </w:rPr>
        <w:t xml:space="preserve">l </w:t>
      </w:r>
      <w:r w:rsidR="00CE6817">
        <w:rPr>
          <w:rFonts w:ascii="Times New Roman" w:eastAsia="Times New Roman" w:hAnsi="Times New Roman" w:cs="Times New Roman"/>
          <w:sz w:val="24"/>
          <w:szCs w:val="24"/>
          <w:lang w:eastAsia="it-IT"/>
        </w:rPr>
        <w:t>r</w:t>
      </w:r>
      <w:r w:rsidR="00CE6817" w:rsidRPr="00EE0555">
        <w:rPr>
          <w:rFonts w:ascii="Times New Roman" w:eastAsia="Times New Roman" w:hAnsi="Times New Roman" w:cs="Times New Roman"/>
          <w:sz w:val="24"/>
          <w:szCs w:val="24"/>
          <w:lang w:eastAsia="it-IT"/>
        </w:rPr>
        <w:t xml:space="preserve">imborso a Poste Italiane S.p.A. dei maggiori oneri per agevolazioni tariffarie </w:t>
      </w:r>
      <w:r w:rsidR="00CE6817" w:rsidRPr="00D866E1">
        <w:rPr>
          <w:rFonts w:ascii="Times New Roman" w:eastAsia="Times New Roman" w:hAnsi="Times New Roman" w:cs="Times New Roman"/>
          <w:b/>
          <w:sz w:val="24"/>
          <w:szCs w:val="24"/>
          <w:lang w:eastAsia="it-IT"/>
        </w:rPr>
        <w:t>(cap. 1496)</w:t>
      </w:r>
      <w:r w:rsidR="00D44E5E" w:rsidRPr="00D44E5E">
        <w:rPr>
          <w:rFonts w:ascii="Times New Roman" w:eastAsia="Times New Roman" w:hAnsi="Times New Roman" w:cs="Times New Roman"/>
          <w:bCs/>
          <w:sz w:val="24"/>
          <w:szCs w:val="24"/>
          <w:lang w:eastAsia="it-IT"/>
        </w:rPr>
        <w:t>,</w:t>
      </w:r>
      <w:r w:rsidR="00CE6817" w:rsidRPr="00EE0555">
        <w:rPr>
          <w:rFonts w:ascii="Times New Roman" w:eastAsia="Times New Roman" w:hAnsi="Times New Roman" w:cs="Times New Roman"/>
          <w:sz w:val="24"/>
          <w:szCs w:val="24"/>
          <w:lang w:eastAsia="it-IT"/>
        </w:rPr>
        <w:t xml:space="preserve"> che passano da 53.238.532,00 a euro 52.509.839,00</w:t>
      </w:r>
      <w:r w:rsidR="00CE6817">
        <w:rPr>
          <w:rFonts w:ascii="Times New Roman" w:eastAsia="Times New Roman" w:hAnsi="Times New Roman" w:cs="Times New Roman"/>
          <w:sz w:val="24"/>
          <w:szCs w:val="24"/>
          <w:lang w:eastAsia="it-IT"/>
        </w:rPr>
        <w:t>,</w:t>
      </w:r>
      <w:r w:rsidR="00CE6817" w:rsidRPr="00EE0555">
        <w:rPr>
          <w:rFonts w:ascii="Times New Roman" w:eastAsia="Times New Roman" w:hAnsi="Times New Roman" w:cs="Times New Roman"/>
          <w:sz w:val="24"/>
          <w:szCs w:val="24"/>
          <w:lang w:eastAsia="it-IT"/>
        </w:rPr>
        <w:t xml:space="preserve"> con una riduzione di euro 728.693,00</w:t>
      </w:r>
      <w:r w:rsidR="00CE6817">
        <w:rPr>
          <w:rFonts w:ascii="Times New Roman" w:eastAsia="Times New Roman" w:hAnsi="Times New Roman" w:cs="Times New Roman"/>
          <w:sz w:val="24"/>
          <w:szCs w:val="24"/>
          <w:lang w:eastAsia="it-IT"/>
        </w:rPr>
        <w:t>;</w:t>
      </w:r>
    </w:p>
    <w:p w14:paraId="26CF7346" w14:textId="77777777" w:rsidR="00CE6817" w:rsidRPr="000F0A1D" w:rsidRDefault="00CE6817" w:rsidP="00CE6817">
      <w:pPr>
        <w:spacing w:after="0" w:line="360" w:lineRule="auto"/>
        <w:jc w:val="both"/>
        <w:rPr>
          <w:rFonts w:ascii="Times New Roman" w:eastAsia="Times New Roman" w:hAnsi="Times New Roman" w:cs="Times New Roman"/>
          <w:sz w:val="12"/>
          <w:szCs w:val="24"/>
          <w:lang w:eastAsia="it-IT"/>
        </w:rPr>
      </w:pPr>
    </w:p>
    <w:p w14:paraId="7F86144D" w14:textId="72F55A69" w:rsidR="00CE6817" w:rsidRDefault="00C15EB4"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lastRenderedPageBreak/>
        <w:t>-</w:t>
      </w:r>
      <w:r w:rsidRPr="00C15EB4">
        <w:rPr>
          <w:rFonts w:ascii="Times New Roman" w:eastAsia="Times New Roman" w:hAnsi="Times New Roman" w:cs="Times New Roman"/>
          <w:sz w:val="24"/>
          <w:szCs w:val="24"/>
          <w:lang w:eastAsia="it-IT"/>
        </w:rPr>
        <w:t xml:space="preserve"> della</w:t>
      </w:r>
      <w:r w:rsidRPr="006B35E4">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b/>
          <w:sz w:val="24"/>
          <w:szCs w:val="24"/>
          <w:lang w:eastAsia="it-IT"/>
        </w:rPr>
        <w:t>Missione 17</w:t>
      </w:r>
      <w:r w:rsidR="00CE6817" w:rsidRPr="006B35E4">
        <w:rPr>
          <w:rFonts w:ascii="Times New Roman" w:eastAsia="Times New Roman" w:hAnsi="Times New Roman" w:cs="Times New Roman"/>
          <w:sz w:val="24"/>
          <w:szCs w:val="24"/>
          <w:lang w:eastAsia="it-IT"/>
        </w:rPr>
        <w:t xml:space="preserve"> “Ricerca e innovazione” e relativo </w:t>
      </w:r>
      <w:r w:rsidR="00CE6817" w:rsidRPr="006B35E4">
        <w:rPr>
          <w:rFonts w:ascii="Times New Roman" w:eastAsia="Times New Roman" w:hAnsi="Times New Roman" w:cs="Times New Roman"/>
          <w:b/>
          <w:sz w:val="24"/>
          <w:szCs w:val="24"/>
          <w:lang w:eastAsia="it-IT"/>
        </w:rPr>
        <w:t>Programma 17.15</w:t>
      </w:r>
      <w:r w:rsidR="00CE6817" w:rsidRPr="006B35E4">
        <w:rPr>
          <w:rFonts w:ascii="Times New Roman" w:eastAsia="Times New Roman" w:hAnsi="Times New Roman" w:cs="Times New Roman"/>
          <w:sz w:val="24"/>
          <w:szCs w:val="24"/>
          <w:lang w:eastAsia="it-IT"/>
        </w:rPr>
        <w:t xml:space="preserve"> “Ricerca di base e applicata” del 114,23 per cento. Si registra un aumento delle risorse destinate a favore dell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Agenzia spaziale europea </w:t>
      </w:r>
      <w:r w:rsidR="00CE6817" w:rsidRPr="006B35E4">
        <w:rPr>
          <w:rFonts w:ascii="Times New Roman" w:eastAsia="Times New Roman" w:hAnsi="Times New Roman" w:cs="Times New Roman"/>
          <w:b/>
          <w:sz w:val="24"/>
          <w:szCs w:val="24"/>
          <w:lang w:eastAsia="it-IT"/>
        </w:rPr>
        <w:t>(cap. 7477)</w:t>
      </w:r>
      <w:r w:rsidR="00CE6817" w:rsidRPr="00831446">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 in particolare per la realizzazione di programmi spaziali nazionali e in cooperazione internazionale, che passano da euro 541.000.000,00 a euro 547.000.000,00, con un incremento di euro 6.000.000,00</w:t>
      </w:r>
      <w:r w:rsidR="00CE6817">
        <w:rPr>
          <w:rFonts w:ascii="Times New Roman" w:eastAsia="Times New Roman" w:hAnsi="Times New Roman" w:cs="Times New Roman"/>
          <w:sz w:val="24"/>
          <w:szCs w:val="24"/>
          <w:lang w:eastAsia="it-IT"/>
        </w:rPr>
        <w:t xml:space="preserve"> e l</w:t>
      </w:r>
      <w:r w:rsidR="00877AAF">
        <w:rPr>
          <w:rFonts w:ascii="Times New Roman" w:eastAsia="Times New Roman" w:hAnsi="Times New Roman" w:cs="Times New Roman"/>
          <w:sz w:val="24"/>
          <w:szCs w:val="24"/>
          <w:lang w:eastAsia="it-IT"/>
        </w:rPr>
        <w:t>’</w:t>
      </w:r>
      <w:r w:rsidR="00CE6817">
        <w:rPr>
          <w:rFonts w:ascii="Times New Roman" w:eastAsia="Times New Roman" w:hAnsi="Times New Roman" w:cs="Times New Roman"/>
          <w:sz w:val="24"/>
          <w:szCs w:val="24"/>
          <w:lang w:eastAsia="it-IT"/>
        </w:rPr>
        <w:t>assegnazione di</w:t>
      </w:r>
      <w:r w:rsidR="00CE6817" w:rsidRPr="006B35E4">
        <w:rPr>
          <w:rFonts w:ascii="Times New Roman" w:eastAsia="Times New Roman" w:hAnsi="Times New Roman" w:cs="Times New Roman"/>
          <w:sz w:val="24"/>
          <w:szCs w:val="24"/>
          <w:lang w:eastAsia="it-IT"/>
        </w:rPr>
        <w:t xml:space="preserve"> nuove risorse per il finanziamento dell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Agenzia Spaziale Italiana (ASI) </w:t>
      </w:r>
      <w:r w:rsidR="00CE6817" w:rsidRPr="006B35E4">
        <w:rPr>
          <w:rFonts w:ascii="Times New Roman" w:eastAsia="Times New Roman" w:hAnsi="Times New Roman" w:cs="Times New Roman"/>
          <w:b/>
          <w:sz w:val="24"/>
          <w:szCs w:val="24"/>
          <w:lang w:eastAsia="it-IT"/>
        </w:rPr>
        <w:t>(cap.</w:t>
      </w:r>
      <w:r w:rsidR="00CE6817">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b/>
          <w:sz w:val="24"/>
          <w:szCs w:val="24"/>
          <w:lang w:eastAsia="it-IT"/>
        </w:rPr>
        <w:t xml:space="preserve">2320) </w:t>
      </w:r>
      <w:r w:rsidR="00CE6817" w:rsidRPr="006B35E4">
        <w:rPr>
          <w:rFonts w:ascii="Times New Roman" w:eastAsia="Times New Roman" w:hAnsi="Times New Roman" w:cs="Times New Roman"/>
          <w:sz w:val="24"/>
          <w:szCs w:val="24"/>
          <w:lang w:eastAsia="it-IT"/>
        </w:rPr>
        <w:t xml:space="preserve">per euro 499.000.00,00, per il Fondo complementare PNRR - tecnologie satellitari ed economia spaziale </w:t>
      </w:r>
      <w:r w:rsidR="00CE6817" w:rsidRPr="006B35E4">
        <w:rPr>
          <w:rFonts w:ascii="Times New Roman" w:eastAsia="Times New Roman" w:hAnsi="Times New Roman" w:cs="Times New Roman"/>
          <w:b/>
          <w:sz w:val="24"/>
          <w:szCs w:val="24"/>
          <w:lang w:eastAsia="it-IT"/>
        </w:rPr>
        <w:t>(cap.</w:t>
      </w:r>
      <w:r w:rsidR="00CE6817">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b/>
          <w:sz w:val="24"/>
          <w:szCs w:val="24"/>
          <w:lang w:eastAsia="it-IT"/>
        </w:rPr>
        <w:t xml:space="preserve">7486) </w:t>
      </w:r>
      <w:r w:rsidR="00CE6817" w:rsidRPr="006B35E4">
        <w:rPr>
          <w:rFonts w:ascii="Times New Roman" w:eastAsia="Times New Roman" w:hAnsi="Times New Roman" w:cs="Times New Roman"/>
          <w:sz w:val="24"/>
          <w:szCs w:val="24"/>
          <w:lang w:eastAsia="it-IT"/>
        </w:rPr>
        <w:t xml:space="preserve">di euro 65.980.000,00 e per la partecipazione italiana al programma spaziale ARTEMIS </w:t>
      </w:r>
      <w:r w:rsidR="00CE6817" w:rsidRPr="006B35E4">
        <w:rPr>
          <w:rFonts w:ascii="Times New Roman" w:eastAsia="Times New Roman" w:hAnsi="Times New Roman" w:cs="Times New Roman"/>
          <w:b/>
          <w:sz w:val="24"/>
          <w:szCs w:val="24"/>
          <w:lang w:eastAsia="it-IT"/>
        </w:rPr>
        <w:t xml:space="preserve">(cap. 7488) </w:t>
      </w:r>
      <w:r w:rsidR="00CE6817" w:rsidRPr="006B35E4">
        <w:rPr>
          <w:rFonts w:ascii="Times New Roman" w:eastAsia="Times New Roman" w:hAnsi="Times New Roman" w:cs="Times New Roman"/>
          <w:sz w:val="24"/>
          <w:szCs w:val="24"/>
          <w:lang w:eastAsia="it-IT"/>
        </w:rPr>
        <w:t>di euro 80.000.000,00.</w:t>
      </w:r>
    </w:p>
    <w:p w14:paraId="55C5BFF0" w14:textId="1B872836"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A fronte di tali aumenti, </w:t>
      </w:r>
      <w:r w:rsidRPr="006B35E4">
        <w:rPr>
          <w:rFonts w:ascii="Times New Roman" w:eastAsia="Times New Roman" w:hAnsi="Times New Roman" w:cs="Times New Roman"/>
          <w:sz w:val="24"/>
          <w:szCs w:val="24"/>
          <w:lang w:eastAsia="it-IT"/>
        </w:rPr>
        <w:t xml:space="preserve">risultano in diminuzione le risorse destinate a favore della Fondazione </w:t>
      </w:r>
      <w:proofErr w:type="spellStart"/>
      <w:r w:rsidRPr="006B35E4">
        <w:rPr>
          <w:rFonts w:ascii="Times New Roman" w:eastAsia="Times New Roman" w:hAnsi="Times New Roman" w:cs="Times New Roman"/>
          <w:sz w:val="24"/>
          <w:szCs w:val="24"/>
          <w:lang w:eastAsia="it-IT"/>
        </w:rPr>
        <w:t>Rimed</w:t>
      </w:r>
      <w:proofErr w:type="spellEnd"/>
      <w:r w:rsidR="00C15EB4">
        <w:rPr>
          <w:rFonts w:ascii="Times New Roman" w:eastAsia="Times New Roman" w:hAnsi="Times New Roman" w:cs="Times New Roman"/>
          <w:sz w:val="24"/>
          <w:szCs w:val="24"/>
          <w:lang w:eastAsia="it-IT"/>
        </w:rPr>
        <w:t xml:space="preserve"> che promuove, sostiene, conduce progetti di ricerca biomedica e biotecnologica</w:t>
      </w:r>
      <w:r w:rsidRPr="006B35E4">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(cap.</w:t>
      </w:r>
      <w:r>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b/>
          <w:sz w:val="24"/>
          <w:szCs w:val="24"/>
          <w:lang w:eastAsia="it-IT"/>
        </w:rPr>
        <w:t>7386)</w:t>
      </w:r>
      <w:r w:rsidR="00D44E5E" w:rsidRPr="00D44E5E">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24.370.997,00 a euro 19.229.938,00</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una d</w:t>
      </w:r>
      <w:r>
        <w:rPr>
          <w:rFonts w:ascii="Times New Roman" w:eastAsia="Times New Roman" w:hAnsi="Times New Roman" w:cs="Times New Roman"/>
          <w:sz w:val="24"/>
          <w:szCs w:val="24"/>
          <w:lang w:eastAsia="it-IT"/>
        </w:rPr>
        <w:t>iminuzione di euro 5.141.059,00;</w:t>
      </w:r>
    </w:p>
    <w:p w14:paraId="1E613EAB" w14:textId="77777777" w:rsidR="00CE6817" w:rsidRPr="00BC3E45" w:rsidRDefault="00CE6817" w:rsidP="00CE6817">
      <w:pPr>
        <w:spacing w:after="0" w:line="360" w:lineRule="auto"/>
        <w:jc w:val="both"/>
        <w:rPr>
          <w:rFonts w:ascii="Times New Roman" w:eastAsia="Times New Roman" w:hAnsi="Times New Roman" w:cs="Times New Roman"/>
          <w:sz w:val="12"/>
          <w:szCs w:val="24"/>
          <w:lang w:eastAsia="it-IT"/>
        </w:rPr>
      </w:pPr>
    </w:p>
    <w:p w14:paraId="13ADEFDB" w14:textId="3D6941C2" w:rsidR="00CE6817" w:rsidRDefault="00C15EB4"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t>-</w:t>
      </w:r>
      <w:r w:rsidRPr="00C15EB4">
        <w:rPr>
          <w:rFonts w:ascii="Times New Roman" w:eastAsia="Times New Roman" w:hAnsi="Times New Roman" w:cs="Times New Roman"/>
          <w:sz w:val="24"/>
          <w:szCs w:val="24"/>
          <w:lang w:eastAsia="it-IT"/>
        </w:rPr>
        <w:t xml:space="preserve"> della</w:t>
      </w:r>
      <w:r w:rsidRPr="006B35E4">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b/>
          <w:sz w:val="24"/>
          <w:szCs w:val="24"/>
          <w:lang w:eastAsia="it-IT"/>
        </w:rPr>
        <w:t>Missione 32</w:t>
      </w:r>
      <w:r w:rsidR="00CE6817" w:rsidRPr="006B35E4">
        <w:rPr>
          <w:rFonts w:ascii="Times New Roman" w:eastAsia="Times New Roman" w:hAnsi="Times New Roman" w:cs="Times New Roman"/>
          <w:sz w:val="24"/>
          <w:szCs w:val="24"/>
          <w:lang w:eastAsia="it-IT"/>
        </w:rPr>
        <w:t xml:space="preserve"> “Servizi istituzionali e generali delle amministrazioni pubbliche” e relativo </w:t>
      </w:r>
      <w:r w:rsidR="00CE6817" w:rsidRPr="006B35E4">
        <w:rPr>
          <w:rFonts w:ascii="Times New Roman" w:eastAsia="Times New Roman" w:hAnsi="Times New Roman" w:cs="Times New Roman"/>
          <w:b/>
          <w:sz w:val="24"/>
          <w:szCs w:val="24"/>
          <w:lang w:eastAsia="it-IT"/>
        </w:rPr>
        <w:t>Programma 32.4</w:t>
      </w:r>
      <w:r w:rsidR="00CE6817" w:rsidRPr="006B35E4">
        <w:rPr>
          <w:rFonts w:ascii="Times New Roman" w:eastAsia="Times New Roman" w:hAnsi="Times New Roman" w:cs="Times New Roman"/>
          <w:sz w:val="24"/>
          <w:szCs w:val="24"/>
          <w:lang w:eastAsia="it-IT"/>
        </w:rPr>
        <w:t xml:space="preserve"> “Servizi generali delle strutture pubbliche preposte ad attività formative e ad altre attività trasversali per le pubbliche amministrazioni” del 64,01 per cento. </w:t>
      </w:r>
      <w:r>
        <w:rPr>
          <w:rFonts w:ascii="Times New Roman" w:eastAsia="Times New Roman" w:hAnsi="Times New Roman" w:cs="Times New Roman"/>
          <w:sz w:val="24"/>
          <w:szCs w:val="24"/>
          <w:lang w:eastAsia="it-IT"/>
        </w:rPr>
        <w:t>In particolare, r</w:t>
      </w:r>
      <w:r w:rsidR="00CE6817">
        <w:rPr>
          <w:rFonts w:ascii="Times New Roman" w:eastAsia="Times New Roman" w:hAnsi="Times New Roman" w:cs="Times New Roman"/>
          <w:sz w:val="24"/>
          <w:szCs w:val="24"/>
          <w:lang w:eastAsia="it-IT"/>
        </w:rPr>
        <w:t>isultano in</w:t>
      </w:r>
      <w:r w:rsidR="00CE6817" w:rsidRPr="006B35E4">
        <w:rPr>
          <w:rFonts w:ascii="Times New Roman" w:eastAsia="Times New Roman" w:hAnsi="Times New Roman" w:cs="Times New Roman"/>
          <w:sz w:val="24"/>
          <w:szCs w:val="24"/>
          <w:lang w:eastAsia="it-IT"/>
        </w:rPr>
        <w:t xml:space="preserve"> aumento</w:t>
      </w:r>
      <w:r w:rsidR="00CE6817">
        <w:rPr>
          <w:rFonts w:ascii="Times New Roman" w:eastAsia="Times New Roman" w:hAnsi="Times New Roman" w:cs="Times New Roman"/>
          <w:sz w:val="24"/>
          <w:szCs w:val="24"/>
          <w:lang w:eastAsia="it-IT"/>
        </w:rPr>
        <w:t>:</w:t>
      </w:r>
    </w:p>
    <w:p w14:paraId="12D74DD9" w14:textId="4EBEEB43"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le</w:t>
      </w:r>
      <w:r w:rsidRPr="006B35E4">
        <w:rPr>
          <w:rFonts w:ascii="Times New Roman" w:eastAsia="Times New Roman" w:hAnsi="Times New Roman" w:cs="Times New Roman"/>
          <w:sz w:val="24"/>
          <w:szCs w:val="24"/>
          <w:lang w:eastAsia="it-IT"/>
        </w:rPr>
        <w:t xml:space="preserve"> risorse finanziarie destinate all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a</w:t>
      </w:r>
      <w:r w:rsidRPr="006B35E4">
        <w:rPr>
          <w:rFonts w:ascii="Times New Roman" w:eastAsia="Times New Roman" w:hAnsi="Times New Roman" w:cs="Times New Roman"/>
          <w:sz w:val="24"/>
          <w:szCs w:val="24"/>
          <w:lang w:eastAsia="it-IT"/>
        </w:rPr>
        <w:t>ttuazione degli obiettivi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Agenda digitale italiana </w:t>
      </w:r>
      <w:r w:rsidRPr="006B35E4">
        <w:rPr>
          <w:rFonts w:ascii="Times New Roman" w:eastAsia="Times New Roman" w:hAnsi="Times New Roman" w:cs="Times New Roman"/>
          <w:b/>
          <w:sz w:val="24"/>
          <w:szCs w:val="24"/>
          <w:lang w:eastAsia="it-IT"/>
        </w:rPr>
        <w:t>(cap. 2010)</w:t>
      </w:r>
      <w:r w:rsidR="002604A8" w:rsidRPr="002604A8">
        <w:rPr>
          <w:rFonts w:ascii="Times New Roman" w:eastAsia="Times New Roman" w:hAnsi="Times New Roman" w:cs="Times New Roman"/>
          <w:bCs/>
          <w:sz w:val="24"/>
          <w:szCs w:val="24"/>
          <w:lang w:eastAsia="it-IT"/>
        </w:rPr>
        <w:t>,</w:t>
      </w:r>
      <w:r w:rsidRPr="002604A8">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sz w:val="24"/>
          <w:szCs w:val="24"/>
          <w:lang w:eastAsia="it-IT"/>
        </w:rPr>
        <w:t>che passano da euro 13.849.040,00 a euro 18.768.982,00, con un incremento di euro 4.919.942,00;</w:t>
      </w:r>
    </w:p>
    <w:p w14:paraId="68D23487" w14:textId="165E6787"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le somme destinate</w:t>
      </w:r>
      <w:r w:rsidRPr="006B35E4">
        <w:rPr>
          <w:rFonts w:ascii="Times New Roman" w:eastAsia="Times New Roman" w:hAnsi="Times New Roman" w:cs="Times New Roman"/>
          <w:sz w:val="24"/>
          <w:szCs w:val="24"/>
          <w:lang w:eastAsia="it-IT"/>
        </w:rPr>
        <w:t xml:space="preserve"> alla Scuola nazionale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amministrazione </w:t>
      </w:r>
      <w:r w:rsidRPr="006B35E4">
        <w:rPr>
          <w:rFonts w:ascii="Times New Roman" w:eastAsia="Times New Roman" w:hAnsi="Times New Roman" w:cs="Times New Roman"/>
          <w:b/>
          <w:sz w:val="24"/>
          <w:szCs w:val="24"/>
          <w:lang w:eastAsia="it-IT"/>
        </w:rPr>
        <w:t>(cap. 5217)</w:t>
      </w:r>
      <w:r w:rsidR="00031508" w:rsidRPr="00031508">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che passano da euro 13.639.282,00 a</w:t>
      </w:r>
      <w:r w:rsidR="00031508">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euro 14.743.601,00, con un incremento di euro 1</w:t>
      </w:r>
      <w:r w:rsidRPr="006B35E4">
        <w:rPr>
          <w:rFonts w:ascii="Times New Roman" w:eastAsia="Times New Roman" w:hAnsi="Times New Roman" w:cs="Times New Roman"/>
          <w:sz w:val="24"/>
          <w:szCs w:val="24"/>
          <w:lang w:eastAsia="it-IT"/>
        </w:rPr>
        <w:t>.104.319,00</w:t>
      </w:r>
      <w:r>
        <w:rPr>
          <w:rFonts w:ascii="Times New Roman" w:eastAsia="Times New Roman" w:hAnsi="Times New Roman" w:cs="Times New Roman"/>
          <w:sz w:val="24"/>
          <w:szCs w:val="24"/>
          <w:lang w:eastAsia="it-IT"/>
        </w:rPr>
        <w:t>;</w:t>
      </w:r>
    </w:p>
    <w:p w14:paraId="63360FCF" w14:textId="77777777" w:rsidR="00CE6817" w:rsidRPr="00EC1485"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le risorse per il </w:t>
      </w:r>
      <w:r w:rsidRPr="006B35E4">
        <w:rPr>
          <w:rFonts w:ascii="Times New Roman" w:eastAsia="Times New Roman" w:hAnsi="Times New Roman" w:cs="Times New Roman"/>
          <w:sz w:val="24"/>
          <w:szCs w:val="24"/>
          <w:lang w:eastAsia="it-IT"/>
        </w:rPr>
        <w:t xml:space="preserve">Fondo innovazione tecnologica e digitalizzazione </w:t>
      </w:r>
      <w:r w:rsidRPr="006B35E4">
        <w:rPr>
          <w:rFonts w:ascii="Times New Roman" w:eastAsia="Times New Roman" w:hAnsi="Times New Roman" w:cs="Times New Roman"/>
          <w:b/>
          <w:sz w:val="24"/>
          <w:szCs w:val="24"/>
          <w:lang w:eastAsia="it-IT"/>
        </w:rPr>
        <w:t>(cap. 7032</w:t>
      </w:r>
      <w:r w:rsidRPr="00EC1485">
        <w:rPr>
          <w:rFonts w:ascii="Times New Roman" w:eastAsia="Times New Roman" w:hAnsi="Times New Roman" w:cs="Times New Roman"/>
          <w:b/>
          <w:sz w:val="24"/>
          <w:szCs w:val="24"/>
          <w:lang w:eastAsia="it-IT"/>
        </w:rPr>
        <w:t>)</w:t>
      </w:r>
      <w:r w:rsidRPr="00EC1485">
        <w:rPr>
          <w:rFonts w:ascii="Times New Roman" w:eastAsia="Times New Roman" w:hAnsi="Times New Roman" w:cs="Times New Roman"/>
          <w:sz w:val="24"/>
          <w:szCs w:val="24"/>
          <w:lang w:eastAsia="it-IT"/>
        </w:rPr>
        <w:t>, di euro 5.000.000,00, passando da euro 50.000.000,00 a euro 55.000.000,00;</w:t>
      </w:r>
    </w:p>
    <w:p w14:paraId="2C096034" w14:textId="77777777"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le risorse destinate </w:t>
      </w:r>
      <w:r w:rsidRPr="006B35E4">
        <w:rPr>
          <w:rFonts w:ascii="Times New Roman" w:eastAsia="Times New Roman" w:hAnsi="Times New Roman" w:cs="Times New Roman"/>
          <w:sz w:val="24"/>
          <w:szCs w:val="24"/>
          <w:lang w:eastAsia="it-IT"/>
        </w:rPr>
        <w:t xml:space="preserve">al Fondo complementare PNRR - piattaforma PAGOPA e app "IO" </w:t>
      </w:r>
      <w:r w:rsidRPr="006B35E4">
        <w:rPr>
          <w:rFonts w:ascii="Times New Roman" w:eastAsia="Times New Roman" w:hAnsi="Times New Roman" w:cs="Times New Roman"/>
          <w:b/>
          <w:sz w:val="24"/>
          <w:szCs w:val="24"/>
          <w:lang w:eastAsia="it-IT"/>
        </w:rPr>
        <w:t>(cap. 7484)</w:t>
      </w:r>
      <w:r>
        <w:rPr>
          <w:rFonts w:ascii="Times New Roman" w:eastAsia="Times New Roman" w:hAnsi="Times New Roman" w:cs="Times New Roman"/>
          <w:b/>
          <w:sz w:val="24"/>
          <w:szCs w:val="24"/>
          <w:lang w:eastAsia="it-IT"/>
        </w:rPr>
        <w:t>,</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che passano da euro 50.000.000,00 a euro 100.000.000,00, con un incremento di euro 50.000.000,00;</w:t>
      </w:r>
    </w:p>
    <w:p w14:paraId="7EBC62DC" w14:textId="77777777"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le somme destinate </w:t>
      </w:r>
      <w:r w:rsidRPr="006B35E4">
        <w:rPr>
          <w:rFonts w:ascii="Times New Roman" w:eastAsia="Times New Roman" w:hAnsi="Times New Roman" w:cs="Times New Roman"/>
          <w:sz w:val="24"/>
          <w:szCs w:val="24"/>
          <w:lang w:eastAsia="it-IT"/>
        </w:rPr>
        <w:t xml:space="preserve">al Fondo complementare PNRR - piattaforma notifiche digitali </w:t>
      </w:r>
      <w:r w:rsidRPr="006B35E4">
        <w:rPr>
          <w:rFonts w:ascii="Times New Roman" w:eastAsia="Times New Roman" w:hAnsi="Times New Roman" w:cs="Times New Roman"/>
          <w:b/>
          <w:sz w:val="24"/>
          <w:szCs w:val="24"/>
          <w:lang w:eastAsia="it-IT"/>
        </w:rPr>
        <w:t>(cap. 7485)</w:t>
      </w:r>
      <w:r w:rsidRPr="004D57AD">
        <w:rPr>
          <w:rFonts w:ascii="Times New Roman" w:eastAsia="Times New Roman" w:hAnsi="Times New Roman" w:cs="Times New Roman"/>
          <w:sz w:val="24"/>
          <w:szCs w:val="24"/>
          <w:lang w:eastAsia="it-IT"/>
        </w:rPr>
        <w:t>, di euro</w:t>
      </w:r>
      <w:r>
        <w:rPr>
          <w:rFonts w:ascii="Times New Roman" w:eastAsia="Times New Roman" w:hAnsi="Times New Roman" w:cs="Times New Roman"/>
          <w:b/>
          <w:sz w:val="24"/>
          <w:szCs w:val="24"/>
          <w:lang w:eastAsia="it-IT"/>
        </w:rPr>
        <w:t xml:space="preserve"> </w:t>
      </w:r>
      <w:r>
        <w:rPr>
          <w:rFonts w:ascii="Times New Roman" w:eastAsia="Times New Roman" w:hAnsi="Times New Roman" w:cs="Times New Roman"/>
          <w:sz w:val="24"/>
          <w:szCs w:val="24"/>
          <w:lang w:eastAsia="it-IT"/>
        </w:rPr>
        <w:t>46.080.000,00, passando da euro 730.000,00 a euro 46.810.000,00.</w:t>
      </w:r>
    </w:p>
    <w:p w14:paraId="65FF4D18" w14:textId="77777777" w:rsidR="006B4C3C" w:rsidRDefault="00A00B73"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Infine</w:t>
      </w:r>
      <w:r w:rsidR="00CE6817" w:rsidRPr="00831446">
        <w:rPr>
          <w:rFonts w:ascii="Times New Roman" w:eastAsia="Times New Roman" w:hAnsi="Times New Roman" w:cs="Times New Roman"/>
          <w:sz w:val="24"/>
          <w:szCs w:val="24"/>
          <w:lang w:eastAsia="it-IT"/>
        </w:rPr>
        <w:t>, sono state previste nuove risorse destinate al</w:t>
      </w:r>
      <w:r w:rsidR="00CE6817">
        <w:rPr>
          <w:rFonts w:ascii="Times New Roman" w:eastAsia="Times New Roman" w:hAnsi="Times New Roman" w:cs="Times New Roman"/>
          <w:sz w:val="24"/>
          <w:szCs w:val="24"/>
          <w:lang w:eastAsia="it-IT"/>
        </w:rPr>
        <w:t xml:space="preserve"> Fondo per la f</w:t>
      </w:r>
      <w:r w:rsidR="00CE6817" w:rsidRPr="008551A3">
        <w:rPr>
          <w:rFonts w:ascii="Times New Roman" w:eastAsia="Times New Roman" w:hAnsi="Times New Roman" w:cs="Times New Roman"/>
          <w:sz w:val="24"/>
          <w:szCs w:val="24"/>
          <w:lang w:eastAsia="it-IT"/>
        </w:rPr>
        <w:t xml:space="preserve">ormazione digitale, ecologica e amministrativa dei dipendenti della pubblica amministrazione </w:t>
      </w:r>
      <w:r w:rsidR="00CE6817">
        <w:rPr>
          <w:rFonts w:ascii="Times New Roman" w:eastAsia="Times New Roman" w:hAnsi="Times New Roman" w:cs="Times New Roman"/>
          <w:b/>
          <w:sz w:val="24"/>
          <w:szCs w:val="24"/>
          <w:lang w:eastAsia="it-IT"/>
        </w:rPr>
        <w:t xml:space="preserve">(cap. 2159) </w:t>
      </w:r>
      <w:r w:rsidR="00CE6817" w:rsidRPr="004D57AD">
        <w:rPr>
          <w:rFonts w:ascii="Times New Roman" w:eastAsia="Times New Roman" w:hAnsi="Times New Roman" w:cs="Times New Roman"/>
          <w:sz w:val="24"/>
          <w:szCs w:val="24"/>
          <w:lang w:eastAsia="it-IT"/>
        </w:rPr>
        <w:t>per</w:t>
      </w:r>
      <w:r w:rsidR="00CE6817" w:rsidRPr="00831446">
        <w:rPr>
          <w:rFonts w:ascii="Times New Roman" w:eastAsia="Times New Roman" w:hAnsi="Times New Roman" w:cs="Times New Roman"/>
          <w:sz w:val="24"/>
          <w:szCs w:val="24"/>
          <w:lang w:eastAsia="it-IT"/>
        </w:rPr>
        <w:t xml:space="preserve"> euro</w:t>
      </w:r>
      <w:r w:rsidR="00CE6817">
        <w:rPr>
          <w:rFonts w:ascii="Times New Roman" w:eastAsia="Times New Roman" w:hAnsi="Times New Roman" w:cs="Times New Roman"/>
          <w:sz w:val="24"/>
          <w:szCs w:val="24"/>
          <w:lang w:eastAsia="it-IT"/>
        </w:rPr>
        <w:t xml:space="preserve"> 50</w:t>
      </w:r>
      <w:r w:rsidR="00CE6817" w:rsidRPr="00831446">
        <w:rPr>
          <w:rFonts w:ascii="Times New Roman" w:eastAsia="Times New Roman" w:hAnsi="Times New Roman" w:cs="Times New Roman"/>
          <w:sz w:val="24"/>
          <w:szCs w:val="24"/>
          <w:lang w:eastAsia="it-IT"/>
        </w:rPr>
        <w:t>.000.000,00</w:t>
      </w:r>
      <w:r w:rsidR="00CE6817">
        <w:rPr>
          <w:rFonts w:ascii="Times New Roman" w:eastAsia="Times New Roman" w:hAnsi="Times New Roman" w:cs="Times New Roman"/>
          <w:sz w:val="24"/>
          <w:szCs w:val="24"/>
          <w:lang w:eastAsia="it-IT"/>
        </w:rPr>
        <w:t>.</w:t>
      </w:r>
      <w:r w:rsidR="006B4C3C">
        <w:rPr>
          <w:rFonts w:ascii="Times New Roman" w:eastAsia="Times New Roman" w:hAnsi="Times New Roman" w:cs="Times New Roman"/>
          <w:sz w:val="24"/>
          <w:szCs w:val="24"/>
          <w:lang w:eastAsia="it-IT"/>
        </w:rPr>
        <w:t xml:space="preserve">  </w:t>
      </w:r>
    </w:p>
    <w:p w14:paraId="0008DC46" w14:textId="2F655AE4" w:rsidR="00CE6817" w:rsidRPr="00C15EB4" w:rsidRDefault="006B4C3C" w:rsidP="00CE6817">
      <w:pPr>
        <w:spacing w:after="0" w:line="360" w:lineRule="auto"/>
        <w:jc w:val="both"/>
        <w:rPr>
          <w:rFonts w:ascii="Times New Roman" w:eastAsia="Times New Roman" w:hAnsi="Times New Roman" w:cs="Times New Roman"/>
          <w:sz w:val="24"/>
          <w:szCs w:val="24"/>
          <w:lang w:eastAsia="it-IT"/>
        </w:rPr>
      </w:pPr>
      <w:r w:rsidRPr="00C20E69">
        <w:rPr>
          <w:rFonts w:ascii="Times New Roman" w:eastAsia="Times New Roman" w:hAnsi="Times New Roman" w:cs="Times New Roman"/>
          <w:sz w:val="24"/>
          <w:szCs w:val="24"/>
          <w:lang w:eastAsia="it-IT"/>
        </w:rPr>
        <w:t xml:space="preserve">A fronte di tali aumenti, risultano in diminuzione le risorse destinate a favore del FORMEZ </w:t>
      </w:r>
      <w:r w:rsidR="00E719AD">
        <w:rPr>
          <w:rFonts w:ascii="Times New Roman" w:eastAsia="Times New Roman" w:hAnsi="Times New Roman" w:cs="Times New Roman"/>
          <w:b/>
          <w:sz w:val="24"/>
          <w:szCs w:val="24"/>
          <w:lang w:eastAsia="it-IT"/>
        </w:rPr>
        <w:t>(cap. 5200)</w:t>
      </w:r>
      <w:r w:rsidR="00E719AD" w:rsidRPr="00E719AD">
        <w:rPr>
          <w:rFonts w:ascii="Times New Roman" w:eastAsia="Times New Roman" w:hAnsi="Times New Roman" w:cs="Times New Roman"/>
          <w:bCs/>
          <w:sz w:val="24"/>
          <w:szCs w:val="24"/>
          <w:lang w:eastAsia="it-IT"/>
        </w:rPr>
        <w:t>,</w:t>
      </w:r>
      <w:r w:rsidR="00E719AD">
        <w:rPr>
          <w:rFonts w:ascii="Times New Roman" w:eastAsia="Times New Roman" w:hAnsi="Times New Roman" w:cs="Times New Roman"/>
          <w:b/>
          <w:sz w:val="24"/>
          <w:szCs w:val="24"/>
          <w:lang w:eastAsia="it-IT"/>
        </w:rPr>
        <w:t xml:space="preserve"> </w:t>
      </w:r>
      <w:r w:rsidRPr="00C20E69">
        <w:rPr>
          <w:rFonts w:ascii="Times New Roman" w:eastAsia="Times New Roman" w:hAnsi="Times New Roman" w:cs="Times New Roman"/>
          <w:sz w:val="24"/>
          <w:szCs w:val="24"/>
          <w:lang w:eastAsia="it-IT"/>
        </w:rPr>
        <w:t>che passano da euro 28.900.611,00 a euro 17.400.611,00, con una diminuzione di euro 11.500.000,00.</w:t>
      </w:r>
      <w:r>
        <w:rPr>
          <w:rFonts w:ascii="Times New Roman" w:eastAsia="Times New Roman" w:hAnsi="Times New Roman" w:cs="Times New Roman"/>
          <w:sz w:val="24"/>
          <w:szCs w:val="24"/>
          <w:lang w:eastAsia="it-IT"/>
        </w:rPr>
        <w:t xml:space="preserve"> </w:t>
      </w:r>
    </w:p>
    <w:p w14:paraId="6EF70F57" w14:textId="77777777" w:rsidR="00CE6817" w:rsidRPr="003902D5" w:rsidRDefault="00CE6817" w:rsidP="00CE6817">
      <w:pPr>
        <w:spacing w:after="0" w:line="360" w:lineRule="auto"/>
        <w:jc w:val="both"/>
        <w:rPr>
          <w:rFonts w:ascii="Times New Roman" w:eastAsia="Times New Roman" w:hAnsi="Times New Roman" w:cs="Times New Roman"/>
          <w:b/>
          <w:sz w:val="12"/>
          <w:szCs w:val="24"/>
          <w:lang w:eastAsia="it-IT"/>
        </w:rPr>
      </w:pPr>
    </w:p>
    <w:p w14:paraId="1714795E" w14:textId="5A3C3B43" w:rsidR="00CE6817"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Va sottolineato</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inoltre, </w:t>
      </w:r>
      <w:r w:rsidRPr="006B35E4">
        <w:rPr>
          <w:rFonts w:ascii="Times New Roman" w:eastAsia="Times New Roman" w:hAnsi="Times New Roman" w:cs="Times New Roman"/>
          <w:sz w:val="24"/>
          <w:szCs w:val="24"/>
          <w:lang w:eastAsia="it-IT"/>
        </w:rPr>
        <w:t>che nel 2022</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sono state assegnate nuove risorse finanziarie alla Presidenza del Consiglio dei ministri nell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ambito della </w:t>
      </w:r>
      <w:r w:rsidRPr="00C40E31">
        <w:rPr>
          <w:rFonts w:ascii="Times New Roman" w:eastAsia="Times New Roman" w:hAnsi="Times New Roman" w:cs="Times New Roman"/>
          <w:b/>
          <w:sz w:val="24"/>
          <w:szCs w:val="24"/>
          <w:lang w:eastAsia="it-IT"/>
        </w:rPr>
        <w:t>Missione 3</w:t>
      </w:r>
      <w:r w:rsidRPr="006B35E4">
        <w:rPr>
          <w:rFonts w:ascii="Times New Roman" w:eastAsia="Times New Roman" w:hAnsi="Times New Roman" w:cs="Times New Roman"/>
          <w:sz w:val="24"/>
          <w:szCs w:val="24"/>
          <w:lang w:eastAsia="it-IT"/>
        </w:rPr>
        <w:t xml:space="preserve"> “Relazioni finanziarie con le autonomie territoriali”, </w:t>
      </w:r>
      <w:r w:rsidRPr="00C40E31">
        <w:rPr>
          <w:rFonts w:ascii="Times New Roman" w:eastAsia="Times New Roman" w:hAnsi="Times New Roman" w:cs="Times New Roman"/>
          <w:b/>
          <w:sz w:val="24"/>
          <w:szCs w:val="24"/>
          <w:lang w:eastAsia="it-IT"/>
        </w:rPr>
        <w:t>Programma 3.5</w:t>
      </w:r>
      <w:r w:rsidRPr="006B35E4">
        <w:rPr>
          <w:rFonts w:ascii="Times New Roman" w:eastAsia="Times New Roman" w:hAnsi="Times New Roman" w:cs="Times New Roman"/>
          <w:sz w:val="24"/>
          <w:szCs w:val="24"/>
          <w:lang w:eastAsia="it-IT"/>
        </w:rPr>
        <w:t xml:space="preserve"> “Compartecipazione e regolazioni contabili e altri trasferimenti alle </w:t>
      </w:r>
      <w:r w:rsidRPr="006B35E4">
        <w:rPr>
          <w:rFonts w:ascii="Times New Roman" w:eastAsia="Times New Roman" w:hAnsi="Times New Roman" w:cs="Times New Roman"/>
          <w:sz w:val="24"/>
          <w:szCs w:val="24"/>
          <w:lang w:eastAsia="it-IT"/>
        </w:rPr>
        <w:lastRenderedPageBreak/>
        <w:t xml:space="preserve">autonomie speciali”, </w:t>
      </w:r>
      <w:r>
        <w:rPr>
          <w:rFonts w:ascii="Times New Roman" w:eastAsia="Times New Roman" w:hAnsi="Times New Roman" w:cs="Times New Roman"/>
          <w:sz w:val="24"/>
          <w:szCs w:val="24"/>
          <w:lang w:eastAsia="it-IT"/>
        </w:rPr>
        <w:t>da destinare alla</w:t>
      </w:r>
      <w:r w:rsidRPr="006B35E4">
        <w:rPr>
          <w:rFonts w:ascii="Times New Roman" w:eastAsia="Times New Roman" w:hAnsi="Times New Roman" w:cs="Times New Roman"/>
          <w:sz w:val="24"/>
          <w:szCs w:val="24"/>
          <w:lang w:eastAsia="it-IT"/>
        </w:rPr>
        <w:t xml:space="preserve"> manutenzione straordinaria delle strutture destinate al vertice G8 presso La Maddalena e 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interno del SIN </w:t>
      </w:r>
      <w:r w:rsidRPr="006B35E4">
        <w:rPr>
          <w:rFonts w:ascii="Times New Roman" w:eastAsia="Times New Roman" w:hAnsi="Times New Roman" w:cs="Times New Roman"/>
          <w:b/>
          <w:sz w:val="24"/>
          <w:szCs w:val="24"/>
          <w:lang w:eastAsia="it-IT"/>
        </w:rPr>
        <w:t xml:space="preserve">(cap. </w:t>
      </w:r>
      <w:r>
        <w:rPr>
          <w:rFonts w:ascii="Times New Roman" w:eastAsia="Times New Roman" w:hAnsi="Times New Roman" w:cs="Times New Roman"/>
          <w:b/>
          <w:sz w:val="24"/>
          <w:szCs w:val="24"/>
          <w:lang w:eastAsia="it-IT"/>
        </w:rPr>
        <w:t>7515</w:t>
      </w:r>
      <w:r w:rsidRPr="006B35E4">
        <w:rPr>
          <w:rFonts w:ascii="Times New Roman" w:eastAsia="Times New Roman" w:hAnsi="Times New Roman" w:cs="Times New Roman"/>
          <w:b/>
          <w:sz w:val="24"/>
          <w:szCs w:val="24"/>
          <w:lang w:eastAsia="it-IT"/>
        </w:rPr>
        <w:t>)</w:t>
      </w:r>
      <w:r w:rsidRPr="006B35E4">
        <w:rPr>
          <w:rFonts w:ascii="Times New Roman" w:eastAsia="Times New Roman" w:hAnsi="Times New Roman" w:cs="Times New Roman"/>
          <w:sz w:val="24"/>
          <w:szCs w:val="24"/>
          <w:lang w:eastAsia="it-IT"/>
        </w:rPr>
        <w:t xml:space="preserve"> p</w:t>
      </w:r>
      <w:r>
        <w:rPr>
          <w:rFonts w:ascii="Times New Roman" w:eastAsia="Times New Roman" w:hAnsi="Times New Roman" w:cs="Times New Roman"/>
          <w:sz w:val="24"/>
          <w:szCs w:val="24"/>
          <w:lang w:eastAsia="it-IT"/>
        </w:rPr>
        <w:t xml:space="preserve">er </w:t>
      </w:r>
      <w:r w:rsidRPr="006B35E4">
        <w:rPr>
          <w:rFonts w:ascii="Times New Roman" w:eastAsia="Times New Roman" w:hAnsi="Times New Roman" w:cs="Times New Roman"/>
          <w:sz w:val="24"/>
          <w:szCs w:val="24"/>
          <w:lang w:eastAsia="it-IT"/>
        </w:rPr>
        <w:t>euro 3.500.000,00</w:t>
      </w:r>
      <w:r>
        <w:rPr>
          <w:rFonts w:ascii="Times New Roman" w:eastAsia="Times New Roman" w:hAnsi="Times New Roman" w:cs="Times New Roman"/>
          <w:sz w:val="24"/>
          <w:szCs w:val="24"/>
          <w:lang w:eastAsia="it-IT"/>
        </w:rPr>
        <w:t>.</w:t>
      </w:r>
    </w:p>
    <w:p w14:paraId="0780B689" w14:textId="77777777" w:rsidR="00CE6817" w:rsidRPr="006B35E4" w:rsidRDefault="00CE6817" w:rsidP="00CE6817">
      <w:pPr>
        <w:spacing w:after="0" w:line="360" w:lineRule="auto"/>
        <w:jc w:val="both"/>
        <w:rPr>
          <w:rFonts w:ascii="Times New Roman" w:eastAsia="Times New Roman" w:hAnsi="Times New Roman" w:cs="Times New Roman"/>
          <w:b/>
          <w:sz w:val="24"/>
          <w:szCs w:val="24"/>
          <w:lang w:eastAsia="it-IT"/>
        </w:rPr>
      </w:pPr>
    </w:p>
    <w:p w14:paraId="6FE75FC3" w14:textId="77777777"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Si evidenzia, invece, una </w:t>
      </w:r>
      <w:r w:rsidRPr="006B35E4">
        <w:rPr>
          <w:rFonts w:ascii="Times New Roman" w:eastAsia="Times New Roman" w:hAnsi="Times New Roman" w:cs="Times New Roman"/>
          <w:b/>
          <w:sz w:val="24"/>
          <w:szCs w:val="24"/>
          <w:u w:val="single"/>
          <w:lang w:eastAsia="it-IT"/>
        </w:rPr>
        <w:t>diminuzione</w:t>
      </w:r>
      <w:r w:rsidRPr="006B35E4">
        <w:rPr>
          <w:rFonts w:ascii="Times New Roman" w:eastAsia="Times New Roman" w:hAnsi="Times New Roman" w:cs="Times New Roman"/>
          <w:sz w:val="24"/>
          <w:szCs w:val="24"/>
          <w:lang w:eastAsia="it-IT"/>
        </w:rPr>
        <w:t>:</w:t>
      </w:r>
    </w:p>
    <w:p w14:paraId="282FE76F" w14:textId="77777777" w:rsidR="00C15EB4" w:rsidRDefault="00C15EB4"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della </w:t>
      </w:r>
      <w:r w:rsidR="00CE6817" w:rsidRPr="00964D01">
        <w:rPr>
          <w:rFonts w:ascii="Times New Roman" w:eastAsia="Times New Roman" w:hAnsi="Times New Roman" w:cs="Times New Roman"/>
          <w:b/>
          <w:sz w:val="24"/>
          <w:szCs w:val="24"/>
          <w:lang w:eastAsia="it-IT"/>
        </w:rPr>
        <w:t>Missione</w:t>
      </w:r>
      <w:r w:rsidR="00CE6817" w:rsidRPr="006B35E4">
        <w:rPr>
          <w:rFonts w:ascii="Times New Roman" w:eastAsia="Times New Roman" w:hAnsi="Times New Roman" w:cs="Times New Roman"/>
          <w:sz w:val="24"/>
          <w:szCs w:val="24"/>
          <w:lang w:eastAsia="it-IT"/>
        </w:rPr>
        <w:t xml:space="preserve"> </w:t>
      </w:r>
      <w:r w:rsidR="00CE6817" w:rsidRPr="008A3127">
        <w:rPr>
          <w:rFonts w:ascii="Times New Roman" w:eastAsia="Times New Roman" w:hAnsi="Times New Roman" w:cs="Times New Roman"/>
          <w:b/>
          <w:sz w:val="24"/>
          <w:szCs w:val="24"/>
          <w:lang w:eastAsia="it-IT"/>
        </w:rPr>
        <w:t>8</w:t>
      </w:r>
      <w:r w:rsidR="00CE6817" w:rsidRPr="006B35E4">
        <w:rPr>
          <w:rFonts w:ascii="Times New Roman" w:eastAsia="Times New Roman" w:hAnsi="Times New Roman" w:cs="Times New Roman"/>
          <w:sz w:val="24"/>
          <w:szCs w:val="24"/>
          <w:lang w:eastAsia="it-IT"/>
        </w:rPr>
        <w:t xml:space="preserve"> “Soccorso civile” del </w:t>
      </w:r>
      <w:r w:rsidR="00CE6817" w:rsidRPr="00C20E69">
        <w:rPr>
          <w:rFonts w:ascii="Times New Roman" w:eastAsia="Times New Roman" w:hAnsi="Times New Roman" w:cs="Times New Roman"/>
          <w:sz w:val="24"/>
          <w:szCs w:val="24"/>
          <w:lang w:eastAsia="it-IT"/>
        </w:rPr>
        <w:t>68</w:t>
      </w:r>
      <w:r w:rsidR="006B4C3C" w:rsidRPr="00C20E69">
        <w:rPr>
          <w:rFonts w:ascii="Times New Roman" w:eastAsia="Times New Roman" w:hAnsi="Times New Roman" w:cs="Times New Roman"/>
          <w:sz w:val="24"/>
          <w:szCs w:val="24"/>
          <w:lang w:eastAsia="it-IT"/>
        </w:rPr>
        <w:t>,09</w:t>
      </w:r>
      <w:r w:rsidR="00CE6817" w:rsidRPr="006B35E4">
        <w:rPr>
          <w:rFonts w:ascii="Times New Roman" w:eastAsia="Times New Roman" w:hAnsi="Times New Roman" w:cs="Times New Roman"/>
          <w:sz w:val="24"/>
          <w:szCs w:val="24"/>
          <w:lang w:eastAsia="it-IT"/>
        </w:rPr>
        <w:t xml:space="preserve"> per cento. Nell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ambito del </w:t>
      </w:r>
      <w:r w:rsidR="00CE6817" w:rsidRPr="00CE2E2D">
        <w:rPr>
          <w:rFonts w:ascii="Times New Roman" w:eastAsia="Times New Roman" w:hAnsi="Times New Roman" w:cs="Times New Roman"/>
          <w:b/>
          <w:sz w:val="24"/>
          <w:szCs w:val="24"/>
          <w:lang w:eastAsia="it-IT"/>
        </w:rPr>
        <w:t>Programma 8.4</w:t>
      </w:r>
      <w:r w:rsidR="00CE6817" w:rsidRPr="006B35E4">
        <w:rPr>
          <w:rFonts w:ascii="Times New Roman" w:eastAsia="Times New Roman" w:hAnsi="Times New Roman" w:cs="Times New Roman"/>
          <w:sz w:val="24"/>
          <w:szCs w:val="24"/>
          <w:lang w:eastAsia="it-IT"/>
        </w:rPr>
        <w:t xml:space="preserve"> “Interventi per pubbliche calamità ” si registra una  diminuzione  dei fondi  per la ricostruzione delle zone colpite dal sisma del 20-29 maggio 2012 </w:t>
      </w:r>
      <w:r w:rsidR="00CE6817" w:rsidRPr="006B35E4">
        <w:rPr>
          <w:rFonts w:ascii="Times New Roman" w:eastAsia="Times New Roman" w:hAnsi="Times New Roman" w:cs="Times New Roman"/>
          <w:b/>
          <w:sz w:val="24"/>
          <w:szCs w:val="24"/>
          <w:lang w:eastAsia="it-IT"/>
        </w:rPr>
        <w:t>(cap. 7452)</w:t>
      </w:r>
      <w:r w:rsidR="00CE6817" w:rsidRPr="006B35E4">
        <w:rPr>
          <w:rFonts w:ascii="Times New Roman" w:eastAsia="Times New Roman" w:hAnsi="Times New Roman" w:cs="Times New Roman"/>
          <w:sz w:val="24"/>
          <w:szCs w:val="24"/>
          <w:lang w:eastAsia="it-IT"/>
        </w:rPr>
        <w:t>, che passano da euro 43.800.000,00 a euro 17.900.000,00 con un</w:t>
      </w:r>
      <w:r w:rsidR="00CE6817">
        <w:rPr>
          <w:rFonts w:ascii="Times New Roman" w:eastAsia="Times New Roman" w:hAnsi="Times New Roman" w:cs="Times New Roman"/>
          <w:sz w:val="24"/>
          <w:szCs w:val="24"/>
          <w:lang w:eastAsia="it-IT"/>
        </w:rPr>
        <w:t>a riduzione</w:t>
      </w:r>
      <w:r w:rsidR="00CE6817" w:rsidRPr="006B35E4">
        <w:rPr>
          <w:rFonts w:ascii="Times New Roman" w:eastAsia="Times New Roman" w:hAnsi="Times New Roman" w:cs="Times New Roman"/>
          <w:sz w:val="24"/>
          <w:szCs w:val="24"/>
          <w:lang w:eastAsia="it-IT"/>
        </w:rPr>
        <w:t xml:space="preserve"> di euro 25.900.000,00</w:t>
      </w:r>
      <w:r w:rsidR="002723E2">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 </w:t>
      </w:r>
      <w:r w:rsidR="00CE6817">
        <w:rPr>
          <w:rFonts w:ascii="Times New Roman" w:eastAsia="Times New Roman" w:hAnsi="Times New Roman" w:cs="Times New Roman"/>
          <w:sz w:val="24"/>
          <w:szCs w:val="24"/>
          <w:lang w:eastAsia="it-IT"/>
        </w:rPr>
        <w:t>nonché</w:t>
      </w:r>
      <w:r w:rsidR="00CE6817" w:rsidRPr="006B35E4">
        <w:rPr>
          <w:rFonts w:ascii="Times New Roman" w:eastAsia="Times New Roman" w:hAnsi="Times New Roman" w:cs="Times New Roman"/>
          <w:sz w:val="24"/>
          <w:szCs w:val="24"/>
          <w:lang w:eastAsia="it-IT"/>
        </w:rPr>
        <w:t xml:space="preserve"> delle risorse del Fondo per la prevenzione del rischio sismico a cura del Dipartimento Casa Italia </w:t>
      </w:r>
      <w:r w:rsidR="00CE6817" w:rsidRPr="006B35E4">
        <w:rPr>
          <w:rFonts w:ascii="Times New Roman" w:eastAsia="Times New Roman" w:hAnsi="Times New Roman" w:cs="Times New Roman"/>
          <w:b/>
          <w:sz w:val="24"/>
          <w:szCs w:val="24"/>
          <w:lang w:eastAsia="it-IT"/>
        </w:rPr>
        <w:t>(cap. 7458)</w:t>
      </w:r>
      <w:r w:rsidR="002723E2" w:rsidRPr="002723E2">
        <w:rPr>
          <w:rFonts w:ascii="Times New Roman" w:eastAsia="Times New Roman" w:hAnsi="Times New Roman" w:cs="Times New Roman"/>
          <w:bCs/>
          <w:sz w:val="24"/>
          <w:szCs w:val="24"/>
          <w:lang w:eastAsia="it-IT"/>
        </w:rPr>
        <w:t>,</w:t>
      </w:r>
      <w:r w:rsidR="00CE6817" w:rsidRPr="006B35E4">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sz w:val="24"/>
          <w:szCs w:val="24"/>
          <w:lang w:eastAsia="it-IT"/>
        </w:rPr>
        <w:t>che passano da euro 50.000.000,00 a euro 47.400.000,00</w:t>
      </w:r>
      <w:r w:rsidR="00B95C10">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 con un</w:t>
      </w:r>
      <w:r w:rsidR="00CE6817">
        <w:rPr>
          <w:rFonts w:ascii="Times New Roman" w:eastAsia="Times New Roman" w:hAnsi="Times New Roman" w:cs="Times New Roman"/>
          <w:sz w:val="24"/>
          <w:szCs w:val="24"/>
          <w:lang w:eastAsia="it-IT"/>
        </w:rPr>
        <w:t>a diminuzione</w:t>
      </w:r>
      <w:r w:rsidR="00CE6817" w:rsidRPr="006B35E4">
        <w:rPr>
          <w:rFonts w:ascii="Times New Roman" w:eastAsia="Times New Roman" w:hAnsi="Times New Roman" w:cs="Times New Roman"/>
          <w:sz w:val="24"/>
          <w:szCs w:val="24"/>
          <w:lang w:eastAsia="it-IT"/>
        </w:rPr>
        <w:t xml:space="preserve"> di euro 2.600.000,00</w:t>
      </w:r>
      <w:r w:rsidR="00CE6817">
        <w:rPr>
          <w:rFonts w:ascii="Times New Roman" w:eastAsia="Times New Roman" w:hAnsi="Times New Roman" w:cs="Times New Roman"/>
          <w:sz w:val="24"/>
          <w:szCs w:val="24"/>
          <w:lang w:eastAsia="it-IT"/>
        </w:rPr>
        <w:t>.</w:t>
      </w:r>
    </w:p>
    <w:p w14:paraId="1A51AC4F" w14:textId="1198A649" w:rsidR="00CE6817" w:rsidRPr="006B35E4" w:rsidRDefault="00CE6817" w:rsidP="00CE6817">
      <w:pPr>
        <w:spacing w:after="0" w:line="360" w:lineRule="auto"/>
        <w:jc w:val="both"/>
        <w:rPr>
          <w:sz w:val="24"/>
          <w:szCs w:val="24"/>
        </w:rPr>
      </w:pPr>
      <w:r w:rsidRPr="006B35E4">
        <w:rPr>
          <w:rFonts w:ascii="Times New Roman" w:eastAsia="Times New Roman" w:hAnsi="Times New Roman" w:cs="Times New Roman"/>
          <w:sz w:val="24"/>
          <w:szCs w:val="24"/>
          <w:lang w:eastAsia="it-IT"/>
        </w:rPr>
        <w:t>Non risultano assegnate</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nel 2022</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le risorse destinate alla concessione di contributi a favore delle attività economiche e produttive danneggiate dagli eccezionali eventi metereologici del 28 novembre 2020 in Sardegna </w:t>
      </w:r>
      <w:r w:rsidRPr="006B35E4">
        <w:rPr>
          <w:rFonts w:ascii="Times New Roman" w:eastAsia="Times New Roman" w:hAnsi="Times New Roman" w:cs="Times New Roman"/>
          <w:b/>
          <w:sz w:val="24"/>
          <w:szCs w:val="24"/>
          <w:lang w:eastAsia="it-IT"/>
        </w:rPr>
        <w:t>(cap. 2021)</w:t>
      </w:r>
      <w:r w:rsidRPr="006B35E4">
        <w:rPr>
          <w:rFonts w:ascii="Times New Roman" w:eastAsia="Times New Roman" w:hAnsi="Times New Roman" w:cs="Times New Roman"/>
          <w:sz w:val="24"/>
          <w:szCs w:val="24"/>
          <w:lang w:eastAsia="it-IT"/>
        </w:rPr>
        <w:t xml:space="preserve"> che nel 2021 ammontavano a euro 5.000.000,00</w:t>
      </w:r>
      <w:r>
        <w:rPr>
          <w:rFonts w:ascii="Times New Roman" w:eastAsia="Times New Roman" w:hAnsi="Times New Roman" w:cs="Times New Roman"/>
          <w:sz w:val="24"/>
          <w:szCs w:val="24"/>
          <w:lang w:eastAsia="it-IT"/>
        </w:rPr>
        <w:t xml:space="preserve">. A fronte di tali riduzioni, nel 2022 sono state assegnate, invece, nuove risorse finanziarie </w:t>
      </w:r>
      <w:r w:rsidRPr="00B066A8">
        <w:rPr>
          <w:rFonts w:ascii="Times New Roman" w:eastAsia="Times New Roman" w:hAnsi="Times New Roman" w:cs="Times New Roman"/>
          <w:sz w:val="24"/>
          <w:szCs w:val="24"/>
          <w:lang w:eastAsia="it-IT"/>
        </w:rPr>
        <w:t xml:space="preserve">da destinare al Fondo per </w:t>
      </w:r>
      <w:r>
        <w:rPr>
          <w:rFonts w:ascii="Times New Roman" w:eastAsia="Times New Roman" w:hAnsi="Times New Roman" w:cs="Times New Roman"/>
          <w:sz w:val="24"/>
          <w:szCs w:val="24"/>
          <w:lang w:eastAsia="it-IT"/>
        </w:rPr>
        <w:t xml:space="preserve">le </w:t>
      </w:r>
      <w:r w:rsidRPr="00B066A8">
        <w:rPr>
          <w:rFonts w:ascii="Times New Roman" w:eastAsia="Times New Roman" w:hAnsi="Times New Roman" w:cs="Times New Roman"/>
          <w:sz w:val="24"/>
          <w:szCs w:val="24"/>
          <w:lang w:eastAsia="it-IT"/>
        </w:rPr>
        <w:t xml:space="preserve">esigenze derivanti da eventi calamitosi verificatisi nel 2018 (Trento e Bolzano) </w:t>
      </w:r>
      <w:r w:rsidRPr="00B066A8">
        <w:rPr>
          <w:rFonts w:ascii="Times New Roman" w:eastAsia="Times New Roman" w:hAnsi="Times New Roman" w:cs="Times New Roman"/>
          <w:b/>
          <w:sz w:val="24"/>
          <w:szCs w:val="24"/>
          <w:lang w:eastAsia="it-IT"/>
        </w:rPr>
        <w:t>(cap. 7094)</w:t>
      </w:r>
      <w:r w:rsidRPr="00B066A8">
        <w:rPr>
          <w:rFonts w:ascii="Times New Roman" w:eastAsia="Times New Roman" w:hAnsi="Times New Roman" w:cs="Times New Roman"/>
          <w:sz w:val="24"/>
          <w:szCs w:val="24"/>
          <w:lang w:eastAsia="it-IT"/>
        </w:rPr>
        <w:t xml:space="preserve"> pari a euro 10.000.000,00 e al supporto tecnico-operativo per interventi nelle aree del terremoto del 2009 e 2016 </w:t>
      </w:r>
      <w:r w:rsidRPr="00B066A8">
        <w:rPr>
          <w:rFonts w:ascii="Times New Roman" w:eastAsia="Times New Roman" w:hAnsi="Times New Roman" w:cs="Times New Roman"/>
          <w:b/>
          <w:sz w:val="24"/>
          <w:szCs w:val="24"/>
          <w:lang w:eastAsia="it-IT"/>
        </w:rPr>
        <w:t>(cap. 7449)</w:t>
      </w:r>
      <w:r>
        <w:rPr>
          <w:rFonts w:ascii="Times New Roman" w:eastAsia="Times New Roman" w:hAnsi="Times New Roman" w:cs="Times New Roman"/>
          <w:sz w:val="24"/>
          <w:szCs w:val="24"/>
          <w:lang w:eastAsia="it-IT"/>
        </w:rPr>
        <w:t xml:space="preserve"> per euro 800.000,00.</w:t>
      </w:r>
    </w:p>
    <w:p w14:paraId="4A4C1EE7" w14:textId="309826BF"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w:t>
      </w:r>
      <w:r w:rsidRPr="006B35E4">
        <w:rPr>
          <w:rFonts w:ascii="Times New Roman" w:eastAsia="Times New Roman" w:hAnsi="Times New Roman" w:cs="Times New Roman"/>
          <w:sz w:val="24"/>
          <w:szCs w:val="24"/>
          <w:lang w:eastAsia="it-IT"/>
        </w:rPr>
        <w:t>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ambito del </w:t>
      </w:r>
      <w:r w:rsidRPr="00964D01">
        <w:rPr>
          <w:rFonts w:ascii="Times New Roman" w:eastAsia="Times New Roman" w:hAnsi="Times New Roman" w:cs="Times New Roman"/>
          <w:b/>
          <w:sz w:val="24"/>
          <w:szCs w:val="24"/>
          <w:lang w:eastAsia="it-IT"/>
        </w:rPr>
        <w:t>Programma</w:t>
      </w:r>
      <w:r w:rsidRPr="006B35E4">
        <w:rPr>
          <w:rFonts w:ascii="Times New Roman" w:eastAsia="Times New Roman" w:hAnsi="Times New Roman" w:cs="Times New Roman"/>
          <w:sz w:val="24"/>
          <w:szCs w:val="24"/>
          <w:lang w:eastAsia="it-IT"/>
        </w:rPr>
        <w:t xml:space="preserve"> </w:t>
      </w:r>
      <w:r w:rsidRPr="008A3127">
        <w:rPr>
          <w:rFonts w:ascii="Times New Roman" w:eastAsia="Times New Roman" w:hAnsi="Times New Roman" w:cs="Times New Roman"/>
          <w:b/>
          <w:sz w:val="24"/>
          <w:szCs w:val="24"/>
          <w:lang w:eastAsia="it-IT"/>
        </w:rPr>
        <w:t>8.5</w:t>
      </w:r>
      <w:r w:rsidRPr="006B35E4">
        <w:rPr>
          <w:rFonts w:ascii="Times New Roman" w:eastAsia="Times New Roman" w:hAnsi="Times New Roman" w:cs="Times New Roman"/>
          <w:sz w:val="24"/>
          <w:szCs w:val="24"/>
          <w:lang w:eastAsia="it-IT"/>
        </w:rPr>
        <w:t xml:space="preserve"> “Protezione civile”, </w:t>
      </w:r>
      <w:r>
        <w:rPr>
          <w:rFonts w:ascii="Times New Roman" w:eastAsia="Times New Roman" w:hAnsi="Times New Roman" w:cs="Times New Roman"/>
          <w:sz w:val="24"/>
          <w:szCs w:val="24"/>
          <w:lang w:eastAsia="it-IT"/>
        </w:rPr>
        <w:t xml:space="preserve">risultano in diminuzione </w:t>
      </w:r>
      <w:r w:rsidRPr="006B35E4">
        <w:rPr>
          <w:rFonts w:ascii="Times New Roman" w:eastAsia="Times New Roman" w:hAnsi="Times New Roman" w:cs="Times New Roman"/>
          <w:sz w:val="24"/>
          <w:szCs w:val="24"/>
          <w:lang w:eastAsia="it-IT"/>
        </w:rPr>
        <w:t>le risorse destinate 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ammortamento dei mutui diversi da quelli attivati a seguito di calamità naturali trasferiti al Ministero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economia e delle finanze (quota interessi) </w:t>
      </w:r>
      <w:r w:rsidRPr="006B35E4">
        <w:rPr>
          <w:rFonts w:ascii="Times New Roman" w:eastAsia="Times New Roman" w:hAnsi="Times New Roman" w:cs="Times New Roman"/>
          <w:b/>
          <w:sz w:val="24"/>
          <w:szCs w:val="24"/>
          <w:lang w:eastAsia="it-IT"/>
        </w:rPr>
        <w:t>(cap. 2186)</w:t>
      </w:r>
      <w:r w:rsidR="00B95C10" w:rsidRPr="00B95C10">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3.557.910,00 a euro 3.117.690,00, con una diminuzione di euro 440.220,00 nonché quelle destinate </w:t>
      </w:r>
      <w:r>
        <w:rPr>
          <w:rFonts w:ascii="Times New Roman" w:eastAsia="Times New Roman" w:hAnsi="Times New Roman" w:cs="Times New Roman"/>
          <w:sz w:val="24"/>
          <w:szCs w:val="24"/>
          <w:lang w:eastAsia="it-IT"/>
        </w:rPr>
        <w:t xml:space="preserve">al </w:t>
      </w:r>
      <w:r w:rsidRPr="006B35E4">
        <w:rPr>
          <w:rFonts w:ascii="Times New Roman" w:eastAsia="Times New Roman" w:hAnsi="Times New Roman" w:cs="Times New Roman"/>
          <w:sz w:val="24"/>
          <w:szCs w:val="24"/>
          <w:lang w:eastAsia="it-IT"/>
        </w:rPr>
        <w:t xml:space="preserve">Fondo emergenze nazionali </w:t>
      </w:r>
      <w:r w:rsidRPr="006B35E4">
        <w:rPr>
          <w:rFonts w:ascii="Times New Roman" w:eastAsia="Times New Roman" w:hAnsi="Times New Roman" w:cs="Times New Roman"/>
          <w:b/>
          <w:sz w:val="24"/>
          <w:szCs w:val="24"/>
          <w:lang w:eastAsia="it-IT"/>
        </w:rPr>
        <w:t>(cap. 7441)</w:t>
      </w:r>
      <w:r w:rsidRPr="006B35E4">
        <w:rPr>
          <w:rFonts w:ascii="Times New Roman" w:eastAsia="Times New Roman" w:hAnsi="Times New Roman" w:cs="Times New Roman"/>
          <w:sz w:val="24"/>
          <w:szCs w:val="24"/>
          <w:lang w:eastAsia="it-IT"/>
        </w:rPr>
        <w:t>, che passano da euro 4.257.248.000,00 a</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euro 1.229.768.190,00</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una riduzione di euro 3.027.479.810,00</w:t>
      </w:r>
      <w:r>
        <w:rPr>
          <w:rFonts w:ascii="Times New Roman" w:eastAsia="Times New Roman" w:hAnsi="Times New Roman" w:cs="Times New Roman"/>
          <w:sz w:val="24"/>
          <w:szCs w:val="24"/>
          <w:lang w:eastAsia="it-IT"/>
        </w:rPr>
        <w:t xml:space="preserve">, e quelle destinate </w:t>
      </w:r>
      <w:r w:rsidRPr="006B35E4">
        <w:rPr>
          <w:rFonts w:ascii="Times New Roman" w:eastAsia="Times New Roman" w:hAnsi="Times New Roman" w:cs="Times New Roman"/>
          <w:sz w:val="24"/>
          <w:szCs w:val="24"/>
          <w:lang w:eastAsia="it-IT"/>
        </w:rPr>
        <w:t>ai contributi per mutui non connessi a calamità naturali</w:t>
      </w:r>
      <w:r>
        <w:rPr>
          <w:rFonts w:ascii="Times New Roman" w:eastAsia="Times New Roman" w:hAnsi="Times New Roman" w:cs="Times New Roman"/>
          <w:sz w:val="24"/>
          <w:szCs w:val="24"/>
          <w:lang w:eastAsia="it-IT"/>
        </w:rPr>
        <w:t xml:space="preserve"> </w:t>
      </w:r>
      <w:r w:rsidR="00420E23">
        <w:rPr>
          <w:rFonts w:ascii="Times New Roman" w:eastAsia="Times New Roman" w:hAnsi="Times New Roman" w:cs="Times New Roman"/>
          <w:sz w:val="24"/>
          <w:szCs w:val="24"/>
          <w:lang w:eastAsia="it-IT"/>
        </w:rPr>
        <w:t xml:space="preserve">(quota capitale) </w:t>
      </w:r>
      <w:r w:rsidRPr="006B35E4">
        <w:rPr>
          <w:rFonts w:ascii="Times New Roman" w:eastAsia="Times New Roman" w:hAnsi="Times New Roman" w:cs="Times New Roman"/>
          <w:b/>
          <w:sz w:val="24"/>
          <w:szCs w:val="24"/>
          <w:lang w:eastAsia="it-IT"/>
        </w:rPr>
        <w:t>(cap. 7448)</w:t>
      </w:r>
      <w:r>
        <w:rPr>
          <w:rFonts w:ascii="Times New Roman" w:eastAsia="Times New Roman" w:hAnsi="Times New Roman" w:cs="Times New Roman"/>
          <w:b/>
          <w:sz w:val="24"/>
          <w:szCs w:val="24"/>
          <w:lang w:eastAsia="it-IT"/>
        </w:rPr>
        <w:t xml:space="preserve"> </w:t>
      </w:r>
      <w:r w:rsidRPr="00094509">
        <w:rPr>
          <w:rFonts w:ascii="Times New Roman" w:eastAsia="Times New Roman" w:hAnsi="Times New Roman" w:cs="Times New Roman"/>
          <w:sz w:val="24"/>
          <w:szCs w:val="24"/>
          <w:lang w:eastAsia="it-IT"/>
        </w:rPr>
        <w:t>per euro 3.436.245,00</w:t>
      </w:r>
      <w:r>
        <w:rPr>
          <w:rFonts w:ascii="Times New Roman" w:eastAsia="Times New Roman" w:hAnsi="Times New Roman" w:cs="Times New Roman"/>
          <w:sz w:val="24"/>
          <w:szCs w:val="24"/>
          <w:lang w:eastAsia="it-IT"/>
        </w:rPr>
        <w:t xml:space="preserve">, che passano da euro </w:t>
      </w:r>
      <w:r w:rsidRPr="00094509">
        <w:rPr>
          <w:rFonts w:ascii="Times New Roman" w:eastAsia="Times New Roman" w:hAnsi="Times New Roman" w:cs="Times New Roman"/>
          <w:sz w:val="24"/>
          <w:szCs w:val="24"/>
          <w:lang w:eastAsia="it-IT"/>
        </w:rPr>
        <w:t>10.677.559,00</w:t>
      </w:r>
      <w:r>
        <w:rPr>
          <w:rFonts w:ascii="Times New Roman" w:eastAsia="Times New Roman" w:hAnsi="Times New Roman" w:cs="Times New Roman"/>
          <w:sz w:val="24"/>
          <w:szCs w:val="24"/>
          <w:lang w:eastAsia="it-IT"/>
        </w:rPr>
        <w:t xml:space="preserve"> a euro </w:t>
      </w:r>
      <w:r w:rsidRPr="00094509">
        <w:rPr>
          <w:rFonts w:ascii="Times New Roman" w:eastAsia="Times New Roman" w:hAnsi="Times New Roman" w:cs="Times New Roman"/>
          <w:sz w:val="24"/>
          <w:szCs w:val="24"/>
          <w:lang w:eastAsia="it-IT"/>
        </w:rPr>
        <w:t>7.241.314,00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Non risultano assegnate</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nel 2022</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le risorse destinate al </w:t>
      </w:r>
      <w:r>
        <w:rPr>
          <w:rFonts w:ascii="Times New Roman" w:eastAsia="Times New Roman" w:hAnsi="Times New Roman" w:cs="Times New Roman"/>
          <w:sz w:val="24"/>
          <w:szCs w:val="24"/>
          <w:lang w:eastAsia="it-IT"/>
        </w:rPr>
        <w:t>r</w:t>
      </w:r>
      <w:r w:rsidRPr="006B35E4">
        <w:rPr>
          <w:rFonts w:ascii="Times New Roman" w:eastAsia="Times New Roman" w:hAnsi="Times New Roman" w:cs="Times New Roman"/>
          <w:sz w:val="24"/>
          <w:szCs w:val="24"/>
          <w:lang w:eastAsia="it-IT"/>
        </w:rPr>
        <w:t xml:space="preserve">ischio idraulico e idrogeologico </w:t>
      </w:r>
      <w:r w:rsidRPr="006B35E4">
        <w:rPr>
          <w:rFonts w:ascii="Times New Roman" w:eastAsia="Times New Roman" w:hAnsi="Times New Roman" w:cs="Times New Roman"/>
          <w:b/>
          <w:sz w:val="24"/>
          <w:szCs w:val="24"/>
          <w:lang w:eastAsia="it-IT"/>
        </w:rPr>
        <w:t>(cap. 7320)</w:t>
      </w:r>
      <w:r w:rsidRPr="006B35E4">
        <w:rPr>
          <w:rFonts w:ascii="Times New Roman" w:eastAsia="Times New Roman" w:hAnsi="Times New Roman" w:cs="Times New Roman"/>
          <w:sz w:val="24"/>
          <w:szCs w:val="24"/>
          <w:lang w:eastAsia="it-IT"/>
        </w:rPr>
        <w:t xml:space="preserve"> pari a 900.000.000,00 nell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esercizio precedente</w:t>
      </w:r>
      <w:r>
        <w:rPr>
          <w:rFonts w:ascii="Times New Roman" w:eastAsia="Times New Roman" w:hAnsi="Times New Roman" w:cs="Times New Roman"/>
          <w:sz w:val="24"/>
          <w:szCs w:val="24"/>
          <w:lang w:eastAsia="it-IT"/>
        </w:rPr>
        <w:t xml:space="preserve">. </w:t>
      </w:r>
    </w:p>
    <w:p w14:paraId="654A5357" w14:textId="7E8766DA"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A fronte delle diminuzioni sopra evidenziate</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va segnalato un aumento delle risorse finanziarie assegnate per le spese obbligatorie e per il funzionamento della Protezione civile </w:t>
      </w:r>
      <w:r w:rsidRPr="00320858">
        <w:rPr>
          <w:rFonts w:ascii="Times New Roman" w:eastAsia="Times New Roman" w:hAnsi="Times New Roman" w:cs="Times New Roman"/>
          <w:b/>
          <w:sz w:val="24"/>
          <w:szCs w:val="24"/>
          <w:lang w:eastAsia="it-IT"/>
        </w:rPr>
        <w:t>(cap. 2179)</w:t>
      </w:r>
      <w:r w:rsidR="00B95C10" w:rsidRPr="00B95C10">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79.528.894,00 a euro 84.528.894,00, con un incremento di euro 5.000.000,00,</w:t>
      </w:r>
      <w:r w:rsidRPr="006B35E4">
        <w:rPr>
          <w:sz w:val="24"/>
          <w:szCs w:val="24"/>
        </w:rPr>
        <w:t xml:space="preserve"> </w:t>
      </w:r>
      <w:r w:rsidRPr="006B35E4">
        <w:rPr>
          <w:rFonts w:ascii="Times New Roman" w:eastAsia="Times New Roman" w:hAnsi="Times New Roman" w:cs="Times New Roman"/>
          <w:sz w:val="24"/>
          <w:szCs w:val="24"/>
          <w:lang w:eastAsia="it-IT"/>
        </w:rPr>
        <w:t xml:space="preserve">nonché di quelle destinate alle attività connesse alle ricorrenti emergenze </w:t>
      </w:r>
      <w:r w:rsidRPr="006B35E4">
        <w:rPr>
          <w:rFonts w:ascii="Times New Roman" w:eastAsia="Times New Roman" w:hAnsi="Times New Roman" w:cs="Times New Roman"/>
          <w:b/>
          <w:sz w:val="24"/>
          <w:szCs w:val="24"/>
          <w:lang w:eastAsia="it-IT"/>
        </w:rPr>
        <w:t>(cap. 7446)</w:t>
      </w:r>
      <w:r w:rsidRPr="006B35E4">
        <w:rPr>
          <w:rFonts w:ascii="Times New Roman" w:eastAsia="Times New Roman" w:hAnsi="Times New Roman" w:cs="Times New Roman"/>
          <w:sz w:val="24"/>
          <w:szCs w:val="24"/>
          <w:lang w:eastAsia="it-IT"/>
        </w:rPr>
        <w:t xml:space="preserve"> che passano da euro 59.982.919,00 a euro 93.182.919,00</w:t>
      </w:r>
      <w:r w:rsidR="006A6AE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 incremento di euro 33.200.000,00</w:t>
      </w:r>
      <w:r>
        <w:rPr>
          <w:rFonts w:ascii="Times New Roman" w:eastAsia="Times New Roman" w:hAnsi="Times New Roman" w:cs="Times New Roman"/>
          <w:sz w:val="24"/>
          <w:szCs w:val="24"/>
          <w:lang w:eastAsia="it-IT"/>
        </w:rPr>
        <w:t xml:space="preserve"> e </w:t>
      </w:r>
      <w:r w:rsidRPr="0006138B">
        <w:rPr>
          <w:rFonts w:ascii="Times New Roman" w:eastAsia="Times New Roman" w:hAnsi="Times New Roman" w:cs="Times New Roman"/>
          <w:sz w:val="24"/>
          <w:szCs w:val="24"/>
          <w:lang w:eastAsia="it-IT"/>
        </w:rPr>
        <w:t xml:space="preserve">al Fondo per eventi alluvionali verificatisi nel periodo 2019-2020 </w:t>
      </w:r>
      <w:r w:rsidRPr="0006138B">
        <w:rPr>
          <w:rFonts w:ascii="Times New Roman" w:eastAsia="Times New Roman" w:hAnsi="Times New Roman" w:cs="Times New Roman"/>
          <w:b/>
          <w:sz w:val="24"/>
          <w:szCs w:val="24"/>
          <w:lang w:eastAsia="it-IT"/>
        </w:rPr>
        <w:t>(cap. 7447)</w:t>
      </w:r>
      <w:r w:rsidRPr="0006138B">
        <w:rPr>
          <w:rFonts w:ascii="Times New Roman" w:eastAsia="Times New Roman" w:hAnsi="Times New Roman" w:cs="Times New Roman"/>
          <w:sz w:val="24"/>
          <w:szCs w:val="24"/>
          <w:lang w:eastAsia="it-IT"/>
        </w:rPr>
        <w:t xml:space="preserve"> per </w:t>
      </w:r>
      <w:r w:rsidR="0037636B">
        <w:rPr>
          <w:rFonts w:ascii="Times New Roman" w:eastAsia="Times New Roman" w:hAnsi="Times New Roman" w:cs="Times New Roman"/>
          <w:sz w:val="24"/>
          <w:szCs w:val="24"/>
          <w:lang w:eastAsia="it-IT"/>
        </w:rPr>
        <w:t xml:space="preserve">euro </w:t>
      </w:r>
      <w:r w:rsidRPr="0006138B">
        <w:rPr>
          <w:rFonts w:ascii="Times New Roman" w:eastAsia="Times New Roman" w:hAnsi="Times New Roman" w:cs="Times New Roman"/>
          <w:sz w:val="24"/>
          <w:szCs w:val="24"/>
          <w:lang w:eastAsia="it-IT"/>
        </w:rPr>
        <w:t>87.000.000,00, passando da euro</w:t>
      </w:r>
      <w:r>
        <w:rPr>
          <w:rFonts w:ascii="Times New Roman" w:eastAsia="Times New Roman" w:hAnsi="Times New Roman" w:cs="Times New Roman"/>
          <w:sz w:val="24"/>
          <w:szCs w:val="24"/>
          <w:lang w:eastAsia="it-IT"/>
        </w:rPr>
        <w:t xml:space="preserve"> </w:t>
      </w:r>
      <w:r w:rsidRPr="0006138B">
        <w:rPr>
          <w:rFonts w:ascii="Times New Roman" w:eastAsia="Times New Roman" w:hAnsi="Times New Roman" w:cs="Times New Roman"/>
          <w:sz w:val="24"/>
          <w:szCs w:val="24"/>
          <w:lang w:eastAsia="it-IT"/>
        </w:rPr>
        <w:t>100.000.000,00</w:t>
      </w:r>
      <w:r>
        <w:rPr>
          <w:rFonts w:ascii="Times New Roman" w:eastAsia="Times New Roman" w:hAnsi="Times New Roman" w:cs="Times New Roman"/>
          <w:sz w:val="24"/>
          <w:szCs w:val="24"/>
          <w:lang w:eastAsia="it-IT"/>
        </w:rPr>
        <w:t xml:space="preserve"> a euro </w:t>
      </w:r>
      <w:r w:rsidRPr="0006138B">
        <w:rPr>
          <w:rFonts w:ascii="Times New Roman" w:eastAsia="Times New Roman" w:hAnsi="Times New Roman" w:cs="Times New Roman"/>
          <w:sz w:val="24"/>
          <w:szCs w:val="24"/>
          <w:lang w:eastAsia="it-IT"/>
        </w:rPr>
        <w:t>187.000.000,00</w:t>
      </w:r>
      <w:r w:rsidRPr="006B35E4">
        <w:rPr>
          <w:rFonts w:ascii="Times New Roman" w:eastAsia="Times New Roman" w:hAnsi="Times New Roman" w:cs="Times New Roman"/>
          <w:sz w:val="24"/>
          <w:szCs w:val="24"/>
          <w:lang w:eastAsia="it-IT"/>
        </w:rPr>
        <w:t>.</w:t>
      </w:r>
    </w:p>
    <w:p w14:paraId="6F6C1F1F" w14:textId="17DFE616"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lastRenderedPageBreak/>
        <w:t xml:space="preserve">Inoltre, </w:t>
      </w:r>
      <w:r>
        <w:rPr>
          <w:rFonts w:ascii="Times New Roman" w:eastAsia="Times New Roman" w:hAnsi="Times New Roman" w:cs="Times New Roman"/>
          <w:sz w:val="24"/>
          <w:szCs w:val="24"/>
          <w:lang w:eastAsia="it-IT"/>
        </w:rPr>
        <w:t>nell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esercizio finanziario 2022 </w:t>
      </w:r>
      <w:r w:rsidRPr="006B35E4">
        <w:rPr>
          <w:rFonts w:ascii="Times New Roman" w:eastAsia="Times New Roman" w:hAnsi="Times New Roman" w:cs="Times New Roman"/>
          <w:sz w:val="24"/>
          <w:szCs w:val="24"/>
          <w:lang w:eastAsia="it-IT"/>
        </w:rPr>
        <w:t xml:space="preserve">sono state assegnate nuove risorse finanziarie </w:t>
      </w:r>
      <w:r>
        <w:rPr>
          <w:rFonts w:ascii="Times New Roman" w:eastAsia="Times New Roman" w:hAnsi="Times New Roman" w:cs="Times New Roman"/>
          <w:sz w:val="24"/>
          <w:szCs w:val="24"/>
          <w:lang w:eastAsia="it-IT"/>
        </w:rPr>
        <w:t xml:space="preserve">da destinare </w:t>
      </w:r>
      <w:r w:rsidRPr="006B35E4">
        <w:rPr>
          <w:rFonts w:ascii="Times New Roman" w:eastAsia="Times New Roman" w:hAnsi="Times New Roman" w:cs="Times New Roman"/>
          <w:sz w:val="24"/>
          <w:szCs w:val="24"/>
          <w:lang w:eastAsia="it-IT"/>
        </w:rPr>
        <w:t xml:space="preserve">al Fondo per la partecipazione a </w:t>
      </w:r>
      <w:proofErr w:type="spellStart"/>
      <w:r w:rsidRPr="006B35E4">
        <w:rPr>
          <w:rFonts w:ascii="Times New Roman" w:eastAsia="Times New Roman" w:hAnsi="Times New Roman" w:cs="Times New Roman"/>
          <w:sz w:val="24"/>
          <w:szCs w:val="24"/>
          <w:lang w:eastAsia="it-IT"/>
        </w:rPr>
        <w:t>RescEU</w:t>
      </w:r>
      <w:proofErr w:type="spellEnd"/>
      <w:r w:rsidRPr="006B35E4">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(cap. 2071)</w:t>
      </w:r>
      <w:r w:rsidRPr="006B35E4">
        <w:rPr>
          <w:rFonts w:ascii="Times New Roman" w:eastAsia="Times New Roman" w:hAnsi="Times New Roman" w:cs="Times New Roman"/>
          <w:sz w:val="24"/>
          <w:szCs w:val="24"/>
          <w:lang w:eastAsia="it-IT"/>
        </w:rPr>
        <w:t xml:space="preserve"> per euro 3.000.000,00 e al Fondo per la prevenzione e lotta contro gli incendi boschivi </w:t>
      </w:r>
      <w:r w:rsidRPr="006B35E4">
        <w:rPr>
          <w:rFonts w:ascii="Times New Roman" w:eastAsia="Times New Roman" w:hAnsi="Times New Roman" w:cs="Times New Roman"/>
          <w:b/>
          <w:sz w:val="24"/>
          <w:szCs w:val="24"/>
          <w:lang w:eastAsia="it-IT"/>
        </w:rPr>
        <w:t>(cap. 7453)</w:t>
      </w:r>
      <w:r>
        <w:rPr>
          <w:rFonts w:ascii="Times New Roman" w:eastAsia="Times New Roman" w:hAnsi="Times New Roman" w:cs="Times New Roman"/>
          <w:sz w:val="24"/>
          <w:szCs w:val="24"/>
          <w:lang w:eastAsia="it-IT"/>
        </w:rPr>
        <w:t xml:space="preserve"> pari a euro 40.000.000,00;</w:t>
      </w:r>
    </w:p>
    <w:p w14:paraId="21F2E565" w14:textId="77777777" w:rsidR="00CE6817" w:rsidRPr="00933572" w:rsidRDefault="00CE6817" w:rsidP="00CE6817">
      <w:pPr>
        <w:spacing w:after="0" w:line="360" w:lineRule="auto"/>
        <w:jc w:val="both"/>
        <w:rPr>
          <w:rFonts w:ascii="Times New Roman" w:eastAsia="Times New Roman" w:hAnsi="Times New Roman" w:cs="Times New Roman"/>
          <w:sz w:val="12"/>
          <w:szCs w:val="24"/>
          <w:lang w:eastAsia="it-IT"/>
        </w:rPr>
      </w:pPr>
    </w:p>
    <w:p w14:paraId="7E57145A" w14:textId="21756846" w:rsidR="00CE6817" w:rsidRPr="006B35E4" w:rsidRDefault="00C15EB4" w:rsidP="00CE6817">
      <w:pPr>
        <w:spacing w:after="0" w:line="360" w:lineRule="auto"/>
        <w:ind w:right="96"/>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della </w:t>
      </w:r>
      <w:r w:rsidR="00CE6817" w:rsidRPr="006B35E4">
        <w:rPr>
          <w:rFonts w:ascii="Times New Roman" w:eastAsia="Times New Roman" w:hAnsi="Times New Roman" w:cs="Times New Roman"/>
          <w:b/>
          <w:sz w:val="24"/>
          <w:szCs w:val="24"/>
          <w:lang w:eastAsia="it-IT"/>
        </w:rPr>
        <w:t>Missione 18</w:t>
      </w:r>
      <w:r w:rsidR="00CE6817" w:rsidRPr="006B35E4">
        <w:rPr>
          <w:rFonts w:ascii="Times New Roman" w:eastAsia="Times New Roman" w:hAnsi="Times New Roman" w:cs="Times New Roman"/>
          <w:sz w:val="24"/>
          <w:szCs w:val="24"/>
          <w:lang w:eastAsia="it-IT"/>
        </w:rPr>
        <w:t xml:space="preserve"> “Sviluppo sostenibile e tutela del territorio e dell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ambiente” e relativo </w:t>
      </w:r>
      <w:r w:rsidR="00CE6817" w:rsidRPr="006B35E4">
        <w:rPr>
          <w:rFonts w:ascii="Times New Roman" w:eastAsia="Times New Roman" w:hAnsi="Times New Roman" w:cs="Times New Roman"/>
          <w:b/>
          <w:sz w:val="24"/>
          <w:szCs w:val="24"/>
          <w:lang w:eastAsia="it-IT"/>
        </w:rPr>
        <w:t>Programma 18.14</w:t>
      </w:r>
      <w:r w:rsidR="00CE6817" w:rsidRPr="006B35E4">
        <w:rPr>
          <w:rFonts w:ascii="Times New Roman" w:eastAsia="Times New Roman" w:hAnsi="Times New Roman" w:cs="Times New Roman"/>
          <w:sz w:val="24"/>
          <w:szCs w:val="24"/>
          <w:lang w:eastAsia="it-IT"/>
        </w:rPr>
        <w:t xml:space="preserve"> “Sostegno allo sviluppo sostenibile” dell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80,90 per cento. In particolare, non risultano assegnate </w:t>
      </w:r>
      <w:r w:rsidR="00CE6817">
        <w:rPr>
          <w:rFonts w:ascii="Times New Roman" w:eastAsia="Times New Roman" w:hAnsi="Times New Roman" w:cs="Times New Roman"/>
          <w:sz w:val="24"/>
          <w:szCs w:val="24"/>
          <w:lang w:eastAsia="it-IT"/>
        </w:rPr>
        <w:t xml:space="preserve">nel 2022 </w:t>
      </w:r>
      <w:r w:rsidR="00CE6817" w:rsidRPr="006B35E4">
        <w:rPr>
          <w:rFonts w:ascii="Times New Roman" w:eastAsia="Times New Roman" w:hAnsi="Times New Roman" w:cs="Times New Roman"/>
          <w:sz w:val="24"/>
          <w:szCs w:val="24"/>
          <w:lang w:eastAsia="it-IT"/>
        </w:rPr>
        <w:t>risorse per la stipula di contratti di lavoro a tempo determinato per 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accelerazione e 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attuazione degli investimenti sul dissesto idrogeologico </w:t>
      </w:r>
      <w:r w:rsidR="00CE6817" w:rsidRPr="006B35E4">
        <w:rPr>
          <w:rFonts w:ascii="Times New Roman" w:eastAsia="Times New Roman" w:hAnsi="Times New Roman" w:cs="Times New Roman"/>
          <w:b/>
          <w:sz w:val="24"/>
          <w:szCs w:val="24"/>
          <w:lang w:eastAsia="it-IT"/>
        </w:rPr>
        <w:t>(cap. 2020)</w:t>
      </w:r>
      <w:r w:rsidR="006A6AEF" w:rsidRPr="006A6AEF">
        <w:rPr>
          <w:rFonts w:ascii="Times New Roman" w:eastAsia="Times New Roman" w:hAnsi="Times New Roman" w:cs="Times New Roman"/>
          <w:bCs/>
          <w:sz w:val="24"/>
          <w:szCs w:val="24"/>
          <w:lang w:eastAsia="it-IT"/>
        </w:rPr>
        <w:t>,</w:t>
      </w:r>
      <w:r w:rsidR="00CE6817" w:rsidRPr="006A6AEF">
        <w:rPr>
          <w:rFonts w:ascii="Times New Roman" w:eastAsia="Times New Roman" w:hAnsi="Times New Roman" w:cs="Times New Roman"/>
          <w:bCs/>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che nel 2021 ammontavano a euro 35.000.000,00, </w:t>
      </w:r>
      <w:r w:rsidR="00CE6817">
        <w:rPr>
          <w:rFonts w:ascii="Times New Roman" w:eastAsia="Times New Roman" w:hAnsi="Times New Roman" w:cs="Times New Roman"/>
          <w:sz w:val="24"/>
          <w:szCs w:val="24"/>
          <w:lang w:eastAsia="it-IT"/>
        </w:rPr>
        <w:t xml:space="preserve">quelle </w:t>
      </w:r>
      <w:r w:rsidR="00CE6817" w:rsidRPr="006B35E4">
        <w:rPr>
          <w:rFonts w:ascii="Times New Roman" w:eastAsia="Times New Roman" w:hAnsi="Times New Roman" w:cs="Times New Roman"/>
          <w:sz w:val="24"/>
          <w:szCs w:val="24"/>
          <w:lang w:eastAsia="it-IT"/>
        </w:rPr>
        <w:t xml:space="preserve">per la tutela e la valorizzazione delle aree di particolare interesse geologico o speleologico </w:t>
      </w:r>
      <w:r w:rsidR="00CE6817" w:rsidRPr="006B35E4">
        <w:rPr>
          <w:rFonts w:ascii="Times New Roman" w:eastAsia="Times New Roman" w:hAnsi="Times New Roman" w:cs="Times New Roman"/>
          <w:b/>
          <w:sz w:val="24"/>
          <w:szCs w:val="24"/>
          <w:lang w:eastAsia="it-IT"/>
        </w:rPr>
        <w:t>(cap. 2070)</w:t>
      </w:r>
      <w:r w:rsidR="00CE6817" w:rsidRPr="00933572">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pari a euro 4.000.000,00 nell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esercizio precedente.</w:t>
      </w:r>
    </w:p>
    <w:p w14:paraId="6DB4B787" w14:textId="770EA345" w:rsidR="00CE6817" w:rsidRDefault="00CE6817" w:rsidP="00CE6817">
      <w:pPr>
        <w:spacing w:after="0" w:line="360" w:lineRule="auto"/>
        <w:ind w:right="96"/>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Si registra, inoltre, </w:t>
      </w:r>
      <w:r w:rsidRPr="006B35E4">
        <w:rPr>
          <w:rFonts w:ascii="Times New Roman" w:eastAsia="Times New Roman" w:hAnsi="Times New Roman" w:cs="Times New Roman"/>
          <w:sz w:val="24"/>
          <w:szCs w:val="24"/>
          <w:lang w:eastAsia="it-IT"/>
        </w:rPr>
        <w:t>una dimin</w:t>
      </w:r>
      <w:r w:rsidR="0037636B">
        <w:rPr>
          <w:rFonts w:ascii="Times New Roman" w:eastAsia="Times New Roman" w:hAnsi="Times New Roman" w:cs="Times New Roman"/>
          <w:sz w:val="24"/>
          <w:szCs w:val="24"/>
          <w:lang w:eastAsia="it-IT"/>
        </w:rPr>
        <w:t>u</w:t>
      </w:r>
      <w:r w:rsidRPr="006B35E4">
        <w:rPr>
          <w:rFonts w:ascii="Times New Roman" w:eastAsia="Times New Roman" w:hAnsi="Times New Roman" w:cs="Times New Roman"/>
          <w:sz w:val="24"/>
          <w:szCs w:val="24"/>
          <w:lang w:eastAsia="it-IT"/>
        </w:rPr>
        <w:t xml:space="preserve">zione </w:t>
      </w:r>
      <w:r>
        <w:rPr>
          <w:rFonts w:ascii="Times New Roman" w:eastAsia="Times New Roman" w:hAnsi="Times New Roman" w:cs="Times New Roman"/>
          <w:sz w:val="24"/>
          <w:szCs w:val="24"/>
          <w:lang w:eastAsia="it-IT"/>
        </w:rPr>
        <w:t xml:space="preserve">di euro 2.000.000,00 </w:t>
      </w:r>
      <w:r w:rsidRPr="006B35E4">
        <w:rPr>
          <w:rFonts w:ascii="Times New Roman" w:eastAsia="Times New Roman" w:hAnsi="Times New Roman" w:cs="Times New Roman"/>
          <w:sz w:val="24"/>
          <w:szCs w:val="24"/>
          <w:lang w:eastAsia="it-IT"/>
        </w:rPr>
        <w:t xml:space="preserve">delle risorse destinate alla Fondazione futuro delle città </w:t>
      </w:r>
      <w:r w:rsidRPr="006B35E4">
        <w:rPr>
          <w:rFonts w:ascii="Times New Roman" w:eastAsia="Times New Roman" w:hAnsi="Times New Roman" w:cs="Times New Roman"/>
          <w:b/>
          <w:sz w:val="24"/>
          <w:szCs w:val="24"/>
          <w:lang w:eastAsia="it-IT"/>
        </w:rPr>
        <w:t>(cap. 2115)</w:t>
      </w:r>
      <w:r w:rsidR="006A6AEF" w:rsidRPr="006A6AEF">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sz w:val="24"/>
          <w:szCs w:val="24"/>
          <w:lang w:eastAsia="it-IT"/>
        </w:rPr>
        <w:t xml:space="preserve"> che passano da euro 5.000.000,00 a euro 3.000.000,00.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A fronte di tale riduzione, si rileva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assegnazione di nuove risorse pari a</w:t>
      </w:r>
      <w:r w:rsidR="006A6AEF">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euro 5.000.000,00 </w:t>
      </w:r>
      <w:r>
        <w:rPr>
          <w:rFonts w:ascii="Times New Roman" w:eastAsia="Times New Roman" w:hAnsi="Times New Roman" w:cs="Times New Roman"/>
          <w:sz w:val="24"/>
          <w:szCs w:val="24"/>
          <w:lang w:eastAsia="it-IT"/>
        </w:rPr>
        <w:t xml:space="preserve">da destinare alle </w:t>
      </w:r>
      <w:r w:rsidRPr="006B35E4">
        <w:rPr>
          <w:rFonts w:ascii="Times New Roman" w:eastAsia="Times New Roman" w:hAnsi="Times New Roman" w:cs="Times New Roman"/>
          <w:sz w:val="24"/>
          <w:szCs w:val="24"/>
          <w:lang w:eastAsia="it-IT"/>
        </w:rPr>
        <w:t xml:space="preserve">opere idrauliche e </w:t>
      </w:r>
      <w:r>
        <w:rPr>
          <w:rFonts w:ascii="Times New Roman" w:eastAsia="Times New Roman" w:hAnsi="Times New Roman" w:cs="Times New Roman"/>
          <w:sz w:val="24"/>
          <w:szCs w:val="24"/>
          <w:lang w:eastAsia="it-IT"/>
        </w:rPr>
        <w:t xml:space="preserve">alla </w:t>
      </w:r>
      <w:r w:rsidRPr="006B35E4">
        <w:rPr>
          <w:rFonts w:ascii="Times New Roman" w:eastAsia="Times New Roman" w:hAnsi="Times New Roman" w:cs="Times New Roman"/>
          <w:sz w:val="24"/>
          <w:szCs w:val="24"/>
          <w:lang w:eastAsia="it-IT"/>
        </w:rPr>
        <w:t xml:space="preserve">funzionalità idraulica dei reticoli idrografici </w:t>
      </w:r>
      <w:r w:rsidRPr="006B35E4">
        <w:rPr>
          <w:rFonts w:ascii="Times New Roman" w:eastAsia="Times New Roman" w:hAnsi="Times New Roman" w:cs="Times New Roman"/>
          <w:b/>
          <w:sz w:val="24"/>
          <w:szCs w:val="24"/>
          <w:lang w:eastAsia="it-IT"/>
        </w:rPr>
        <w:t>(cap. 7621)</w:t>
      </w:r>
      <w:r w:rsidRPr="00933572">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w:t>
      </w:r>
    </w:p>
    <w:p w14:paraId="48F1B98B" w14:textId="77777777" w:rsidR="00CE6817" w:rsidRPr="00933572" w:rsidRDefault="00CE6817" w:rsidP="00CE6817">
      <w:pPr>
        <w:spacing w:after="0" w:line="360" w:lineRule="auto"/>
        <w:ind w:right="96"/>
        <w:jc w:val="both"/>
        <w:rPr>
          <w:rFonts w:ascii="Times New Roman" w:eastAsia="Times New Roman" w:hAnsi="Times New Roman" w:cs="Times New Roman"/>
          <w:sz w:val="12"/>
          <w:szCs w:val="24"/>
          <w:lang w:eastAsia="it-IT"/>
        </w:rPr>
      </w:pPr>
    </w:p>
    <w:p w14:paraId="7C67DAF1" w14:textId="3C28534D" w:rsidR="00CE6817" w:rsidRDefault="00C15EB4"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della </w:t>
      </w:r>
      <w:r w:rsidR="00CE6817" w:rsidRPr="006B35E4">
        <w:rPr>
          <w:rFonts w:ascii="Times New Roman" w:eastAsia="Times New Roman" w:hAnsi="Times New Roman" w:cs="Times New Roman"/>
          <w:b/>
          <w:sz w:val="24"/>
          <w:szCs w:val="24"/>
          <w:lang w:eastAsia="it-IT"/>
        </w:rPr>
        <w:t>Missione 19</w:t>
      </w:r>
      <w:r w:rsidR="00CE6817" w:rsidRPr="006B35E4">
        <w:rPr>
          <w:rFonts w:ascii="Times New Roman" w:eastAsia="Times New Roman" w:hAnsi="Times New Roman" w:cs="Times New Roman"/>
          <w:sz w:val="24"/>
          <w:szCs w:val="24"/>
          <w:lang w:eastAsia="it-IT"/>
        </w:rPr>
        <w:t xml:space="preserve"> “Casa e assetto urbanistico” e relativo </w:t>
      </w:r>
      <w:r w:rsidR="00CE6817" w:rsidRPr="006B35E4">
        <w:rPr>
          <w:rFonts w:ascii="Times New Roman" w:eastAsia="Times New Roman" w:hAnsi="Times New Roman" w:cs="Times New Roman"/>
          <w:b/>
          <w:sz w:val="24"/>
          <w:szCs w:val="24"/>
          <w:lang w:eastAsia="it-IT"/>
        </w:rPr>
        <w:t>Programma 19.1</w:t>
      </w:r>
      <w:r w:rsidR="00CE6817" w:rsidRPr="006B35E4">
        <w:rPr>
          <w:rFonts w:ascii="Times New Roman" w:eastAsia="Times New Roman" w:hAnsi="Times New Roman" w:cs="Times New Roman"/>
          <w:sz w:val="24"/>
          <w:szCs w:val="24"/>
          <w:lang w:eastAsia="it-IT"/>
        </w:rPr>
        <w:t xml:space="preserve"> “Edilizia abitativa e politiche territoriali” del 69,15 per cento. Nel dettaglio, non risultano assegnate risorse </w:t>
      </w:r>
      <w:r w:rsidR="00CE6817">
        <w:rPr>
          <w:rFonts w:ascii="Times New Roman" w:eastAsia="Times New Roman" w:hAnsi="Times New Roman" w:cs="Times New Roman"/>
          <w:sz w:val="24"/>
          <w:szCs w:val="24"/>
          <w:lang w:eastAsia="it-IT"/>
        </w:rPr>
        <w:t xml:space="preserve">al Fondo </w:t>
      </w:r>
      <w:proofErr w:type="gramStart"/>
      <w:r w:rsidR="00CE6817" w:rsidRPr="006B35E4">
        <w:rPr>
          <w:rFonts w:ascii="Times New Roman" w:eastAsia="Times New Roman" w:hAnsi="Times New Roman" w:cs="Times New Roman"/>
          <w:sz w:val="24"/>
          <w:szCs w:val="24"/>
          <w:lang w:eastAsia="it-IT"/>
        </w:rPr>
        <w:t>per  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attuazione</w:t>
      </w:r>
      <w:proofErr w:type="gramEnd"/>
      <w:r w:rsidR="00CE6817" w:rsidRPr="006B35E4">
        <w:rPr>
          <w:rFonts w:ascii="Times New Roman" w:eastAsia="Times New Roman" w:hAnsi="Times New Roman" w:cs="Times New Roman"/>
          <w:sz w:val="24"/>
          <w:szCs w:val="24"/>
          <w:lang w:eastAsia="it-IT"/>
        </w:rPr>
        <w:t xml:space="preserve"> del piano nazionale per la riqualificazione e rigenerazione aree urbane degradate </w:t>
      </w:r>
      <w:r w:rsidR="00CE6817" w:rsidRPr="006B35E4">
        <w:rPr>
          <w:rFonts w:ascii="Times New Roman" w:eastAsia="Times New Roman" w:hAnsi="Times New Roman" w:cs="Times New Roman"/>
          <w:b/>
          <w:sz w:val="24"/>
          <w:szCs w:val="24"/>
          <w:lang w:eastAsia="it-IT"/>
        </w:rPr>
        <w:t>(cap. 2099</w:t>
      </w:r>
      <w:r w:rsidR="00CE6817" w:rsidRPr="006B35E4">
        <w:rPr>
          <w:rFonts w:ascii="Times New Roman" w:eastAsia="Times New Roman" w:hAnsi="Times New Roman" w:cs="Times New Roman"/>
          <w:sz w:val="24"/>
          <w:szCs w:val="24"/>
          <w:lang w:eastAsia="it-IT"/>
        </w:rPr>
        <w:t>), pari a euro 226.932.126,00 nel 2021, a fronte di una nuova assegnazione a favore del Fondo complementare PNRR - ecosistemi per 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innovazione al Sud in contesti urbani marginalizzati </w:t>
      </w:r>
      <w:r w:rsidR="00CE6817" w:rsidRPr="006B35E4">
        <w:rPr>
          <w:rFonts w:ascii="Times New Roman" w:eastAsia="Times New Roman" w:hAnsi="Times New Roman" w:cs="Times New Roman"/>
          <w:b/>
          <w:sz w:val="24"/>
          <w:szCs w:val="24"/>
          <w:lang w:eastAsia="it-IT"/>
        </w:rPr>
        <w:t>(cap. 7487)</w:t>
      </w:r>
      <w:r w:rsidR="00CE6817" w:rsidRPr="006B35E4">
        <w:rPr>
          <w:rFonts w:ascii="Times New Roman" w:eastAsia="Times New Roman" w:hAnsi="Times New Roman" w:cs="Times New Roman"/>
          <w:sz w:val="24"/>
          <w:szCs w:val="24"/>
          <w:lang w:eastAsia="it-IT"/>
        </w:rPr>
        <w:t xml:space="preserve"> per euro 70.000.000,00</w:t>
      </w:r>
      <w:r w:rsidR="00CE6817">
        <w:rPr>
          <w:rFonts w:ascii="Times New Roman" w:eastAsia="Times New Roman" w:hAnsi="Times New Roman" w:cs="Times New Roman"/>
          <w:sz w:val="24"/>
          <w:szCs w:val="24"/>
          <w:lang w:eastAsia="it-IT"/>
        </w:rPr>
        <w:t>;</w:t>
      </w:r>
    </w:p>
    <w:p w14:paraId="37473A66" w14:textId="77777777" w:rsidR="00CE6817" w:rsidRPr="00D74AFE" w:rsidRDefault="00CE6817" w:rsidP="00CE6817">
      <w:pPr>
        <w:spacing w:after="0" w:line="360" w:lineRule="auto"/>
        <w:jc w:val="both"/>
        <w:rPr>
          <w:rFonts w:ascii="Times New Roman" w:eastAsia="Times New Roman" w:hAnsi="Times New Roman" w:cs="Times New Roman"/>
          <w:sz w:val="12"/>
          <w:szCs w:val="24"/>
          <w:lang w:eastAsia="it-IT"/>
        </w:rPr>
      </w:pPr>
    </w:p>
    <w:p w14:paraId="429835CB" w14:textId="6CD95E80" w:rsidR="00CE6817" w:rsidRPr="006B35E4" w:rsidRDefault="00C15EB4"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della </w:t>
      </w:r>
      <w:r w:rsidR="00CE6817" w:rsidRPr="006B35E4">
        <w:rPr>
          <w:rFonts w:ascii="Times New Roman" w:eastAsia="Times New Roman" w:hAnsi="Times New Roman" w:cs="Times New Roman"/>
          <w:b/>
          <w:sz w:val="24"/>
          <w:szCs w:val="24"/>
          <w:lang w:eastAsia="it-IT"/>
        </w:rPr>
        <w:t>Missione 24</w:t>
      </w:r>
      <w:r w:rsidR="00CE6817" w:rsidRPr="006B35E4">
        <w:rPr>
          <w:rFonts w:ascii="Times New Roman" w:eastAsia="Times New Roman" w:hAnsi="Times New Roman" w:cs="Times New Roman"/>
          <w:sz w:val="24"/>
          <w:szCs w:val="24"/>
          <w:lang w:eastAsia="it-IT"/>
        </w:rPr>
        <w:t xml:space="preserve"> “Diritti sociali, politiche sociali e famiglia” e relativo </w:t>
      </w:r>
      <w:r w:rsidR="00CE6817" w:rsidRPr="006B35E4">
        <w:rPr>
          <w:rFonts w:ascii="Times New Roman" w:eastAsia="Times New Roman" w:hAnsi="Times New Roman" w:cs="Times New Roman"/>
          <w:b/>
          <w:sz w:val="24"/>
          <w:szCs w:val="24"/>
          <w:lang w:eastAsia="it-IT"/>
        </w:rPr>
        <w:t>Programma 24.5</w:t>
      </w:r>
      <w:r w:rsidR="00CE6817" w:rsidRPr="006B35E4">
        <w:rPr>
          <w:rFonts w:ascii="Times New Roman" w:eastAsia="Times New Roman" w:hAnsi="Times New Roman" w:cs="Times New Roman"/>
          <w:sz w:val="24"/>
          <w:szCs w:val="24"/>
          <w:lang w:eastAsia="it-IT"/>
        </w:rPr>
        <w:t xml:space="preserve"> “Protezione sociale per particolari categorie” del 6,03 per cento. </w:t>
      </w:r>
      <w:r w:rsidR="00CE6817">
        <w:rPr>
          <w:rFonts w:ascii="Times New Roman" w:eastAsia="Times New Roman" w:hAnsi="Times New Roman" w:cs="Times New Roman"/>
          <w:sz w:val="24"/>
          <w:szCs w:val="24"/>
          <w:lang w:eastAsia="it-IT"/>
        </w:rPr>
        <w:t xml:space="preserve">In particolare, </w:t>
      </w:r>
      <w:r w:rsidR="00CE6817" w:rsidRPr="006B35E4">
        <w:rPr>
          <w:rFonts w:ascii="Times New Roman" w:eastAsia="Times New Roman" w:hAnsi="Times New Roman" w:cs="Times New Roman"/>
          <w:sz w:val="24"/>
          <w:szCs w:val="24"/>
          <w:lang w:eastAsia="it-IT"/>
        </w:rPr>
        <w:t>non risultano assegnate</w:t>
      </w:r>
      <w:r w:rsidR="00CE6817">
        <w:rPr>
          <w:rFonts w:ascii="Times New Roman" w:eastAsia="Times New Roman" w:hAnsi="Times New Roman" w:cs="Times New Roman"/>
          <w:sz w:val="24"/>
          <w:szCs w:val="24"/>
          <w:lang w:eastAsia="it-IT"/>
        </w:rPr>
        <w:t xml:space="preserve"> le risorse </w:t>
      </w:r>
      <w:r w:rsidR="00CE6817" w:rsidRPr="006B35E4">
        <w:rPr>
          <w:rFonts w:ascii="Times New Roman" w:eastAsia="Times New Roman" w:hAnsi="Times New Roman" w:cs="Times New Roman"/>
          <w:sz w:val="24"/>
          <w:szCs w:val="24"/>
          <w:lang w:eastAsia="it-IT"/>
        </w:rPr>
        <w:t>per il Fondo per genitori lavoratori separati o divorziati al fine di garantire la continuità di versamento dell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assegno di mantenimento </w:t>
      </w:r>
      <w:r w:rsidR="00CE6817" w:rsidRPr="006B35E4">
        <w:rPr>
          <w:rFonts w:ascii="Times New Roman" w:eastAsia="Times New Roman" w:hAnsi="Times New Roman" w:cs="Times New Roman"/>
          <w:b/>
          <w:sz w:val="24"/>
          <w:szCs w:val="24"/>
          <w:lang w:eastAsia="it-IT"/>
        </w:rPr>
        <w:t>(cap. 2079)</w:t>
      </w:r>
      <w:r w:rsidR="00CE6817" w:rsidRPr="00A7501F">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pari</w:t>
      </w:r>
      <w:r w:rsidR="00CE6817">
        <w:rPr>
          <w:rFonts w:ascii="Times New Roman" w:eastAsia="Times New Roman" w:hAnsi="Times New Roman" w:cs="Times New Roman"/>
          <w:sz w:val="24"/>
          <w:szCs w:val="24"/>
          <w:lang w:eastAsia="it-IT"/>
        </w:rPr>
        <w:t xml:space="preserve"> a euro 10.000.000,00 nel 2021, </w:t>
      </w:r>
      <w:r w:rsidR="00CE6817" w:rsidRPr="006B35E4">
        <w:rPr>
          <w:rFonts w:ascii="Times New Roman" w:eastAsia="Times New Roman" w:hAnsi="Times New Roman" w:cs="Times New Roman"/>
          <w:sz w:val="24"/>
          <w:szCs w:val="24"/>
          <w:lang w:eastAsia="it-IT"/>
        </w:rPr>
        <w:t xml:space="preserve">per il Fondo per la prevenzione della dipendenza da stupefacenti </w:t>
      </w:r>
      <w:r w:rsidR="00CE6817" w:rsidRPr="006B35E4">
        <w:rPr>
          <w:rFonts w:ascii="Times New Roman" w:eastAsia="Times New Roman" w:hAnsi="Times New Roman" w:cs="Times New Roman"/>
          <w:b/>
          <w:sz w:val="24"/>
          <w:szCs w:val="24"/>
          <w:lang w:eastAsia="it-IT"/>
        </w:rPr>
        <w:t xml:space="preserve">(cap. 2122) </w:t>
      </w:r>
      <w:r w:rsidR="00CE6817" w:rsidRPr="006B35E4">
        <w:rPr>
          <w:rFonts w:ascii="Times New Roman" w:eastAsia="Times New Roman" w:hAnsi="Times New Roman" w:cs="Times New Roman"/>
          <w:sz w:val="24"/>
          <w:szCs w:val="24"/>
          <w:lang w:eastAsia="it-IT"/>
        </w:rPr>
        <w:t xml:space="preserve">pari a euro 3.000.000,00 nel 2021, </w:t>
      </w:r>
      <w:r w:rsidR="00CE6817">
        <w:rPr>
          <w:rFonts w:ascii="Times New Roman" w:eastAsia="Times New Roman" w:hAnsi="Times New Roman" w:cs="Times New Roman"/>
          <w:sz w:val="24"/>
          <w:szCs w:val="24"/>
          <w:lang w:eastAsia="it-IT"/>
        </w:rPr>
        <w:t xml:space="preserve">per </w:t>
      </w:r>
      <w:r w:rsidR="00CE6817" w:rsidRPr="006B35E4">
        <w:rPr>
          <w:rFonts w:ascii="Times New Roman" w:eastAsia="Times New Roman" w:hAnsi="Times New Roman" w:cs="Times New Roman"/>
          <w:sz w:val="24"/>
          <w:szCs w:val="24"/>
          <w:lang w:eastAsia="it-IT"/>
        </w:rPr>
        <w:t xml:space="preserve">il Fondo di sostegno alla natalità </w:t>
      </w:r>
      <w:r w:rsidR="00CE6817" w:rsidRPr="006B35E4">
        <w:rPr>
          <w:rFonts w:ascii="Times New Roman" w:eastAsia="Times New Roman" w:hAnsi="Times New Roman" w:cs="Times New Roman"/>
          <w:b/>
          <w:sz w:val="24"/>
          <w:szCs w:val="24"/>
          <w:lang w:eastAsia="it-IT"/>
        </w:rPr>
        <w:t xml:space="preserve">(cap. 2137) </w:t>
      </w:r>
      <w:r w:rsidR="00CE6817" w:rsidRPr="006B35E4">
        <w:rPr>
          <w:rFonts w:ascii="Times New Roman" w:eastAsia="Times New Roman" w:hAnsi="Times New Roman" w:cs="Times New Roman"/>
          <w:sz w:val="24"/>
          <w:szCs w:val="24"/>
          <w:lang w:eastAsia="it-IT"/>
        </w:rPr>
        <w:t>che ammontava a euro 5.673.303,00</w:t>
      </w:r>
      <w:r w:rsidR="00CE6817">
        <w:rPr>
          <w:rFonts w:ascii="Times New Roman" w:eastAsia="Times New Roman" w:hAnsi="Times New Roman" w:cs="Times New Roman"/>
          <w:sz w:val="24"/>
          <w:szCs w:val="24"/>
          <w:lang w:eastAsia="it-IT"/>
        </w:rPr>
        <w:t xml:space="preserve"> nell</w:t>
      </w:r>
      <w:r w:rsidR="00877AAF">
        <w:rPr>
          <w:rFonts w:ascii="Times New Roman" w:eastAsia="Times New Roman" w:hAnsi="Times New Roman" w:cs="Times New Roman"/>
          <w:sz w:val="24"/>
          <w:szCs w:val="24"/>
          <w:lang w:eastAsia="it-IT"/>
        </w:rPr>
        <w:t>’</w:t>
      </w:r>
      <w:r w:rsidR="00CE6817">
        <w:rPr>
          <w:rFonts w:ascii="Times New Roman" w:eastAsia="Times New Roman" w:hAnsi="Times New Roman" w:cs="Times New Roman"/>
          <w:sz w:val="24"/>
          <w:szCs w:val="24"/>
          <w:lang w:eastAsia="it-IT"/>
        </w:rPr>
        <w:t>esercizio precedente</w:t>
      </w:r>
      <w:r w:rsidR="00CE6817" w:rsidRPr="006B35E4">
        <w:rPr>
          <w:rFonts w:ascii="Times New Roman" w:eastAsia="Times New Roman" w:hAnsi="Times New Roman" w:cs="Times New Roman"/>
          <w:sz w:val="24"/>
          <w:szCs w:val="24"/>
          <w:lang w:eastAsia="it-IT"/>
        </w:rPr>
        <w:t>, per la Carta europea per la disabilità</w:t>
      </w:r>
      <w:r w:rsidR="00CE6817" w:rsidRPr="006B35E4">
        <w:rPr>
          <w:rFonts w:ascii="Times New Roman" w:eastAsia="Times New Roman" w:hAnsi="Times New Roman" w:cs="Times New Roman"/>
          <w:b/>
          <w:sz w:val="24"/>
          <w:szCs w:val="24"/>
          <w:lang w:eastAsia="it-IT"/>
        </w:rPr>
        <w:t xml:space="preserve"> (cap. 2138)</w:t>
      </w:r>
      <w:r w:rsidR="00CE6817">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e per l</w:t>
      </w:r>
      <w:r w:rsidR="00877AAF">
        <w:rPr>
          <w:rFonts w:ascii="Times New Roman" w:eastAsia="Times New Roman" w:hAnsi="Times New Roman" w:cs="Times New Roman"/>
          <w:sz w:val="24"/>
          <w:szCs w:val="24"/>
          <w:lang w:eastAsia="it-IT"/>
        </w:rPr>
        <w:t>’</w:t>
      </w:r>
      <w:r w:rsidR="00CE6817" w:rsidRPr="006B35E4">
        <w:rPr>
          <w:rFonts w:ascii="Times New Roman" w:eastAsia="Times New Roman" w:hAnsi="Times New Roman" w:cs="Times New Roman"/>
          <w:sz w:val="24"/>
          <w:szCs w:val="24"/>
          <w:lang w:eastAsia="it-IT"/>
        </w:rPr>
        <w:t xml:space="preserve">acquisto di abbonamenti a quotidiani, riviste o periodici anche in formato digitale </w:t>
      </w:r>
      <w:r w:rsidR="00CE6817" w:rsidRPr="006B35E4">
        <w:rPr>
          <w:rFonts w:ascii="Times New Roman" w:eastAsia="Times New Roman" w:hAnsi="Times New Roman" w:cs="Times New Roman"/>
          <w:b/>
          <w:sz w:val="24"/>
          <w:szCs w:val="24"/>
          <w:lang w:eastAsia="it-IT"/>
        </w:rPr>
        <w:t>(cap. 216</w:t>
      </w:r>
      <w:r w:rsidR="00CE6817">
        <w:rPr>
          <w:rFonts w:ascii="Times New Roman" w:eastAsia="Times New Roman" w:hAnsi="Times New Roman" w:cs="Times New Roman"/>
          <w:b/>
          <w:sz w:val="24"/>
          <w:szCs w:val="24"/>
          <w:lang w:eastAsia="it-IT"/>
        </w:rPr>
        <w:t>2</w:t>
      </w:r>
      <w:r w:rsidR="00CE6817" w:rsidRPr="006B35E4">
        <w:rPr>
          <w:rFonts w:ascii="Times New Roman" w:eastAsia="Times New Roman" w:hAnsi="Times New Roman" w:cs="Times New Roman"/>
          <w:b/>
          <w:sz w:val="24"/>
          <w:szCs w:val="24"/>
          <w:lang w:eastAsia="it-IT"/>
        </w:rPr>
        <w:t>)</w:t>
      </w:r>
      <w:r w:rsidR="00E719AD" w:rsidRPr="00E719AD">
        <w:rPr>
          <w:rFonts w:ascii="Times New Roman" w:eastAsia="Times New Roman" w:hAnsi="Times New Roman" w:cs="Times New Roman"/>
          <w:bCs/>
          <w:sz w:val="24"/>
          <w:szCs w:val="24"/>
          <w:lang w:eastAsia="it-IT"/>
        </w:rPr>
        <w:t>,</w:t>
      </w:r>
      <w:r w:rsidR="00CE6817" w:rsidRPr="006B35E4">
        <w:rPr>
          <w:rFonts w:ascii="Times New Roman" w:eastAsia="Times New Roman" w:hAnsi="Times New Roman" w:cs="Times New Roman"/>
          <w:sz w:val="24"/>
          <w:szCs w:val="24"/>
          <w:lang w:eastAsia="it-IT"/>
        </w:rPr>
        <w:t xml:space="preserve"> rispettivamente pari a euro 1.500.000,00</w:t>
      </w:r>
      <w:r w:rsidR="00CE6817">
        <w:rPr>
          <w:rFonts w:ascii="Times New Roman" w:eastAsia="Times New Roman" w:hAnsi="Times New Roman" w:cs="Times New Roman"/>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e euro 12.500.000,00 </w:t>
      </w:r>
      <w:r w:rsidR="00CE6817">
        <w:rPr>
          <w:rFonts w:ascii="Times New Roman" w:eastAsia="Times New Roman" w:hAnsi="Times New Roman" w:cs="Times New Roman"/>
          <w:sz w:val="24"/>
          <w:szCs w:val="24"/>
          <w:lang w:eastAsia="it-IT"/>
        </w:rPr>
        <w:t>nel 2021</w:t>
      </w:r>
      <w:r w:rsidR="00CE6817" w:rsidRPr="006B35E4">
        <w:rPr>
          <w:rFonts w:ascii="Times New Roman" w:eastAsia="Times New Roman" w:hAnsi="Times New Roman" w:cs="Times New Roman"/>
          <w:sz w:val="24"/>
          <w:szCs w:val="24"/>
          <w:lang w:eastAsia="it-IT"/>
        </w:rPr>
        <w:t>.</w:t>
      </w:r>
    </w:p>
    <w:p w14:paraId="6454854F" w14:textId="034456B4"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Inoltre, s</w:t>
      </w:r>
      <w:r w:rsidRPr="006B35E4">
        <w:rPr>
          <w:rFonts w:ascii="Times New Roman" w:eastAsia="Times New Roman" w:hAnsi="Times New Roman" w:cs="Times New Roman"/>
          <w:sz w:val="24"/>
          <w:szCs w:val="24"/>
          <w:lang w:eastAsia="it-IT"/>
        </w:rPr>
        <w:t>i registra una dimin</w:t>
      </w:r>
      <w:r w:rsidR="0037636B">
        <w:rPr>
          <w:rFonts w:ascii="Times New Roman" w:eastAsia="Times New Roman" w:hAnsi="Times New Roman" w:cs="Times New Roman"/>
          <w:sz w:val="24"/>
          <w:szCs w:val="24"/>
          <w:lang w:eastAsia="it-IT"/>
        </w:rPr>
        <w:t>u</w:t>
      </w:r>
      <w:r w:rsidRPr="006B35E4">
        <w:rPr>
          <w:rFonts w:ascii="Times New Roman" w:eastAsia="Times New Roman" w:hAnsi="Times New Roman" w:cs="Times New Roman"/>
          <w:sz w:val="24"/>
          <w:szCs w:val="24"/>
          <w:lang w:eastAsia="it-IT"/>
        </w:rPr>
        <w:t>zione</w:t>
      </w:r>
      <w:r>
        <w:rPr>
          <w:rFonts w:ascii="Times New Roman" w:eastAsia="Times New Roman" w:hAnsi="Times New Roman" w:cs="Times New Roman"/>
          <w:sz w:val="24"/>
          <w:szCs w:val="24"/>
          <w:lang w:eastAsia="it-IT"/>
        </w:rPr>
        <w:t xml:space="preserve"> delle risorse destinate:</w:t>
      </w:r>
    </w:p>
    <w:p w14:paraId="198B1C5E" w14:textId="5DD8C006"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al Fondo 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inclusione delle persone con disabilità </w:t>
      </w:r>
      <w:r w:rsidRPr="006B35E4">
        <w:rPr>
          <w:rFonts w:ascii="Times New Roman" w:eastAsia="Times New Roman" w:hAnsi="Times New Roman" w:cs="Times New Roman"/>
          <w:b/>
          <w:sz w:val="24"/>
          <w:szCs w:val="24"/>
          <w:lang w:eastAsia="it-IT"/>
        </w:rPr>
        <w:t>(cap. 2081)</w:t>
      </w:r>
      <w:r w:rsidRPr="006B35E4">
        <w:rPr>
          <w:rFonts w:ascii="Times New Roman" w:eastAsia="Times New Roman" w:hAnsi="Times New Roman" w:cs="Times New Roman"/>
          <w:sz w:val="24"/>
          <w:szCs w:val="24"/>
          <w:lang w:eastAsia="it-IT"/>
        </w:rPr>
        <w:t xml:space="preserve"> per euro 50.000.000,00, </w:t>
      </w:r>
      <w:r>
        <w:rPr>
          <w:rFonts w:ascii="Times New Roman" w:eastAsia="Times New Roman" w:hAnsi="Times New Roman" w:cs="Times New Roman"/>
          <w:sz w:val="24"/>
          <w:szCs w:val="24"/>
          <w:lang w:eastAsia="it-IT"/>
        </w:rPr>
        <w:t>passando da euro 100.000.000,00 a euro 50.000.000,00;</w:t>
      </w:r>
    </w:p>
    <w:p w14:paraId="08CBEE82" w14:textId="14CECBD7"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 xml:space="preserve">alle politiche di sostegno alla famiglia </w:t>
      </w:r>
      <w:r w:rsidRPr="006B35E4">
        <w:rPr>
          <w:rFonts w:ascii="Times New Roman" w:eastAsia="Times New Roman" w:hAnsi="Times New Roman" w:cs="Times New Roman"/>
          <w:b/>
          <w:sz w:val="24"/>
          <w:szCs w:val="24"/>
          <w:lang w:eastAsia="it-IT"/>
        </w:rPr>
        <w:t>(cap. 2102)</w:t>
      </w:r>
      <w:r w:rsidRPr="006B35E4">
        <w:rPr>
          <w:rFonts w:ascii="Times New Roman" w:eastAsia="Times New Roman" w:hAnsi="Times New Roman" w:cs="Times New Roman"/>
          <w:sz w:val="24"/>
          <w:szCs w:val="24"/>
          <w:lang w:eastAsia="it-IT"/>
        </w:rPr>
        <w:t xml:space="preserve"> per euro 234.834.295,00</w:t>
      </w:r>
      <w:r w:rsidR="00E719AD">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che passa</w:t>
      </w:r>
      <w:r>
        <w:rPr>
          <w:rFonts w:ascii="Times New Roman" w:eastAsia="Times New Roman" w:hAnsi="Times New Roman" w:cs="Times New Roman"/>
          <w:sz w:val="24"/>
          <w:szCs w:val="24"/>
          <w:lang w:eastAsia="it-IT"/>
        </w:rPr>
        <w:t>no</w:t>
      </w:r>
      <w:r w:rsidRPr="006B35E4">
        <w:rPr>
          <w:rFonts w:ascii="Times New Roman" w:eastAsia="Times New Roman" w:hAnsi="Times New Roman" w:cs="Times New Roman"/>
          <w:sz w:val="24"/>
          <w:szCs w:val="24"/>
          <w:lang w:eastAsia="it-IT"/>
        </w:rPr>
        <w:t xml:space="preserve"> da euro 290</w:t>
      </w:r>
      <w:r>
        <w:rPr>
          <w:rFonts w:ascii="Times New Roman" w:eastAsia="Times New Roman" w:hAnsi="Times New Roman" w:cs="Times New Roman"/>
          <w:sz w:val="24"/>
          <w:szCs w:val="24"/>
          <w:lang w:eastAsia="it-IT"/>
        </w:rPr>
        <w:t>.894.994,00 a euro 56.060.699,</w:t>
      </w:r>
      <w:r w:rsidR="00E719AD">
        <w:rPr>
          <w:rFonts w:ascii="Times New Roman" w:eastAsia="Times New Roman" w:hAnsi="Times New Roman" w:cs="Times New Roman"/>
          <w:sz w:val="24"/>
          <w:szCs w:val="24"/>
          <w:lang w:eastAsia="it-IT"/>
        </w:rPr>
        <w:t>0</w:t>
      </w:r>
      <w:r>
        <w:rPr>
          <w:rFonts w:ascii="Times New Roman" w:eastAsia="Times New Roman" w:hAnsi="Times New Roman" w:cs="Times New Roman"/>
          <w:sz w:val="24"/>
          <w:szCs w:val="24"/>
          <w:lang w:eastAsia="it-IT"/>
        </w:rPr>
        <w:t>0;</w:t>
      </w:r>
    </w:p>
    <w:p w14:paraId="1289B916" w14:textId="77777777"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 xml:space="preserve">- </w:t>
      </w:r>
      <w:r w:rsidRPr="006B35E4">
        <w:rPr>
          <w:rFonts w:ascii="Times New Roman" w:eastAsia="Times New Roman" w:hAnsi="Times New Roman" w:cs="Times New Roman"/>
          <w:sz w:val="24"/>
          <w:szCs w:val="24"/>
          <w:lang w:eastAsia="it-IT"/>
        </w:rPr>
        <w:t xml:space="preserve">alle politiche antidroga </w:t>
      </w:r>
      <w:r w:rsidRPr="006B35E4">
        <w:rPr>
          <w:rFonts w:ascii="Times New Roman" w:eastAsia="Times New Roman" w:hAnsi="Times New Roman" w:cs="Times New Roman"/>
          <w:b/>
          <w:sz w:val="24"/>
          <w:szCs w:val="24"/>
          <w:lang w:eastAsia="it-IT"/>
        </w:rPr>
        <w:t xml:space="preserve">(cap. 2113) </w:t>
      </w:r>
      <w:r w:rsidRPr="006B35E4">
        <w:rPr>
          <w:rFonts w:ascii="Times New Roman" w:eastAsia="Times New Roman" w:hAnsi="Times New Roman" w:cs="Times New Roman"/>
          <w:sz w:val="24"/>
          <w:szCs w:val="24"/>
          <w:lang w:eastAsia="it-IT"/>
        </w:rPr>
        <w:t>per euro 330.513,00, che passano da euro 6.106.888,00 a euro 5.776.375,00</w:t>
      </w:r>
      <w:r>
        <w:rPr>
          <w:rFonts w:ascii="Times New Roman" w:eastAsia="Times New Roman" w:hAnsi="Times New Roman" w:cs="Times New Roman"/>
          <w:sz w:val="24"/>
          <w:szCs w:val="24"/>
          <w:lang w:eastAsia="it-IT"/>
        </w:rPr>
        <w:t>;</w:t>
      </w:r>
    </w:p>
    <w:p w14:paraId="488E3BE3" w14:textId="4D61C1E3"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al </w:t>
      </w:r>
      <w:r w:rsidR="00E719AD">
        <w:rPr>
          <w:rFonts w:ascii="Times New Roman" w:eastAsia="Times New Roman" w:hAnsi="Times New Roman" w:cs="Times New Roman"/>
          <w:sz w:val="24"/>
          <w:szCs w:val="24"/>
          <w:lang w:eastAsia="it-IT"/>
        </w:rPr>
        <w:t>F</w:t>
      </w:r>
      <w:r w:rsidRPr="006B35E4">
        <w:rPr>
          <w:rFonts w:ascii="Times New Roman" w:eastAsia="Times New Roman" w:hAnsi="Times New Roman" w:cs="Times New Roman"/>
          <w:sz w:val="24"/>
          <w:szCs w:val="24"/>
          <w:lang w:eastAsia="it-IT"/>
        </w:rPr>
        <w:t>ondo nazionale 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infanzia e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adolescenza </w:t>
      </w:r>
      <w:r w:rsidRPr="006B35E4">
        <w:rPr>
          <w:rFonts w:ascii="Times New Roman" w:eastAsia="Times New Roman" w:hAnsi="Times New Roman" w:cs="Times New Roman"/>
          <w:b/>
          <w:sz w:val="24"/>
          <w:szCs w:val="24"/>
          <w:lang w:eastAsia="it-IT"/>
        </w:rPr>
        <w:t xml:space="preserve">(cap. 2119) </w:t>
      </w:r>
      <w:r w:rsidRPr="006B35E4">
        <w:rPr>
          <w:rFonts w:ascii="Times New Roman" w:eastAsia="Times New Roman" w:hAnsi="Times New Roman" w:cs="Times New Roman"/>
          <w:sz w:val="24"/>
          <w:szCs w:val="24"/>
          <w:lang w:eastAsia="it-IT"/>
        </w:rPr>
        <w:t xml:space="preserve">per euro 36.822.685,00, </w:t>
      </w:r>
      <w:r>
        <w:rPr>
          <w:rFonts w:ascii="Times New Roman" w:eastAsia="Times New Roman" w:hAnsi="Times New Roman" w:cs="Times New Roman"/>
          <w:sz w:val="24"/>
          <w:szCs w:val="24"/>
          <w:lang w:eastAsia="it-IT"/>
        </w:rPr>
        <w:t xml:space="preserve">passando </w:t>
      </w:r>
      <w:r w:rsidRPr="006B35E4">
        <w:rPr>
          <w:rFonts w:ascii="Times New Roman" w:eastAsia="Times New Roman" w:hAnsi="Times New Roman" w:cs="Times New Roman"/>
          <w:sz w:val="24"/>
          <w:szCs w:val="24"/>
          <w:lang w:eastAsia="it-IT"/>
        </w:rPr>
        <w:t xml:space="preserve">da </w:t>
      </w:r>
      <w:r>
        <w:rPr>
          <w:rFonts w:ascii="Times New Roman" w:eastAsia="Times New Roman" w:hAnsi="Times New Roman" w:cs="Times New Roman"/>
          <w:sz w:val="24"/>
          <w:szCs w:val="24"/>
          <w:lang w:eastAsia="it-IT"/>
        </w:rPr>
        <w:t xml:space="preserve">euro </w:t>
      </w:r>
      <w:r w:rsidRPr="006B35E4">
        <w:rPr>
          <w:rFonts w:ascii="Times New Roman" w:eastAsia="Times New Roman" w:hAnsi="Times New Roman" w:cs="Times New Roman"/>
          <w:sz w:val="24"/>
          <w:szCs w:val="24"/>
          <w:lang w:eastAsia="it-IT"/>
        </w:rPr>
        <w:t>65.616.685,00 a euro 28.794.000,00</w:t>
      </w:r>
      <w:r>
        <w:rPr>
          <w:rFonts w:ascii="Times New Roman" w:eastAsia="Times New Roman" w:hAnsi="Times New Roman" w:cs="Times New Roman"/>
          <w:sz w:val="24"/>
          <w:szCs w:val="24"/>
          <w:lang w:eastAsia="it-IT"/>
        </w:rPr>
        <w:t>;</w:t>
      </w:r>
    </w:p>
    <w:p w14:paraId="139C4477" w14:textId="2F7F2FAA"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al </w:t>
      </w:r>
      <w:r w:rsidR="00E719AD">
        <w:rPr>
          <w:rFonts w:ascii="Times New Roman" w:eastAsia="Times New Roman" w:hAnsi="Times New Roman" w:cs="Times New Roman"/>
          <w:sz w:val="24"/>
          <w:szCs w:val="24"/>
          <w:lang w:eastAsia="it-IT"/>
        </w:rPr>
        <w:t>F</w:t>
      </w:r>
      <w:r w:rsidRPr="006B35E4">
        <w:rPr>
          <w:rFonts w:ascii="Times New Roman" w:eastAsia="Times New Roman" w:hAnsi="Times New Roman" w:cs="Times New Roman"/>
          <w:sz w:val="24"/>
          <w:szCs w:val="24"/>
          <w:lang w:eastAsia="it-IT"/>
        </w:rPr>
        <w:t>ondo 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inclusione delle persone sorde e con ipoacusia </w:t>
      </w:r>
      <w:r w:rsidRPr="006B35E4">
        <w:rPr>
          <w:rFonts w:ascii="Times New Roman" w:eastAsia="Times New Roman" w:hAnsi="Times New Roman" w:cs="Times New Roman"/>
          <w:b/>
          <w:sz w:val="24"/>
          <w:szCs w:val="24"/>
          <w:lang w:eastAsia="it-IT"/>
        </w:rPr>
        <w:t>(cap. 2121)</w:t>
      </w:r>
      <w:r>
        <w:rPr>
          <w:rFonts w:ascii="Times New Roman" w:eastAsia="Times New Roman" w:hAnsi="Times New Roman" w:cs="Times New Roman"/>
          <w:sz w:val="24"/>
          <w:szCs w:val="24"/>
          <w:lang w:eastAsia="it-IT"/>
        </w:rPr>
        <w:t xml:space="preserve"> per euro 2.000.000,00, passando da </w:t>
      </w:r>
      <w:proofErr w:type="gramStart"/>
      <w:r>
        <w:rPr>
          <w:rFonts w:ascii="Times New Roman" w:eastAsia="Times New Roman" w:hAnsi="Times New Roman" w:cs="Times New Roman"/>
          <w:sz w:val="24"/>
          <w:szCs w:val="24"/>
          <w:lang w:eastAsia="it-IT"/>
        </w:rPr>
        <w:t xml:space="preserve">euro </w:t>
      </w:r>
      <w:r>
        <w:rPr>
          <w:rFonts w:ascii="Times New Roman" w:eastAsia="Times New Roman" w:hAnsi="Times New Roman" w:cs="Times New Roman"/>
          <w:b/>
          <w:sz w:val="24"/>
          <w:szCs w:val="24"/>
          <w:lang w:eastAsia="it-IT"/>
        </w:rPr>
        <w:t xml:space="preserve"> </w:t>
      </w:r>
      <w:r w:rsidRPr="00DD5D3F">
        <w:rPr>
          <w:rFonts w:ascii="Times New Roman" w:eastAsia="Times New Roman" w:hAnsi="Times New Roman" w:cs="Times New Roman"/>
          <w:sz w:val="24"/>
          <w:szCs w:val="24"/>
          <w:lang w:eastAsia="it-IT"/>
        </w:rPr>
        <w:t>8.000.000</w:t>
      </w:r>
      <w:proofErr w:type="gramEnd"/>
      <w:r w:rsidRPr="00DD5D3F">
        <w:rPr>
          <w:rFonts w:ascii="Times New Roman" w:eastAsia="Times New Roman" w:hAnsi="Times New Roman" w:cs="Times New Roman"/>
          <w:sz w:val="24"/>
          <w:szCs w:val="24"/>
          <w:lang w:eastAsia="it-IT"/>
        </w:rPr>
        <w:t>,00 a euro 6.000.000,00</w:t>
      </w:r>
      <w:r>
        <w:rPr>
          <w:rFonts w:ascii="Times New Roman" w:eastAsia="Times New Roman" w:hAnsi="Times New Roman" w:cs="Times New Roman"/>
          <w:sz w:val="24"/>
          <w:szCs w:val="24"/>
          <w:lang w:eastAsia="it-IT"/>
        </w:rPr>
        <w:t>;</w:t>
      </w:r>
    </w:p>
    <w:p w14:paraId="6CFB4A44" w14:textId="3EAFEACF"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al </w:t>
      </w:r>
      <w:r w:rsidR="00E719AD">
        <w:rPr>
          <w:rFonts w:ascii="Times New Roman" w:eastAsia="Times New Roman" w:hAnsi="Times New Roman" w:cs="Times New Roman"/>
          <w:sz w:val="24"/>
          <w:szCs w:val="24"/>
          <w:lang w:eastAsia="it-IT"/>
        </w:rPr>
        <w:t>F</w:t>
      </w:r>
      <w:r>
        <w:rPr>
          <w:rFonts w:ascii="Times New Roman" w:eastAsia="Times New Roman" w:hAnsi="Times New Roman" w:cs="Times New Roman"/>
          <w:sz w:val="24"/>
          <w:szCs w:val="24"/>
          <w:lang w:eastAsia="it-IT"/>
        </w:rPr>
        <w:t>ondo</w:t>
      </w:r>
      <w:r w:rsidRPr="00DD5D3F">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per le adozioni internazionali</w:t>
      </w:r>
      <w:r w:rsidRPr="006B35E4">
        <w:rPr>
          <w:rFonts w:ascii="Times New Roman" w:eastAsia="Times New Roman" w:hAnsi="Times New Roman" w:cs="Times New Roman"/>
          <w:b/>
          <w:sz w:val="24"/>
          <w:szCs w:val="24"/>
          <w:lang w:eastAsia="it-IT"/>
        </w:rPr>
        <w:t xml:space="preserve"> (cap. 2134)</w:t>
      </w:r>
      <w:r w:rsidR="00E719AD" w:rsidRPr="00E719AD">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che passano da euro 24.138.763,00 a euro 23.815.212,00</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 decremento di euro </w:t>
      </w:r>
      <w:r>
        <w:rPr>
          <w:rFonts w:ascii="Times New Roman" w:eastAsia="Times New Roman" w:hAnsi="Times New Roman" w:cs="Times New Roman"/>
          <w:sz w:val="24"/>
          <w:szCs w:val="24"/>
          <w:lang w:eastAsia="it-IT"/>
        </w:rPr>
        <w:t>323.551</w:t>
      </w:r>
      <w:r w:rsidRPr="006B35E4">
        <w:rPr>
          <w:rFonts w:ascii="Times New Roman" w:eastAsia="Times New Roman" w:hAnsi="Times New Roman" w:cs="Times New Roman"/>
          <w:sz w:val="24"/>
          <w:szCs w:val="24"/>
          <w:lang w:eastAsia="it-IT"/>
        </w:rPr>
        <w:t xml:space="preserve">,00. </w:t>
      </w:r>
    </w:p>
    <w:p w14:paraId="7F5D0604"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A fronte di tali diminuzioni, si evidenzia un aumento d</w:t>
      </w:r>
      <w:r>
        <w:rPr>
          <w:rFonts w:ascii="Times New Roman" w:eastAsia="Times New Roman" w:hAnsi="Times New Roman" w:cs="Times New Roman"/>
          <w:sz w:val="24"/>
          <w:szCs w:val="24"/>
          <w:lang w:eastAsia="it-IT"/>
        </w:rPr>
        <w:t>elle</w:t>
      </w:r>
      <w:r w:rsidRPr="006B35E4">
        <w:rPr>
          <w:rFonts w:ascii="Times New Roman" w:eastAsia="Times New Roman" w:hAnsi="Times New Roman" w:cs="Times New Roman"/>
          <w:sz w:val="24"/>
          <w:szCs w:val="24"/>
          <w:lang w:eastAsia="it-IT"/>
        </w:rPr>
        <w:t xml:space="preserve"> risorse</w:t>
      </w:r>
      <w:r>
        <w:rPr>
          <w:rFonts w:ascii="Times New Roman" w:eastAsia="Times New Roman" w:hAnsi="Times New Roman" w:cs="Times New Roman"/>
          <w:sz w:val="24"/>
          <w:szCs w:val="24"/>
          <w:lang w:eastAsia="it-IT"/>
        </w:rPr>
        <w:t>:</w:t>
      </w:r>
    </w:p>
    <w:p w14:paraId="2EBCB646" w14:textId="77777777" w:rsidR="00CE6817" w:rsidRDefault="00CE6817" w:rsidP="00CE6817">
      <w:pPr>
        <w:spacing w:after="0" w:line="360" w:lineRule="auto"/>
        <w:ind w:left="142" w:hanging="142"/>
        <w:jc w:val="both"/>
        <w:rPr>
          <w:rFonts w:ascii="Times New Roman" w:eastAsia="Times New Roman" w:hAnsi="Times New Roman" w:cs="Times New Roman"/>
          <w:bCs/>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per il </w:t>
      </w:r>
      <w:r w:rsidRPr="006F7CCB">
        <w:rPr>
          <w:rFonts w:ascii="Times New Roman" w:eastAsia="Times New Roman" w:hAnsi="Times New Roman" w:cs="Times New Roman"/>
          <w:sz w:val="24"/>
          <w:szCs w:val="24"/>
          <w:lang w:eastAsia="it-IT"/>
        </w:rPr>
        <w:t>Fondo per il sostegno del ruolo di cura e di assistenza del</w:t>
      </w:r>
      <w:r w:rsidRPr="00C15EB4">
        <w:rPr>
          <w:rFonts w:ascii="Times New Roman" w:eastAsia="Times New Roman" w:hAnsi="Times New Roman" w:cs="Times New Roman"/>
          <w:i/>
          <w:sz w:val="24"/>
          <w:szCs w:val="24"/>
          <w:lang w:eastAsia="it-IT"/>
        </w:rPr>
        <w:t xml:space="preserve"> </w:t>
      </w:r>
      <w:proofErr w:type="spellStart"/>
      <w:r w:rsidRPr="00C15EB4">
        <w:rPr>
          <w:rFonts w:ascii="Times New Roman" w:eastAsia="Times New Roman" w:hAnsi="Times New Roman" w:cs="Times New Roman"/>
          <w:i/>
          <w:sz w:val="24"/>
          <w:szCs w:val="24"/>
          <w:lang w:eastAsia="it-IT"/>
        </w:rPr>
        <w:t>caregiver</w:t>
      </w:r>
      <w:proofErr w:type="spellEnd"/>
      <w:r w:rsidRPr="00C15EB4">
        <w:rPr>
          <w:rFonts w:ascii="Times New Roman" w:eastAsia="Times New Roman" w:hAnsi="Times New Roman" w:cs="Times New Roman"/>
          <w:i/>
          <w:sz w:val="24"/>
          <w:szCs w:val="24"/>
          <w:lang w:eastAsia="it-IT"/>
        </w:rPr>
        <w:t xml:space="preserve"> </w:t>
      </w:r>
      <w:r w:rsidRPr="006F7CCB">
        <w:rPr>
          <w:rFonts w:ascii="Times New Roman" w:eastAsia="Times New Roman" w:hAnsi="Times New Roman" w:cs="Times New Roman"/>
          <w:sz w:val="24"/>
          <w:szCs w:val="24"/>
          <w:lang w:eastAsia="it-IT"/>
        </w:rPr>
        <w:t>familiare</w:t>
      </w:r>
      <w:r w:rsidRPr="006B35E4">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b/>
          <w:sz w:val="24"/>
          <w:szCs w:val="24"/>
          <w:lang w:eastAsia="it-IT"/>
        </w:rPr>
        <w:t xml:space="preserve">(cap. 2090) </w:t>
      </w:r>
      <w:r w:rsidRPr="006B35E4">
        <w:rPr>
          <w:rFonts w:ascii="Times New Roman" w:eastAsia="Times New Roman" w:hAnsi="Times New Roman" w:cs="Times New Roman"/>
          <w:sz w:val="24"/>
          <w:szCs w:val="24"/>
          <w:lang w:eastAsia="it-IT"/>
        </w:rPr>
        <w:t>di euro 24.860.582,00, che passa</w:t>
      </w:r>
      <w:r>
        <w:rPr>
          <w:rFonts w:ascii="Times New Roman" w:eastAsia="Times New Roman" w:hAnsi="Times New Roman" w:cs="Times New Roman"/>
          <w:sz w:val="24"/>
          <w:szCs w:val="24"/>
          <w:lang w:eastAsia="it-IT"/>
        </w:rPr>
        <w:t>no</w:t>
      </w:r>
      <w:r w:rsidRPr="006B35E4">
        <w:rPr>
          <w:rFonts w:ascii="Times New Roman" w:eastAsia="Times New Roman" w:hAnsi="Times New Roman" w:cs="Times New Roman"/>
          <w:sz w:val="24"/>
          <w:szCs w:val="24"/>
          <w:lang w:eastAsia="it-IT"/>
        </w:rPr>
        <w:t xml:space="preserve"> da euro </w:t>
      </w:r>
      <w:r w:rsidRPr="006B35E4">
        <w:rPr>
          <w:rFonts w:ascii="Times New Roman" w:eastAsia="Times New Roman" w:hAnsi="Times New Roman" w:cs="Times New Roman"/>
          <w:bCs/>
          <w:sz w:val="24"/>
          <w:szCs w:val="24"/>
          <w:lang w:eastAsia="it-IT"/>
        </w:rPr>
        <w:t>23.748.399,00 a euro 48.608.981,00</w:t>
      </w:r>
      <w:r>
        <w:rPr>
          <w:rFonts w:ascii="Times New Roman" w:eastAsia="Times New Roman" w:hAnsi="Times New Roman" w:cs="Times New Roman"/>
          <w:bCs/>
          <w:sz w:val="24"/>
          <w:szCs w:val="24"/>
          <w:lang w:eastAsia="it-IT"/>
        </w:rPr>
        <w:t>;</w:t>
      </w:r>
    </w:p>
    <w:p w14:paraId="18A967C9" w14:textId="0DC34DA0"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bCs/>
          <w:sz w:val="24"/>
          <w:szCs w:val="24"/>
          <w:lang w:eastAsia="it-IT"/>
        </w:rPr>
        <w:t xml:space="preserve">- </w:t>
      </w:r>
      <w:r w:rsidRPr="006B35E4">
        <w:rPr>
          <w:rFonts w:ascii="Times New Roman" w:eastAsia="Times New Roman" w:hAnsi="Times New Roman" w:cs="Times New Roman"/>
          <w:bCs/>
          <w:sz w:val="24"/>
          <w:szCs w:val="24"/>
          <w:lang w:eastAsia="it-IT"/>
        </w:rPr>
        <w:t>per le politiche delle pari opportunità</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b/>
          <w:sz w:val="24"/>
          <w:szCs w:val="24"/>
          <w:lang w:eastAsia="it-IT"/>
        </w:rPr>
        <w:t>(cap. 2108)</w:t>
      </w:r>
      <w:r w:rsidR="002043FB" w:rsidRPr="002043FB">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che passa</w:t>
      </w:r>
      <w:r>
        <w:rPr>
          <w:rFonts w:ascii="Times New Roman" w:eastAsia="Times New Roman" w:hAnsi="Times New Roman" w:cs="Times New Roman"/>
          <w:sz w:val="24"/>
          <w:szCs w:val="24"/>
          <w:lang w:eastAsia="it-IT"/>
        </w:rPr>
        <w:t>no</w:t>
      </w:r>
      <w:r w:rsidRPr="006B35E4">
        <w:rPr>
          <w:rFonts w:ascii="Times New Roman" w:eastAsia="Times New Roman" w:hAnsi="Times New Roman" w:cs="Times New Roman"/>
          <w:sz w:val="24"/>
          <w:szCs w:val="24"/>
          <w:lang w:eastAsia="it-IT"/>
        </w:rPr>
        <w:t xml:space="preserve"> da euro 66.920.630,00 </w:t>
      </w:r>
      <w:r w:rsidR="009F77D1">
        <w:rPr>
          <w:rFonts w:ascii="Times New Roman" w:eastAsia="Times New Roman" w:hAnsi="Times New Roman" w:cs="Times New Roman"/>
          <w:sz w:val="24"/>
          <w:szCs w:val="24"/>
          <w:lang w:eastAsia="it-IT"/>
        </w:rPr>
        <w:t>a euro</w:t>
      </w:r>
      <w:r w:rsidRPr="006B35E4">
        <w:rPr>
          <w:rFonts w:ascii="Times New Roman" w:eastAsia="Times New Roman" w:hAnsi="Times New Roman" w:cs="Times New Roman"/>
          <w:sz w:val="24"/>
          <w:szCs w:val="24"/>
          <w:lang w:eastAsia="it-IT"/>
        </w:rPr>
        <w:t xml:space="preserve"> 81.356.594,00</w:t>
      </w:r>
      <w:r w:rsidR="002043FB">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con un incremento di euro 14.435.964,00</w:t>
      </w:r>
      <w:r>
        <w:rPr>
          <w:rFonts w:ascii="Times New Roman" w:eastAsia="Times New Roman" w:hAnsi="Times New Roman" w:cs="Times New Roman"/>
          <w:sz w:val="24"/>
          <w:szCs w:val="24"/>
          <w:lang w:eastAsia="it-IT"/>
        </w:rPr>
        <w:t>;</w:t>
      </w:r>
    </w:p>
    <w:p w14:paraId="35FF4105" w14:textId="0C6E0E71"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Autorità garante per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infanzia e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adolescenza (spese </w:t>
      </w:r>
      <w:r w:rsidR="0065257D">
        <w:rPr>
          <w:rFonts w:ascii="Times New Roman" w:eastAsia="Times New Roman" w:hAnsi="Times New Roman" w:cs="Times New Roman"/>
          <w:sz w:val="24"/>
          <w:szCs w:val="24"/>
          <w:lang w:eastAsia="it-IT"/>
        </w:rPr>
        <w:t xml:space="preserve">di </w:t>
      </w:r>
      <w:r w:rsidRPr="006B35E4">
        <w:rPr>
          <w:rFonts w:ascii="Times New Roman" w:eastAsia="Times New Roman" w:hAnsi="Times New Roman" w:cs="Times New Roman"/>
          <w:sz w:val="24"/>
          <w:szCs w:val="24"/>
          <w:lang w:eastAsia="it-IT"/>
        </w:rPr>
        <w:t xml:space="preserve">funzionamento) </w:t>
      </w:r>
      <w:r w:rsidRPr="006B35E4">
        <w:rPr>
          <w:rFonts w:ascii="Times New Roman" w:eastAsia="Times New Roman" w:hAnsi="Times New Roman" w:cs="Times New Roman"/>
          <w:b/>
          <w:sz w:val="24"/>
          <w:szCs w:val="24"/>
          <w:lang w:eastAsia="it-IT"/>
        </w:rPr>
        <w:t xml:space="preserve">(cap. 2118) </w:t>
      </w:r>
      <w:r w:rsidRPr="006B35E4">
        <w:rPr>
          <w:rFonts w:ascii="Times New Roman" w:eastAsia="Times New Roman" w:hAnsi="Times New Roman" w:cs="Times New Roman"/>
          <w:sz w:val="24"/>
          <w:szCs w:val="24"/>
          <w:lang w:eastAsia="it-IT"/>
        </w:rPr>
        <w:t>di euro 2.121.470,00, che passa</w:t>
      </w:r>
      <w:r w:rsidR="002043FB">
        <w:rPr>
          <w:rFonts w:ascii="Times New Roman" w:eastAsia="Times New Roman" w:hAnsi="Times New Roman" w:cs="Times New Roman"/>
          <w:sz w:val="24"/>
          <w:szCs w:val="24"/>
          <w:lang w:eastAsia="it-IT"/>
        </w:rPr>
        <w:t>no</w:t>
      </w:r>
      <w:r w:rsidRPr="006B35E4">
        <w:rPr>
          <w:rFonts w:ascii="Times New Roman" w:eastAsia="Times New Roman" w:hAnsi="Times New Roman" w:cs="Times New Roman"/>
          <w:sz w:val="24"/>
          <w:szCs w:val="24"/>
          <w:lang w:eastAsia="it-IT"/>
        </w:rPr>
        <w:t xml:space="preserve"> da euro 2.208.329,00 a euro 4.329.799,00</w:t>
      </w:r>
      <w:r>
        <w:rPr>
          <w:rFonts w:ascii="Times New Roman" w:eastAsia="Times New Roman" w:hAnsi="Times New Roman" w:cs="Times New Roman"/>
          <w:sz w:val="24"/>
          <w:szCs w:val="24"/>
          <w:lang w:eastAsia="it-IT"/>
        </w:rPr>
        <w:t>;</w:t>
      </w:r>
    </w:p>
    <w:p w14:paraId="1C6E1CBC" w14:textId="77777777"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per la tutela delle minoranze linguistiche e linguistiche storiche </w:t>
      </w:r>
      <w:r w:rsidRPr="006B35E4">
        <w:rPr>
          <w:rFonts w:ascii="Times New Roman" w:eastAsia="Times New Roman" w:hAnsi="Times New Roman" w:cs="Times New Roman"/>
          <w:b/>
          <w:sz w:val="24"/>
          <w:szCs w:val="24"/>
          <w:lang w:eastAsia="it-IT"/>
        </w:rPr>
        <w:t>(</w:t>
      </w:r>
      <w:proofErr w:type="spellStart"/>
      <w:r w:rsidRPr="006B35E4">
        <w:rPr>
          <w:rFonts w:ascii="Times New Roman" w:eastAsia="Times New Roman" w:hAnsi="Times New Roman" w:cs="Times New Roman"/>
          <w:b/>
          <w:sz w:val="24"/>
          <w:szCs w:val="24"/>
          <w:lang w:eastAsia="it-IT"/>
        </w:rPr>
        <w:t>capp</w:t>
      </w:r>
      <w:proofErr w:type="spellEnd"/>
      <w:r w:rsidRPr="006B35E4">
        <w:rPr>
          <w:rFonts w:ascii="Times New Roman" w:eastAsia="Times New Roman" w:hAnsi="Times New Roman" w:cs="Times New Roman"/>
          <w:b/>
          <w:sz w:val="24"/>
          <w:szCs w:val="24"/>
          <w:lang w:eastAsia="it-IT"/>
        </w:rPr>
        <w:t xml:space="preserve">. 5211 e 5210) </w:t>
      </w:r>
      <w:r w:rsidRPr="006B13A6">
        <w:rPr>
          <w:rFonts w:ascii="Times New Roman" w:eastAsia="Times New Roman" w:hAnsi="Times New Roman" w:cs="Times New Roman"/>
          <w:sz w:val="24"/>
          <w:szCs w:val="24"/>
          <w:lang w:eastAsia="it-IT"/>
        </w:rPr>
        <w:t>per</w:t>
      </w:r>
      <w:r>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euro 500.000,00</w:t>
      </w:r>
      <w:r>
        <w:rPr>
          <w:rFonts w:ascii="Times New Roman" w:eastAsia="Times New Roman" w:hAnsi="Times New Roman" w:cs="Times New Roman"/>
          <w:sz w:val="24"/>
          <w:szCs w:val="24"/>
          <w:lang w:eastAsia="it-IT"/>
        </w:rPr>
        <w:t xml:space="preserve"> ciascuno</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passando </w:t>
      </w:r>
      <w:r w:rsidRPr="006B35E4">
        <w:rPr>
          <w:rFonts w:ascii="Times New Roman" w:eastAsia="Times New Roman" w:hAnsi="Times New Roman" w:cs="Times New Roman"/>
          <w:sz w:val="24"/>
          <w:szCs w:val="24"/>
          <w:lang w:eastAsia="it-IT"/>
        </w:rPr>
        <w:t>rispettivamente da euro 1.419.485,00 a euro 1.919.485,00 e da euro 2.639.275,00 a euro 3.139.275,00.</w:t>
      </w:r>
    </w:p>
    <w:p w14:paraId="47510973" w14:textId="08145ED4"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Si rappresenta altresì che, nell</w:t>
      </w:r>
      <w:r w:rsidR="00877AAF">
        <w:rPr>
          <w:rFonts w:ascii="Times New Roman" w:eastAsia="Times New Roman" w:hAnsi="Times New Roman" w:cs="Times New Roman"/>
          <w:sz w:val="24"/>
          <w:szCs w:val="24"/>
          <w:lang w:eastAsia="it-IT"/>
        </w:rPr>
        <w:t>’</w:t>
      </w:r>
      <w:proofErr w:type="spellStart"/>
      <w:r>
        <w:rPr>
          <w:rFonts w:ascii="Times New Roman" w:eastAsia="Times New Roman" w:hAnsi="Times New Roman" w:cs="Times New Roman"/>
          <w:sz w:val="24"/>
          <w:szCs w:val="24"/>
          <w:lang w:eastAsia="it-IT"/>
        </w:rPr>
        <w:t>e.f</w:t>
      </w:r>
      <w:proofErr w:type="spellEnd"/>
      <w:r>
        <w:rPr>
          <w:rFonts w:ascii="Times New Roman" w:eastAsia="Times New Roman" w:hAnsi="Times New Roman" w:cs="Times New Roman"/>
          <w:sz w:val="24"/>
          <w:szCs w:val="24"/>
          <w:lang w:eastAsia="it-IT"/>
        </w:rPr>
        <w:t xml:space="preserve">. 2022, sono state assegnate </w:t>
      </w:r>
      <w:r w:rsidRPr="006B35E4">
        <w:rPr>
          <w:rFonts w:ascii="Times New Roman" w:eastAsia="Times New Roman" w:hAnsi="Times New Roman" w:cs="Times New Roman"/>
          <w:sz w:val="24"/>
          <w:szCs w:val="24"/>
          <w:lang w:eastAsia="it-IT"/>
        </w:rPr>
        <w:t>nuov</w:t>
      </w:r>
      <w:r>
        <w:rPr>
          <w:rFonts w:ascii="Times New Roman" w:eastAsia="Times New Roman" w:hAnsi="Times New Roman" w:cs="Times New Roman"/>
          <w:sz w:val="24"/>
          <w:szCs w:val="24"/>
          <w:lang w:eastAsia="it-IT"/>
        </w:rPr>
        <w:t>e</w:t>
      </w:r>
      <w:r w:rsidRPr="006B35E4">
        <w:rPr>
          <w:rFonts w:ascii="Times New Roman" w:eastAsia="Times New Roman" w:hAnsi="Times New Roman" w:cs="Times New Roman"/>
          <w:sz w:val="24"/>
          <w:szCs w:val="24"/>
          <w:lang w:eastAsia="it-IT"/>
        </w:rPr>
        <w:t xml:space="preserve"> risorse </w:t>
      </w:r>
      <w:r>
        <w:rPr>
          <w:rFonts w:ascii="Times New Roman" w:eastAsia="Times New Roman" w:hAnsi="Times New Roman" w:cs="Times New Roman"/>
          <w:sz w:val="24"/>
          <w:szCs w:val="24"/>
          <w:lang w:eastAsia="it-IT"/>
        </w:rPr>
        <w:t>da destinare al</w:t>
      </w:r>
      <w:r w:rsidRPr="006B35E4">
        <w:rPr>
          <w:rFonts w:ascii="Times New Roman" w:eastAsia="Times New Roman" w:hAnsi="Times New Roman" w:cs="Times New Roman"/>
          <w:sz w:val="24"/>
          <w:szCs w:val="24"/>
          <w:lang w:eastAsia="it-IT"/>
        </w:rPr>
        <w:t xml:space="preserve"> Fondo per favorire il benessere dei minorenni e per il contrasto alla povertà educativa </w:t>
      </w:r>
      <w:r w:rsidRPr="006B35E4">
        <w:rPr>
          <w:rFonts w:ascii="Times New Roman" w:eastAsia="Times New Roman" w:hAnsi="Times New Roman" w:cs="Times New Roman"/>
          <w:b/>
          <w:sz w:val="24"/>
          <w:szCs w:val="24"/>
          <w:lang w:eastAsia="it-IT"/>
        </w:rPr>
        <w:t xml:space="preserve">(cap. 2023) </w:t>
      </w:r>
      <w:r w:rsidRPr="00E20F7D">
        <w:rPr>
          <w:rFonts w:ascii="Times New Roman" w:eastAsia="Times New Roman" w:hAnsi="Times New Roman" w:cs="Times New Roman"/>
          <w:sz w:val="24"/>
          <w:szCs w:val="24"/>
          <w:lang w:eastAsia="it-IT"/>
        </w:rPr>
        <w:t>per euro</w:t>
      </w:r>
      <w:r>
        <w:rPr>
          <w:rFonts w:ascii="Times New Roman" w:eastAsia="Times New Roman" w:hAnsi="Times New Roman" w:cs="Times New Roman"/>
          <w:b/>
          <w:sz w:val="24"/>
          <w:szCs w:val="24"/>
          <w:lang w:eastAsia="it-IT"/>
        </w:rPr>
        <w:t xml:space="preserve"> </w:t>
      </w:r>
      <w:r>
        <w:rPr>
          <w:rFonts w:ascii="Times New Roman" w:eastAsia="Times New Roman" w:hAnsi="Times New Roman" w:cs="Times New Roman"/>
          <w:sz w:val="24"/>
          <w:szCs w:val="24"/>
          <w:lang w:eastAsia="it-IT"/>
        </w:rPr>
        <w:t>58.000.000,00, a</w:t>
      </w:r>
      <w:r w:rsidRPr="006B35E4">
        <w:rPr>
          <w:rFonts w:ascii="Times New Roman" w:eastAsia="Times New Roman" w:hAnsi="Times New Roman" w:cs="Times New Roman"/>
          <w:sz w:val="24"/>
          <w:szCs w:val="24"/>
          <w:lang w:eastAsia="it-IT"/>
        </w:rPr>
        <w:t>l Fondo assistenza 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autonomia e alla comunicazione per gli alunni con disabilità</w:t>
      </w:r>
      <w:r w:rsidRPr="006B35E4">
        <w:rPr>
          <w:rFonts w:ascii="Times New Roman" w:eastAsia="Times New Roman" w:hAnsi="Times New Roman" w:cs="Times New Roman"/>
          <w:b/>
          <w:sz w:val="24"/>
          <w:szCs w:val="24"/>
          <w:lang w:eastAsia="it-IT"/>
        </w:rPr>
        <w:t xml:space="preserve"> (cap. 2080) </w:t>
      </w:r>
      <w:r w:rsidRPr="006B35E4">
        <w:rPr>
          <w:rFonts w:ascii="Times New Roman" w:eastAsia="Times New Roman" w:hAnsi="Times New Roman" w:cs="Times New Roman"/>
          <w:sz w:val="24"/>
          <w:szCs w:val="24"/>
          <w:lang w:eastAsia="it-IT"/>
        </w:rPr>
        <w:t>p</w:t>
      </w:r>
      <w:r>
        <w:rPr>
          <w:rFonts w:ascii="Times New Roman" w:eastAsia="Times New Roman" w:hAnsi="Times New Roman" w:cs="Times New Roman"/>
          <w:sz w:val="24"/>
          <w:szCs w:val="24"/>
          <w:lang w:eastAsia="it-IT"/>
        </w:rPr>
        <w:t>er euro 200.000.000,00, a</w:t>
      </w:r>
      <w:r w:rsidRPr="006B35E4">
        <w:rPr>
          <w:rFonts w:ascii="Times New Roman" w:eastAsia="Times New Roman" w:hAnsi="Times New Roman" w:cs="Times New Roman"/>
          <w:sz w:val="24"/>
          <w:szCs w:val="24"/>
          <w:lang w:eastAsia="it-IT"/>
        </w:rPr>
        <w:t xml:space="preserve">l Fondo prevenzione e contrasto delle dipendenze tra le giovani generazioni </w:t>
      </w:r>
      <w:r w:rsidRPr="006B35E4">
        <w:rPr>
          <w:rFonts w:ascii="Times New Roman" w:eastAsia="Times New Roman" w:hAnsi="Times New Roman" w:cs="Times New Roman"/>
          <w:b/>
          <w:sz w:val="24"/>
          <w:szCs w:val="24"/>
          <w:lang w:eastAsia="it-IT"/>
        </w:rPr>
        <w:t xml:space="preserve">(cap. 2088) </w:t>
      </w:r>
      <w:r w:rsidRPr="006B13A6">
        <w:rPr>
          <w:rFonts w:ascii="Times New Roman" w:eastAsia="Times New Roman" w:hAnsi="Times New Roman" w:cs="Times New Roman"/>
          <w:sz w:val="24"/>
          <w:szCs w:val="24"/>
          <w:lang w:eastAsia="it-IT"/>
        </w:rPr>
        <w:t>per euro 2.000.000,00</w:t>
      </w:r>
      <w:r w:rsidRPr="00321B25">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b/>
          <w:sz w:val="24"/>
          <w:szCs w:val="24"/>
          <w:lang w:eastAsia="it-IT"/>
        </w:rPr>
        <w:t xml:space="preserve"> </w:t>
      </w:r>
      <w:r w:rsidRPr="00E20F7D">
        <w:rPr>
          <w:rFonts w:ascii="Times New Roman" w:eastAsia="Times New Roman" w:hAnsi="Times New Roman" w:cs="Times New Roman"/>
          <w:sz w:val="24"/>
          <w:szCs w:val="24"/>
          <w:lang w:eastAsia="it-IT"/>
        </w:rPr>
        <w:t>a</w:t>
      </w:r>
      <w:r w:rsidRPr="006B35E4">
        <w:rPr>
          <w:rFonts w:ascii="Times New Roman" w:eastAsia="Times New Roman" w:hAnsi="Times New Roman" w:cs="Times New Roman"/>
          <w:sz w:val="24"/>
          <w:szCs w:val="24"/>
          <w:lang w:eastAsia="it-IT"/>
        </w:rPr>
        <w:t>l Fondo destinato all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adozione di iniziative di solidarietà a favore dei familiari di medici, personale infermieristico e operatori socio-sanitari che, durante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emergenza COVID</w:t>
      </w: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19, hanno contratto in servizio una patologia alla quale sia conseguita la morte </w:t>
      </w:r>
      <w:r w:rsidRPr="006B35E4">
        <w:rPr>
          <w:rFonts w:ascii="Times New Roman" w:eastAsia="Times New Roman" w:hAnsi="Times New Roman" w:cs="Times New Roman"/>
          <w:b/>
          <w:sz w:val="24"/>
          <w:szCs w:val="24"/>
          <w:lang w:eastAsia="it-IT"/>
        </w:rPr>
        <w:t xml:space="preserve">(cap. 2150) </w:t>
      </w:r>
      <w:r w:rsidRPr="00E20F7D">
        <w:rPr>
          <w:rFonts w:ascii="Times New Roman" w:eastAsia="Times New Roman" w:hAnsi="Times New Roman" w:cs="Times New Roman"/>
          <w:sz w:val="24"/>
          <w:szCs w:val="24"/>
          <w:lang w:eastAsia="it-IT"/>
        </w:rPr>
        <w:t>per</w:t>
      </w:r>
      <w:r>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 xml:space="preserve">euro 15.000.000,00, </w:t>
      </w:r>
      <w:r>
        <w:rPr>
          <w:rFonts w:ascii="Times New Roman" w:eastAsia="Times New Roman" w:hAnsi="Times New Roman" w:cs="Times New Roman"/>
          <w:sz w:val="24"/>
          <w:szCs w:val="24"/>
          <w:lang w:eastAsia="it-IT"/>
        </w:rPr>
        <w:t>al</w:t>
      </w:r>
      <w:r w:rsidRPr="006B35E4">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Ufficio nazionale antidiscriminazioni razziali </w:t>
      </w:r>
      <w:r w:rsidRPr="006B35E4">
        <w:rPr>
          <w:rFonts w:ascii="Times New Roman" w:eastAsia="Times New Roman" w:hAnsi="Times New Roman" w:cs="Times New Roman"/>
          <w:b/>
          <w:sz w:val="24"/>
          <w:szCs w:val="24"/>
          <w:lang w:eastAsia="it-IT"/>
        </w:rPr>
        <w:t xml:space="preserve">(cap. 2184) </w:t>
      </w:r>
      <w:r w:rsidRPr="00E20F7D">
        <w:rPr>
          <w:rFonts w:ascii="Times New Roman" w:eastAsia="Times New Roman" w:hAnsi="Times New Roman" w:cs="Times New Roman"/>
          <w:sz w:val="24"/>
          <w:szCs w:val="24"/>
          <w:lang w:eastAsia="it-IT"/>
        </w:rPr>
        <w:t>per</w:t>
      </w:r>
      <w:r w:rsidRPr="006B35E4">
        <w:rPr>
          <w:rFonts w:ascii="Times New Roman" w:eastAsia="Times New Roman" w:hAnsi="Times New Roman" w:cs="Times New Roman"/>
          <w:sz w:val="24"/>
          <w:szCs w:val="24"/>
          <w:lang w:eastAsia="it-IT"/>
        </w:rPr>
        <w:t xml:space="preserve"> euro 684.000,00 e </w:t>
      </w:r>
      <w:r>
        <w:rPr>
          <w:rFonts w:ascii="Times New Roman" w:eastAsia="Times New Roman" w:hAnsi="Times New Roman" w:cs="Times New Roman"/>
          <w:sz w:val="24"/>
          <w:szCs w:val="24"/>
          <w:lang w:eastAsia="it-IT"/>
        </w:rPr>
        <w:t>a</w:t>
      </w:r>
      <w:r w:rsidRPr="006B35E4">
        <w:rPr>
          <w:rFonts w:ascii="Times New Roman" w:eastAsia="Times New Roman" w:hAnsi="Times New Roman" w:cs="Times New Roman"/>
          <w:sz w:val="24"/>
          <w:szCs w:val="24"/>
          <w:lang w:eastAsia="it-IT"/>
        </w:rPr>
        <w:t>l Fondo per il sostegno delle famiglie delle persone con malattia grave che utilizzano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energia elettrica per apparecchiature mediche necessarie al mantenimento della vita </w:t>
      </w:r>
      <w:r w:rsidRPr="006B35E4">
        <w:rPr>
          <w:rFonts w:ascii="Times New Roman" w:eastAsia="Times New Roman" w:hAnsi="Times New Roman" w:cs="Times New Roman"/>
          <w:b/>
          <w:sz w:val="24"/>
          <w:szCs w:val="24"/>
          <w:lang w:eastAsia="it-IT"/>
        </w:rPr>
        <w:t>(cap. 2194)</w:t>
      </w:r>
      <w:r w:rsidRPr="006B35E4">
        <w:rPr>
          <w:rFonts w:ascii="Times New Roman" w:eastAsia="Times New Roman" w:hAnsi="Times New Roman" w:cs="Times New Roman"/>
          <w:sz w:val="24"/>
          <w:szCs w:val="24"/>
          <w:lang w:eastAsia="it-IT"/>
        </w:rPr>
        <w:t xml:space="preserve"> per </w:t>
      </w:r>
      <w:r>
        <w:rPr>
          <w:rFonts w:ascii="Times New Roman" w:eastAsia="Times New Roman" w:hAnsi="Times New Roman" w:cs="Times New Roman"/>
          <w:sz w:val="24"/>
          <w:szCs w:val="24"/>
          <w:lang w:eastAsia="it-IT"/>
        </w:rPr>
        <w:t xml:space="preserve">euro </w:t>
      </w:r>
      <w:r w:rsidRPr="006B35E4">
        <w:rPr>
          <w:rFonts w:ascii="Times New Roman" w:eastAsia="Times New Roman" w:hAnsi="Times New Roman" w:cs="Times New Roman"/>
          <w:sz w:val="24"/>
          <w:szCs w:val="24"/>
          <w:lang w:eastAsia="it-IT"/>
        </w:rPr>
        <w:t>500.000,00</w:t>
      </w:r>
      <w:r>
        <w:rPr>
          <w:rFonts w:ascii="Times New Roman" w:eastAsia="Times New Roman" w:hAnsi="Times New Roman" w:cs="Times New Roman"/>
          <w:sz w:val="24"/>
          <w:szCs w:val="24"/>
          <w:lang w:eastAsia="it-IT"/>
        </w:rPr>
        <w:t>;</w:t>
      </w:r>
    </w:p>
    <w:p w14:paraId="0AE4609D" w14:textId="77777777"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 xml:space="preserve"> </w:t>
      </w:r>
    </w:p>
    <w:p w14:paraId="765B26B9" w14:textId="58B96369" w:rsidR="00CE6817" w:rsidRDefault="00C15EB4"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b/>
          <w:bCs/>
          <w:sz w:val="24"/>
          <w:szCs w:val="24"/>
          <w:lang w:eastAsia="it-IT"/>
        </w:rPr>
        <w:t xml:space="preserve">- </w:t>
      </w:r>
      <w:r w:rsidR="00CE6817" w:rsidRPr="006B35E4">
        <w:rPr>
          <w:rFonts w:ascii="Times New Roman" w:eastAsia="Times New Roman" w:hAnsi="Times New Roman" w:cs="Times New Roman"/>
          <w:sz w:val="24"/>
          <w:szCs w:val="24"/>
          <w:lang w:eastAsia="it-IT"/>
        </w:rPr>
        <w:t xml:space="preserve">della </w:t>
      </w:r>
      <w:r w:rsidR="00CE6817" w:rsidRPr="006B35E4">
        <w:rPr>
          <w:rFonts w:ascii="Times New Roman" w:eastAsia="Times New Roman" w:hAnsi="Times New Roman" w:cs="Times New Roman"/>
          <w:b/>
          <w:sz w:val="24"/>
          <w:szCs w:val="24"/>
          <w:lang w:eastAsia="it-IT"/>
        </w:rPr>
        <w:t>Missione 30</w:t>
      </w:r>
      <w:r w:rsidR="00CE6817" w:rsidRPr="006B35E4">
        <w:rPr>
          <w:rFonts w:ascii="Times New Roman" w:eastAsia="Times New Roman" w:hAnsi="Times New Roman" w:cs="Times New Roman"/>
          <w:sz w:val="24"/>
          <w:szCs w:val="24"/>
          <w:lang w:eastAsia="it-IT"/>
        </w:rPr>
        <w:t xml:space="preserve"> “Giovani e sport” del 7,38 per cento. </w:t>
      </w:r>
      <w:r w:rsidR="00CE6817" w:rsidRPr="001F7F17">
        <w:rPr>
          <w:rFonts w:ascii="Times New Roman" w:eastAsia="Times New Roman" w:hAnsi="Times New Roman" w:cs="Times New Roman"/>
          <w:sz w:val="24"/>
          <w:szCs w:val="24"/>
          <w:lang w:eastAsia="it-IT"/>
        </w:rPr>
        <w:t>Nell</w:t>
      </w:r>
      <w:r w:rsidR="00877AAF">
        <w:rPr>
          <w:rFonts w:ascii="Times New Roman" w:eastAsia="Times New Roman" w:hAnsi="Times New Roman" w:cs="Times New Roman"/>
          <w:sz w:val="24"/>
          <w:szCs w:val="24"/>
          <w:lang w:eastAsia="it-IT"/>
        </w:rPr>
        <w:t>’</w:t>
      </w:r>
      <w:r w:rsidR="00CE6817" w:rsidRPr="001F7F17">
        <w:rPr>
          <w:rFonts w:ascii="Times New Roman" w:eastAsia="Times New Roman" w:hAnsi="Times New Roman" w:cs="Times New Roman"/>
          <w:sz w:val="24"/>
          <w:szCs w:val="24"/>
          <w:lang w:eastAsia="it-IT"/>
        </w:rPr>
        <w:t xml:space="preserve">ambito del </w:t>
      </w:r>
      <w:r w:rsidR="00CE6817" w:rsidRPr="00FE7A43">
        <w:rPr>
          <w:rFonts w:ascii="Times New Roman" w:eastAsia="Times New Roman" w:hAnsi="Times New Roman" w:cs="Times New Roman"/>
          <w:b/>
          <w:sz w:val="24"/>
          <w:szCs w:val="24"/>
          <w:lang w:eastAsia="it-IT"/>
        </w:rPr>
        <w:t>Programma 30.1</w:t>
      </w:r>
      <w:r w:rsidR="00CE6817">
        <w:rPr>
          <w:rFonts w:ascii="Times New Roman" w:eastAsia="Times New Roman" w:hAnsi="Times New Roman" w:cs="Times New Roman"/>
          <w:sz w:val="24"/>
          <w:szCs w:val="24"/>
          <w:lang w:eastAsia="it-IT"/>
        </w:rPr>
        <w:t xml:space="preserve"> </w:t>
      </w:r>
      <w:r w:rsidR="00C65608">
        <w:rPr>
          <w:rFonts w:ascii="Times New Roman" w:eastAsia="Times New Roman" w:hAnsi="Times New Roman" w:cs="Times New Roman"/>
          <w:sz w:val="24"/>
          <w:szCs w:val="24"/>
          <w:lang w:eastAsia="it-IT"/>
        </w:rPr>
        <w:t>“</w:t>
      </w:r>
      <w:r w:rsidR="00CE6817">
        <w:rPr>
          <w:rFonts w:ascii="Times New Roman" w:eastAsia="Times New Roman" w:hAnsi="Times New Roman" w:cs="Times New Roman"/>
          <w:sz w:val="24"/>
          <w:szCs w:val="24"/>
          <w:lang w:eastAsia="it-IT"/>
        </w:rPr>
        <w:t xml:space="preserve">Attività ricreative e sport” </w:t>
      </w:r>
      <w:r w:rsidR="00CE6817" w:rsidRPr="001F7F17">
        <w:rPr>
          <w:rFonts w:ascii="Times New Roman" w:eastAsia="Times New Roman" w:hAnsi="Times New Roman" w:cs="Times New Roman"/>
          <w:sz w:val="24"/>
          <w:szCs w:val="24"/>
          <w:lang w:eastAsia="it-IT"/>
        </w:rPr>
        <w:t xml:space="preserve">si registra una </w:t>
      </w:r>
      <w:proofErr w:type="gramStart"/>
      <w:r w:rsidR="00CE6817" w:rsidRPr="001F7F17">
        <w:rPr>
          <w:rFonts w:ascii="Times New Roman" w:eastAsia="Times New Roman" w:hAnsi="Times New Roman" w:cs="Times New Roman"/>
          <w:sz w:val="24"/>
          <w:szCs w:val="24"/>
          <w:lang w:eastAsia="it-IT"/>
        </w:rPr>
        <w:t xml:space="preserve">diminuzione  </w:t>
      </w:r>
      <w:r w:rsidR="00CE6817" w:rsidRPr="006B35E4">
        <w:rPr>
          <w:rFonts w:ascii="Times New Roman" w:eastAsia="Times New Roman" w:hAnsi="Times New Roman" w:cs="Times New Roman"/>
          <w:sz w:val="24"/>
          <w:szCs w:val="24"/>
          <w:lang w:eastAsia="it-IT"/>
        </w:rPr>
        <w:t>delle</w:t>
      </w:r>
      <w:proofErr w:type="gramEnd"/>
      <w:r w:rsidR="00CE6817" w:rsidRPr="006B35E4">
        <w:rPr>
          <w:rFonts w:ascii="Times New Roman" w:eastAsia="Times New Roman" w:hAnsi="Times New Roman" w:cs="Times New Roman"/>
          <w:sz w:val="24"/>
          <w:szCs w:val="24"/>
          <w:lang w:eastAsia="it-IT"/>
        </w:rPr>
        <w:t xml:space="preserve"> risorse</w:t>
      </w:r>
      <w:r w:rsidR="00CE6817">
        <w:rPr>
          <w:rFonts w:ascii="Times New Roman" w:eastAsia="Times New Roman" w:hAnsi="Times New Roman" w:cs="Times New Roman"/>
          <w:sz w:val="24"/>
          <w:szCs w:val="24"/>
          <w:lang w:eastAsia="it-IT"/>
        </w:rPr>
        <w:t>:</w:t>
      </w:r>
    </w:p>
    <w:p w14:paraId="21E9702F" w14:textId="6F4B9419"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w:t>
      </w:r>
      <w:r w:rsidR="002043FB">
        <w:rPr>
          <w:rFonts w:ascii="Times New Roman" w:eastAsia="Times New Roman" w:hAnsi="Times New Roman" w:cs="Times New Roman"/>
          <w:sz w:val="24"/>
          <w:szCs w:val="24"/>
          <w:lang w:eastAsia="it-IT"/>
        </w:rPr>
        <w:t xml:space="preserve">per </w:t>
      </w:r>
      <w:r w:rsidRPr="006B35E4">
        <w:rPr>
          <w:rFonts w:ascii="Times New Roman" w:eastAsia="Times New Roman" w:hAnsi="Times New Roman" w:cs="Times New Roman"/>
          <w:sz w:val="24"/>
          <w:szCs w:val="24"/>
          <w:lang w:eastAsia="it-IT"/>
        </w:rPr>
        <w:t xml:space="preserve">il Fondo a ristoro delle spese sanitarie per i </w:t>
      </w:r>
      <w:r w:rsidRPr="00C15EB4">
        <w:rPr>
          <w:rFonts w:ascii="Times New Roman" w:eastAsia="Times New Roman" w:hAnsi="Times New Roman" w:cs="Times New Roman"/>
          <w:i/>
          <w:sz w:val="24"/>
          <w:szCs w:val="24"/>
          <w:lang w:eastAsia="it-IT"/>
        </w:rPr>
        <w:t>test</w:t>
      </w:r>
      <w:r w:rsidRPr="006B35E4">
        <w:rPr>
          <w:rFonts w:ascii="Times New Roman" w:eastAsia="Times New Roman" w:hAnsi="Times New Roman" w:cs="Times New Roman"/>
          <w:sz w:val="24"/>
          <w:szCs w:val="24"/>
          <w:lang w:eastAsia="it-IT"/>
        </w:rPr>
        <w:t xml:space="preserve"> di diagnosi </w:t>
      </w:r>
      <w:r>
        <w:rPr>
          <w:rFonts w:ascii="Times New Roman" w:eastAsia="Times New Roman" w:hAnsi="Times New Roman" w:cs="Times New Roman"/>
          <w:sz w:val="24"/>
          <w:szCs w:val="24"/>
          <w:lang w:eastAsia="it-IT"/>
        </w:rPr>
        <w:t>COVID-</w:t>
      </w:r>
      <w:r w:rsidRPr="006B35E4">
        <w:rPr>
          <w:rFonts w:ascii="Times New Roman" w:eastAsia="Times New Roman" w:hAnsi="Times New Roman" w:cs="Times New Roman"/>
          <w:sz w:val="24"/>
          <w:szCs w:val="24"/>
          <w:lang w:eastAsia="it-IT"/>
        </w:rPr>
        <w:t xml:space="preserve">19 in favore delle associazioni sportive professionistiche e delle società e associazioni sportive dilettantistiche iscritte al registro del </w:t>
      </w:r>
      <w:r w:rsidRPr="006B35E4">
        <w:rPr>
          <w:rFonts w:ascii="Times New Roman" w:eastAsia="Times New Roman" w:hAnsi="Times New Roman" w:cs="Times New Roman"/>
          <w:sz w:val="24"/>
          <w:szCs w:val="24"/>
          <w:lang w:eastAsia="it-IT"/>
        </w:rPr>
        <w:lastRenderedPageBreak/>
        <w:t xml:space="preserve">CONI operanti in discipline ammesse ai giochi olimpici e paralimpici </w:t>
      </w:r>
      <w:r w:rsidRPr="006B35E4">
        <w:rPr>
          <w:rFonts w:ascii="Times New Roman" w:eastAsia="Times New Roman" w:hAnsi="Times New Roman" w:cs="Times New Roman"/>
          <w:b/>
          <w:sz w:val="24"/>
          <w:szCs w:val="24"/>
          <w:lang w:eastAsia="it-IT"/>
        </w:rPr>
        <w:t>(cap. 2078)</w:t>
      </w:r>
      <w:r w:rsidRPr="006B35E4">
        <w:rPr>
          <w:rFonts w:ascii="Times New Roman" w:eastAsia="Times New Roman" w:hAnsi="Times New Roman" w:cs="Times New Roman"/>
          <w:sz w:val="24"/>
          <w:szCs w:val="24"/>
          <w:lang w:eastAsia="it-IT"/>
        </w:rPr>
        <w:t xml:space="preserve"> di euro 66.000.000,00, che passano da </w:t>
      </w:r>
      <w:r w:rsidR="00D92614">
        <w:rPr>
          <w:rFonts w:ascii="Times New Roman" w:eastAsia="Times New Roman" w:hAnsi="Times New Roman" w:cs="Times New Roman"/>
          <w:sz w:val="24"/>
          <w:szCs w:val="24"/>
          <w:lang w:eastAsia="it-IT"/>
        </w:rPr>
        <w:t xml:space="preserve">euro </w:t>
      </w:r>
      <w:r w:rsidRPr="006B35E4">
        <w:rPr>
          <w:rFonts w:ascii="Times New Roman" w:eastAsia="Times New Roman" w:hAnsi="Times New Roman" w:cs="Times New Roman"/>
          <w:sz w:val="24"/>
          <w:szCs w:val="24"/>
          <w:lang w:eastAsia="it-IT"/>
        </w:rPr>
        <w:t>86.000.000,00 a euro 20.000.000,00</w:t>
      </w:r>
      <w:r>
        <w:rPr>
          <w:rFonts w:ascii="Times New Roman" w:eastAsia="Times New Roman" w:hAnsi="Times New Roman" w:cs="Times New Roman"/>
          <w:sz w:val="24"/>
          <w:szCs w:val="24"/>
          <w:lang w:eastAsia="it-IT"/>
        </w:rPr>
        <w:t>;</w:t>
      </w:r>
    </w:p>
    <w:p w14:paraId="138180FC"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per le politiche dello sport </w:t>
      </w:r>
      <w:r w:rsidRPr="006B35E4">
        <w:rPr>
          <w:rFonts w:ascii="Times New Roman" w:eastAsia="Times New Roman" w:hAnsi="Times New Roman" w:cs="Times New Roman"/>
          <w:b/>
          <w:sz w:val="24"/>
          <w:szCs w:val="24"/>
          <w:lang w:eastAsia="it-IT"/>
        </w:rPr>
        <w:t>(cap. 2111)</w:t>
      </w:r>
      <w:r w:rsidRPr="006B35E4">
        <w:rPr>
          <w:rFonts w:ascii="Times New Roman" w:eastAsia="Times New Roman" w:hAnsi="Times New Roman" w:cs="Times New Roman"/>
          <w:sz w:val="24"/>
          <w:szCs w:val="24"/>
          <w:lang w:eastAsia="it-IT"/>
        </w:rPr>
        <w:t xml:space="preserve"> d</w:t>
      </w:r>
      <w:r>
        <w:rPr>
          <w:rFonts w:ascii="Times New Roman" w:eastAsia="Times New Roman" w:hAnsi="Times New Roman" w:cs="Times New Roman"/>
          <w:sz w:val="24"/>
          <w:szCs w:val="24"/>
          <w:lang w:eastAsia="it-IT"/>
        </w:rPr>
        <w:t xml:space="preserve">i euro </w:t>
      </w:r>
      <w:r w:rsidRPr="002958B4">
        <w:rPr>
          <w:rFonts w:ascii="Times New Roman" w:eastAsia="Times New Roman" w:hAnsi="Times New Roman" w:cs="Times New Roman"/>
          <w:sz w:val="24"/>
          <w:szCs w:val="24"/>
          <w:lang w:eastAsia="it-IT"/>
        </w:rPr>
        <w:t>3.124.664,00</w:t>
      </w:r>
      <w:r>
        <w:rPr>
          <w:rFonts w:ascii="Times New Roman" w:eastAsia="Times New Roman" w:hAnsi="Times New Roman" w:cs="Times New Roman"/>
          <w:sz w:val="24"/>
          <w:szCs w:val="24"/>
          <w:lang w:eastAsia="it-IT"/>
        </w:rPr>
        <w:t>, che passano d</w:t>
      </w:r>
      <w:r w:rsidRPr="006B35E4">
        <w:rPr>
          <w:rFonts w:ascii="Times New Roman" w:eastAsia="Times New Roman" w:hAnsi="Times New Roman" w:cs="Times New Roman"/>
          <w:sz w:val="24"/>
          <w:szCs w:val="24"/>
          <w:lang w:eastAsia="it-IT"/>
        </w:rPr>
        <w:t>a euro 17.547.118,00 a euro 14.422.454,00</w:t>
      </w:r>
      <w:r>
        <w:rPr>
          <w:rFonts w:ascii="Times New Roman" w:eastAsia="Times New Roman" w:hAnsi="Times New Roman" w:cs="Times New Roman"/>
          <w:sz w:val="24"/>
          <w:szCs w:val="24"/>
          <w:lang w:eastAsia="it-IT"/>
        </w:rPr>
        <w:t>;</w:t>
      </w:r>
    </w:p>
    <w:p w14:paraId="6A3E0914" w14:textId="77777777" w:rsidR="00CE6817" w:rsidRDefault="00CE6817" w:rsidP="00CE6817">
      <w:pPr>
        <w:spacing w:after="0" w:line="360" w:lineRule="auto"/>
        <w:jc w:val="both"/>
        <w:rPr>
          <w:rFonts w:ascii="Times New Roman" w:eastAsia="Times New Roman" w:hAnsi="Times New Roman" w:cs="Times New Roman"/>
          <w:b/>
          <w:sz w:val="24"/>
          <w:szCs w:val="24"/>
          <w:lang w:eastAsia="it-IT"/>
        </w:rPr>
      </w:pPr>
      <w:r>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 per il Fondo sport e periferie </w:t>
      </w:r>
      <w:r w:rsidRPr="006B35E4">
        <w:rPr>
          <w:rFonts w:ascii="Times New Roman" w:eastAsia="Times New Roman" w:hAnsi="Times New Roman" w:cs="Times New Roman"/>
          <w:b/>
          <w:sz w:val="24"/>
          <w:szCs w:val="24"/>
          <w:lang w:eastAsia="it-IT"/>
        </w:rPr>
        <w:t xml:space="preserve">(cap. 7457) </w:t>
      </w:r>
      <w:r w:rsidRPr="002958B4">
        <w:rPr>
          <w:rFonts w:ascii="Times New Roman" w:eastAsia="Times New Roman" w:hAnsi="Times New Roman" w:cs="Times New Roman"/>
          <w:sz w:val="24"/>
          <w:szCs w:val="24"/>
          <w:lang w:eastAsia="it-IT"/>
        </w:rPr>
        <w:t>di euro</w:t>
      </w:r>
      <w:r>
        <w:rPr>
          <w:rFonts w:ascii="Times New Roman" w:eastAsia="Times New Roman" w:hAnsi="Times New Roman" w:cs="Times New Roman"/>
          <w:b/>
          <w:sz w:val="24"/>
          <w:szCs w:val="24"/>
          <w:lang w:eastAsia="it-IT"/>
        </w:rPr>
        <w:t xml:space="preserve"> </w:t>
      </w:r>
      <w:r w:rsidRPr="006B35E4">
        <w:rPr>
          <w:rFonts w:ascii="Times New Roman" w:eastAsia="Times New Roman" w:hAnsi="Times New Roman" w:cs="Times New Roman"/>
          <w:sz w:val="24"/>
          <w:szCs w:val="24"/>
          <w:lang w:eastAsia="it-IT"/>
        </w:rPr>
        <w:t>46.714.001,00</w:t>
      </w:r>
      <w:r>
        <w:rPr>
          <w:rFonts w:ascii="Times New Roman" w:eastAsia="Times New Roman" w:hAnsi="Times New Roman" w:cs="Times New Roman"/>
          <w:sz w:val="24"/>
          <w:szCs w:val="24"/>
          <w:lang w:eastAsia="it-IT"/>
        </w:rPr>
        <w:t xml:space="preserve">, che passano da </w:t>
      </w:r>
      <w:r w:rsidRPr="002958B4">
        <w:rPr>
          <w:rFonts w:ascii="Times New Roman" w:eastAsia="Times New Roman" w:hAnsi="Times New Roman" w:cs="Times New Roman"/>
          <w:sz w:val="24"/>
          <w:szCs w:val="24"/>
          <w:lang w:eastAsia="it-IT"/>
        </w:rPr>
        <w:t>euro 86.040.086,00 a euro 39.326.085,00</w:t>
      </w:r>
      <w:r>
        <w:rPr>
          <w:rFonts w:ascii="Times New Roman" w:eastAsia="Times New Roman" w:hAnsi="Times New Roman" w:cs="Times New Roman"/>
          <w:sz w:val="24"/>
          <w:szCs w:val="24"/>
          <w:lang w:eastAsia="it-IT"/>
        </w:rPr>
        <w:t>;</w:t>
      </w:r>
    </w:p>
    <w:p w14:paraId="68EF33AF"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per</w:t>
      </w:r>
      <w:r w:rsidRPr="006B35E4">
        <w:rPr>
          <w:rFonts w:ascii="Times New Roman" w:eastAsia="Times New Roman" w:hAnsi="Times New Roman" w:cs="Times New Roman"/>
          <w:sz w:val="24"/>
          <w:szCs w:val="24"/>
          <w:lang w:eastAsia="it-IT"/>
        </w:rPr>
        <w:t xml:space="preserve"> gli investimenti connessi alla realizzazione di eventi sportivi internazionali </w:t>
      </w:r>
      <w:r w:rsidRPr="006B35E4">
        <w:rPr>
          <w:rFonts w:ascii="Times New Roman" w:eastAsia="Times New Roman" w:hAnsi="Times New Roman" w:cs="Times New Roman"/>
          <w:b/>
          <w:sz w:val="24"/>
          <w:szCs w:val="24"/>
          <w:lang w:eastAsia="it-IT"/>
        </w:rPr>
        <w:t xml:space="preserve">(cap. 7483) </w:t>
      </w:r>
      <w:r w:rsidRPr="002958B4">
        <w:rPr>
          <w:rFonts w:ascii="Times New Roman" w:eastAsia="Times New Roman" w:hAnsi="Times New Roman" w:cs="Times New Roman"/>
          <w:sz w:val="24"/>
          <w:szCs w:val="24"/>
          <w:lang w:eastAsia="it-IT"/>
        </w:rPr>
        <w:t>di euro 6.200.000,00</w:t>
      </w:r>
      <w:r>
        <w:rPr>
          <w:rFonts w:ascii="Times New Roman" w:eastAsia="Times New Roman" w:hAnsi="Times New Roman" w:cs="Times New Roman"/>
          <w:sz w:val="24"/>
          <w:szCs w:val="24"/>
          <w:lang w:eastAsia="it-IT"/>
        </w:rPr>
        <w:t xml:space="preserve">, </w:t>
      </w:r>
      <w:r w:rsidRPr="006B35E4">
        <w:rPr>
          <w:rFonts w:ascii="Times New Roman" w:eastAsia="Times New Roman" w:hAnsi="Times New Roman" w:cs="Times New Roman"/>
          <w:sz w:val="24"/>
          <w:szCs w:val="24"/>
          <w:lang w:eastAsia="it-IT"/>
        </w:rPr>
        <w:t>che passano da euro 9.300.000,00 a euro 3.100.000,00</w:t>
      </w:r>
      <w:r>
        <w:rPr>
          <w:rFonts w:ascii="Times New Roman" w:eastAsia="Times New Roman" w:hAnsi="Times New Roman" w:cs="Times New Roman"/>
          <w:sz w:val="24"/>
          <w:szCs w:val="24"/>
          <w:lang w:eastAsia="it-IT"/>
        </w:rPr>
        <w:t>.</w:t>
      </w:r>
    </w:p>
    <w:p w14:paraId="3B9E9E3C" w14:textId="2627656F" w:rsidR="00CE6817" w:rsidRPr="004446E3"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Nel 2022 non risultano assegnate</w:t>
      </w:r>
      <w:r>
        <w:rPr>
          <w:rFonts w:ascii="Times New Roman" w:eastAsia="Times New Roman" w:hAnsi="Times New Roman" w:cs="Times New Roman"/>
          <w:sz w:val="24"/>
          <w:szCs w:val="24"/>
          <w:lang w:eastAsia="it-IT"/>
        </w:rPr>
        <w:t xml:space="preserve">, inoltre, </w:t>
      </w:r>
      <w:r w:rsidRPr="006B35E4">
        <w:rPr>
          <w:rFonts w:ascii="Times New Roman" w:eastAsia="Times New Roman" w:hAnsi="Times New Roman" w:cs="Times New Roman"/>
          <w:sz w:val="24"/>
          <w:szCs w:val="24"/>
          <w:lang w:eastAsia="it-IT"/>
        </w:rPr>
        <w:t xml:space="preserve">risorse per </w:t>
      </w:r>
      <w:r>
        <w:rPr>
          <w:rFonts w:ascii="Times New Roman" w:eastAsia="Times New Roman" w:hAnsi="Times New Roman" w:cs="Times New Roman"/>
          <w:sz w:val="24"/>
          <w:szCs w:val="24"/>
          <w:lang w:eastAsia="it-IT"/>
        </w:rPr>
        <w:t>il c</w:t>
      </w:r>
      <w:r w:rsidRPr="006B35E4">
        <w:rPr>
          <w:rFonts w:ascii="Times New Roman" w:eastAsia="Times New Roman" w:hAnsi="Times New Roman" w:cs="Times New Roman"/>
          <w:sz w:val="24"/>
          <w:szCs w:val="24"/>
          <w:lang w:eastAsia="it-IT"/>
        </w:rPr>
        <w:t>ontributo a fondo perduto in favore degli organizzatori di eventi del campionato del mondo M</w:t>
      </w:r>
      <w:r w:rsidR="00D92614">
        <w:rPr>
          <w:rFonts w:ascii="Times New Roman" w:eastAsia="Times New Roman" w:hAnsi="Times New Roman" w:cs="Times New Roman"/>
          <w:sz w:val="24"/>
          <w:szCs w:val="24"/>
          <w:lang w:eastAsia="it-IT"/>
        </w:rPr>
        <w:t>oto</w:t>
      </w:r>
      <w:r w:rsidRPr="006B35E4">
        <w:rPr>
          <w:rFonts w:ascii="Times New Roman" w:eastAsia="Times New Roman" w:hAnsi="Times New Roman" w:cs="Times New Roman"/>
          <w:sz w:val="24"/>
          <w:szCs w:val="24"/>
          <w:lang w:eastAsia="it-IT"/>
        </w:rPr>
        <w:t xml:space="preserve">GP </w:t>
      </w:r>
      <w:r w:rsidRPr="006B35E4">
        <w:rPr>
          <w:rFonts w:ascii="Times New Roman" w:eastAsia="Times New Roman" w:hAnsi="Times New Roman" w:cs="Times New Roman"/>
          <w:b/>
          <w:sz w:val="24"/>
          <w:szCs w:val="24"/>
          <w:lang w:eastAsia="it-IT"/>
        </w:rPr>
        <w:t>(cap. 1902)</w:t>
      </w:r>
      <w:r>
        <w:rPr>
          <w:rFonts w:ascii="Times New Roman" w:eastAsia="Times New Roman" w:hAnsi="Times New Roman" w:cs="Times New Roman"/>
          <w:b/>
          <w:sz w:val="24"/>
          <w:szCs w:val="24"/>
          <w:lang w:eastAsia="it-IT"/>
        </w:rPr>
        <w:t xml:space="preserve"> </w:t>
      </w:r>
      <w:r w:rsidRPr="002958B4">
        <w:rPr>
          <w:rFonts w:ascii="Times New Roman" w:eastAsia="Times New Roman" w:hAnsi="Times New Roman" w:cs="Times New Roman"/>
          <w:sz w:val="24"/>
          <w:szCs w:val="24"/>
          <w:lang w:eastAsia="it-IT"/>
        </w:rPr>
        <w:t xml:space="preserve">pari a euro 1.000.000,00 nel 2021, </w:t>
      </w:r>
      <w:r w:rsidRPr="006B35E4">
        <w:rPr>
          <w:rFonts w:ascii="Times New Roman" w:eastAsia="Times New Roman" w:hAnsi="Times New Roman" w:cs="Times New Roman"/>
          <w:sz w:val="24"/>
          <w:szCs w:val="24"/>
          <w:lang w:eastAsia="it-IT"/>
        </w:rPr>
        <w:t xml:space="preserve">per il contributo a fondo perduto per le spese di gestione e di manutenzione degli impianti natatori </w:t>
      </w:r>
      <w:r w:rsidRPr="006B35E4">
        <w:rPr>
          <w:rFonts w:ascii="Times New Roman" w:eastAsia="Times New Roman" w:hAnsi="Times New Roman" w:cs="Times New Roman"/>
          <w:b/>
          <w:sz w:val="24"/>
          <w:szCs w:val="24"/>
          <w:lang w:eastAsia="it-IT"/>
        </w:rPr>
        <w:t>(cap. 1903)</w:t>
      </w:r>
      <w:r w:rsidRPr="006B35E4">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pari a euro </w:t>
      </w:r>
      <w:r w:rsidRPr="006B13A6">
        <w:rPr>
          <w:rFonts w:ascii="Times New Roman" w:eastAsia="Times New Roman" w:hAnsi="Times New Roman" w:cs="Times New Roman"/>
          <w:sz w:val="24"/>
          <w:szCs w:val="24"/>
          <w:lang w:eastAsia="it-IT"/>
        </w:rPr>
        <w:t>30.000.000,00</w:t>
      </w:r>
      <w:r>
        <w:rPr>
          <w:rFonts w:ascii="Times New Roman" w:eastAsia="Times New Roman" w:hAnsi="Times New Roman" w:cs="Times New Roman"/>
          <w:sz w:val="24"/>
          <w:szCs w:val="24"/>
          <w:lang w:eastAsia="it-IT"/>
        </w:rPr>
        <w:t xml:space="preserve"> nel 2021, </w:t>
      </w:r>
      <w:r w:rsidRPr="006B35E4">
        <w:rPr>
          <w:rFonts w:ascii="Times New Roman" w:eastAsia="Times New Roman" w:hAnsi="Times New Roman" w:cs="Times New Roman"/>
          <w:sz w:val="24"/>
          <w:szCs w:val="24"/>
          <w:lang w:eastAsia="it-IT"/>
        </w:rPr>
        <w:t xml:space="preserve">per il rilancio del sistema sportivo nazionale </w:t>
      </w:r>
      <w:r w:rsidRPr="006B35E4">
        <w:rPr>
          <w:rFonts w:ascii="Times New Roman" w:eastAsia="Times New Roman" w:hAnsi="Times New Roman" w:cs="Times New Roman"/>
          <w:b/>
          <w:sz w:val="24"/>
          <w:szCs w:val="24"/>
          <w:lang w:eastAsia="it-IT"/>
        </w:rPr>
        <w:t>(cap. 2143)</w:t>
      </w:r>
      <w:r w:rsidRPr="002958B4">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b/>
          <w:sz w:val="24"/>
          <w:szCs w:val="24"/>
          <w:lang w:eastAsia="it-IT"/>
        </w:rPr>
        <w:t xml:space="preserve"> </w:t>
      </w:r>
      <w:r w:rsidRPr="004446E3">
        <w:rPr>
          <w:rFonts w:ascii="Times New Roman" w:eastAsia="Times New Roman" w:hAnsi="Times New Roman" w:cs="Times New Roman"/>
          <w:sz w:val="24"/>
          <w:szCs w:val="24"/>
          <w:lang w:eastAsia="it-IT"/>
        </w:rPr>
        <w:t xml:space="preserve">pari a euro 50.000.000,00 </w:t>
      </w:r>
      <w:r>
        <w:rPr>
          <w:rFonts w:ascii="Times New Roman" w:eastAsia="Times New Roman" w:hAnsi="Times New Roman" w:cs="Times New Roman"/>
          <w:sz w:val="24"/>
          <w:szCs w:val="24"/>
          <w:lang w:eastAsia="it-IT"/>
        </w:rPr>
        <w:t xml:space="preserve">nel 2021 </w:t>
      </w:r>
      <w:r w:rsidRPr="006B35E4">
        <w:rPr>
          <w:rFonts w:ascii="Times New Roman" w:eastAsia="Times New Roman" w:hAnsi="Times New Roman" w:cs="Times New Roman"/>
          <w:sz w:val="24"/>
          <w:szCs w:val="24"/>
          <w:lang w:eastAsia="it-IT"/>
        </w:rPr>
        <w:t xml:space="preserve">e per il Fondo unico per il sostegno delle associazioni e società sportive dilettantistiche </w:t>
      </w:r>
      <w:r w:rsidRPr="006B35E4">
        <w:rPr>
          <w:rFonts w:ascii="Times New Roman" w:eastAsia="Times New Roman" w:hAnsi="Times New Roman" w:cs="Times New Roman"/>
          <w:b/>
          <w:sz w:val="24"/>
          <w:szCs w:val="24"/>
          <w:lang w:eastAsia="it-IT"/>
        </w:rPr>
        <w:t>(cap. 2161)</w:t>
      </w:r>
      <w:r w:rsidRPr="00B83288">
        <w:rPr>
          <w:rFonts w:ascii="Times New Roman" w:eastAsia="Times New Roman" w:hAnsi="Times New Roman" w:cs="Times New Roman"/>
          <w:sz w:val="24"/>
          <w:szCs w:val="24"/>
          <w:lang w:eastAsia="it-IT"/>
        </w:rPr>
        <w:t>,</w:t>
      </w:r>
      <w:r>
        <w:rPr>
          <w:rFonts w:ascii="Times New Roman" w:eastAsia="Times New Roman" w:hAnsi="Times New Roman" w:cs="Times New Roman"/>
          <w:b/>
          <w:sz w:val="24"/>
          <w:szCs w:val="24"/>
          <w:lang w:eastAsia="it-IT"/>
        </w:rPr>
        <w:t xml:space="preserve"> </w:t>
      </w:r>
      <w:r w:rsidRPr="002958B4">
        <w:rPr>
          <w:rFonts w:ascii="Times New Roman" w:eastAsia="Times New Roman" w:hAnsi="Times New Roman" w:cs="Times New Roman"/>
          <w:sz w:val="24"/>
          <w:szCs w:val="24"/>
          <w:lang w:eastAsia="it-IT"/>
        </w:rPr>
        <w:t xml:space="preserve">pari </w:t>
      </w:r>
      <w:r w:rsidRPr="004446E3">
        <w:rPr>
          <w:rFonts w:ascii="Times New Roman" w:eastAsia="Times New Roman" w:hAnsi="Times New Roman" w:cs="Times New Roman"/>
          <w:sz w:val="24"/>
          <w:szCs w:val="24"/>
          <w:lang w:eastAsia="it-IT"/>
        </w:rPr>
        <w:t>a euro 240.000.000,00 nell</w:t>
      </w:r>
      <w:r w:rsidR="00877AAF">
        <w:rPr>
          <w:rFonts w:ascii="Times New Roman" w:eastAsia="Times New Roman" w:hAnsi="Times New Roman" w:cs="Times New Roman"/>
          <w:sz w:val="24"/>
          <w:szCs w:val="24"/>
          <w:lang w:eastAsia="it-IT"/>
        </w:rPr>
        <w:t>’</w:t>
      </w:r>
      <w:r w:rsidRPr="004446E3">
        <w:rPr>
          <w:rFonts w:ascii="Times New Roman" w:eastAsia="Times New Roman" w:hAnsi="Times New Roman" w:cs="Times New Roman"/>
          <w:sz w:val="24"/>
          <w:szCs w:val="24"/>
          <w:lang w:eastAsia="it-IT"/>
        </w:rPr>
        <w:t xml:space="preserve">esercizio precedente. </w:t>
      </w:r>
    </w:p>
    <w:p w14:paraId="4F293F95"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A fronte d</w:t>
      </w:r>
      <w:r>
        <w:rPr>
          <w:rFonts w:ascii="Times New Roman" w:eastAsia="Times New Roman" w:hAnsi="Times New Roman" w:cs="Times New Roman"/>
          <w:sz w:val="24"/>
          <w:szCs w:val="24"/>
          <w:lang w:eastAsia="it-IT"/>
        </w:rPr>
        <w:t xml:space="preserve">elle suddette diminuzioni, </w:t>
      </w:r>
      <w:r w:rsidRPr="006B35E4">
        <w:rPr>
          <w:rFonts w:ascii="Times New Roman" w:eastAsia="Times New Roman" w:hAnsi="Times New Roman" w:cs="Times New Roman"/>
          <w:sz w:val="24"/>
          <w:szCs w:val="24"/>
          <w:lang w:eastAsia="it-IT"/>
        </w:rPr>
        <w:t>si evidenzia un incremento d</w:t>
      </w:r>
      <w:r>
        <w:rPr>
          <w:rFonts w:ascii="Times New Roman" w:eastAsia="Times New Roman" w:hAnsi="Times New Roman" w:cs="Times New Roman"/>
          <w:sz w:val="24"/>
          <w:szCs w:val="24"/>
          <w:lang w:eastAsia="it-IT"/>
        </w:rPr>
        <w:t>elle</w:t>
      </w:r>
      <w:r w:rsidRPr="006B35E4">
        <w:rPr>
          <w:rFonts w:ascii="Times New Roman" w:eastAsia="Times New Roman" w:hAnsi="Times New Roman" w:cs="Times New Roman"/>
          <w:sz w:val="24"/>
          <w:szCs w:val="24"/>
          <w:lang w:eastAsia="it-IT"/>
        </w:rPr>
        <w:t xml:space="preserve"> risorse </w:t>
      </w:r>
      <w:r>
        <w:rPr>
          <w:rFonts w:ascii="Times New Roman" w:eastAsia="Times New Roman" w:hAnsi="Times New Roman" w:cs="Times New Roman"/>
          <w:sz w:val="24"/>
          <w:szCs w:val="24"/>
          <w:lang w:eastAsia="it-IT"/>
        </w:rPr>
        <w:t>destinate:</w:t>
      </w:r>
    </w:p>
    <w:p w14:paraId="7C792485" w14:textId="73E3AFDF"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al</w:t>
      </w:r>
      <w:r w:rsidRPr="006B35E4">
        <w:rPr>
          <w:rFonts w:ascii="Times New Roman" w:eastAsia="Times New Roman" w:hAnsi="Times New Roman" w:cs="Times New Roman"/>
          <w:sz w:val="24"/>
          <w:szCs w:val="24"/>
          <w:lang w:eastAsia="it-IT"/>
        </w:rPr>
        <w:t>la promozione dell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attività sportiva di base </w:t>
      </w:r>
      <w:r w:rsidRPr="006B35E4">
        <w:rPr>
          <w:rFonts w:ascii="Times New Roman" w:eastAsia="Times New Roman" w:hAnsi="Times New Roman" w:cs="Times New Roman"/>
          <w:b/>
          <w:sz w:val="24"/>
          <w:szCs w:val="24"/>
          <w:lang w:eastAsia="it-IT"/>
        </w:rPr>
        <w:t>(cap. 2085)</w:t>
      </w:r>
      <w:r w:rsidR="002043FB" w:rsidRPr="002043FB">
        <w:rPr>
          <w:rFonts w:ascii="Times New Roman" w:eastAsia="Times New Roman" w:hAnsi="Times New Roman" w:cs="Times New Roman"/>
          <w:bCs/>
          <w:sz w:val="24"/>
          <w:szCs w:val="24"/>
          <w:lang w:eastAsia="it-IT"/>
        </w:rPr>
        <w:t>,</w:t>
      </w:r>
      <w:r w:rsidRPr="002043FB">
        <w:rPr>
          <w:rFonts w:ascii="Times New Roman" w:eastAsia="Times New Roman" w:hAnsi="Times New Roman" w:cs="Times New Roman"/>
          <w:bCs/>
          <w:sz w:val="24"/>
          <w:szCs w:val="24"/>
          <w:lang w:eastAsia="it-IT"/>
        </w:rPr>
        <w:t xml:space="preserve"> </w:t>
      </w:r>
      <w:r w:rsidRPr="006B35E4">
        <w:rPr>
          <w:rFonts w:ascii="Times New Roman" w:eastAsia="Times New Roman" w:hAnsi="Times New Roman" w:cs="Times New Roman"/>
          <w:sz w:val="24"/>
          <w:szCs w:val="24"/>
          <w:lang w:eastAsia="it-IT"/>
        </w:rPr>
        <w:t>che passa</w:t>
      </w:r>
      <w:r>
        <w:rPr>
          <w:rFonts w:ascii="Times New Roman" w:eastAsia="Times New Roman" w:hAnsi="Times New Roman" w:cs="Times New Roman"/>
          <w:sz w:val="24"/>
          <w:szCs w:val="24"/>
          <w:lang w:eastAsia="it-IT"/>
        </w:rPr>
        <w:t>no</w:t>
      </w:r>
      <w:r w:rsidRPr="006B35E4">
        <w:rPr>
          <w:rFonts w:ascii="Times New Roman" w:eastAsia="Times New Roman" w:hAnsi="Times New Roman" w:cs="Times New Roman"/>
          <w:sz w:val="24"/>
          <w:szCs w:val="24"/>
          <w:lang w:eastAsia="it-IT"/>
        </w:rPr>
        <w:t xml:space="preserve"> da euro 50.000.000,00 a euro 111.308.000,00, </w:t>
      </w:r>
      <w:r>
        <w:rPr>
          <w:rFonts w:ascii="Times New Roman" w:eastAsia="Times New Roman" w:hAnsi="Times New Roman" w:cs="Times New Roman"/>
          <w:sz w:val="24"/>
          <w:szCs w:val="24"/>
          <w:lang w:eastAsia="it-IT"/>
        </w:rPr>
        <w:t xml:space="preserve">con un aumento </w:t>
      </w:r>
      <w:r w:rsidRPr="006B35E4">
        <w:rPr>
          <w:rFonts w:ascii="Times New Roman" w:eastAsia="Times New Roman" w:hAnsi="Times New Roman" w:cs="Times New Roman"/>
          <w:sz w:val="24"/>
          <w:szCs w:val="24"/>
          <w:lang w:eastAsia="it-IT"/>
        </w:rPr>
        <w:t>di euro 61.308.000,00</w:t>
      </w:r>
      <w:r>
        <w:rPr>
          <w:rFonts w:ascii="Times New Roman" w:eastAsia="Times New Roman" w:hAnsi="Times New Roman" w:cs="Times New Roman"/>
          <w:sz w:val="24"/>
          <w:szCs w:val="24"/>
          <w:lang w:eastAsia="it-IT"/>
        </w:rPr>
        <w:t>;</w:t>
      </w:r>
    </w:p>
    <w:p w14:paraId="4E7B0A03" w14:textId="77777777" w:rsidR="00CE6817"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a</w:t>
      </w:r>
      <w:r w:rsidRPr="006B35E4">
        <w:rPr>
          <w:rFonts w:ascii="Times New Roman" w:eastAsia="Times New Roman" w:hAnsi="Times New Roman" w:cs="Times New Roman"/>
          <w:sz w:val="24"/>
          <w:szCs w:val="24"/>
          <w:lang w:eastAsia="it-IT"/>
        </w:rPr>
        <w:t xml:space="preserve">l Fondo per interventi a favore di società sportive dilettantistiche </w:t>
      </w:r>
      <w:r w:rsidRPr="006B35E4">
        <w:rPr>
          <w:rFonts w:ascii="Times New Roman" w:eastAsia="Times New Roman" w:hAnsi="Times New Roman" w:cs="Times New Roman"/>
          <w:b/>
          <w:sz w:val="24"/>
          <w:szCs w:val="24"/>
          <w:lang w:eastAsia="it-IT"/>
        </w:rPr>
        <w:t>(cap. 2092)</w:t>
      </w:r>
      <w:r w:rsidRPr="006B35E4">
        <w:rPr>
          <w:rFonts w:ascii="Times New Roman" w:eastAsia="Times New Roman" w:hAnsi="Times New Roman" w:cs="Times New Roman"/>
          <w:sz w:val="24"/>
          <w:szCs w:val="24"/>
          <w:lang w:eastAsia="it-IT"/>
        </w:rPr>
        <w:t xml:space="preserve">, che </w:t>
      </w:r>
      <w:r>
        <w:rPr>
          <w:rFonts w:ascii="Times New Roman" w:eastAsia="Times New Roman" w:hAnsi="Times New Roman" w:cs="Times New Roman"/>
          <w:sz w:val="24"/>
          <w:szCs w:val="24"/>
          <w:lang w:eastAsia="it-IT"/>
        </w:rPr>
        <w:t xml:space="preserve">passano </w:t>
      </w:r>
      <w:r w:rsidRPr="006B35E4">
        <w:rPr>
          <w:rFonts w:ascii="Times New Roman" w:eastAsia="Times New Roman" w:hAnsi="Times New Roman" w:cs="Times New Roman"/>
          <w:sz w:val="24"/>
          <w:szCs w:val="24"/>
          <w:lang w:eastAsia="it-IT"/>
        </w:rPr>
        <w:t>da euro 16.464.221,00 a euro 21.082.641,00</w:t>
      </w:r>
      <w:r>
        <w:rPr>
          <w:rFonts w:ascii="Times New Roman" w:eastAsia="Times New Roman" w:hAnsi="Times New Roman" w:cs="Times New Roman"/>
          <w:sz w:val="24"/>
          <w:szCs w:val="24"/>
          <w:lang w:eastAsia="it-IT"/>
        </w:rPr>
        <w:t>, con un aumento di</w:t>
      </w:r>
      <w:r w:rsidRPr="00D617C8">
        <w:rPr>
          <w:rFonts w:ascii="Times New Roman" w:eastAsia="Times New Roman" w:hAnsi="Times New Roman" w:cs="Times New Roman"/>
          <w:sz w:val="24"/>
          <w:szCs w:val="24"/>
          <w:lang w:eastAsia="it-IT"/>
        </w:rPr>
        <w:t xml:space="preserve"> euro 4.618.420,00</w:t>
      </w:r>
      <w:r>
        <w:rPr>
          <w:rFonts w:ascii="Times New Roman" w:eastAsia="Times New Roman" w:hAnsi="Times New Roman" w:cs="Times New Roman"/>
          <w:sz w:val="24"/>
          <w:szCs w:val="24"/>
          <w:lang w:eastAsia="it-IT"/>
        </w:rPr>
        <w:t>;</w:t>
      </w:r>
    </w:p>
    <w:p w14:paraId="613BED21" w14:textId="77777777" w:rsidR="00CE6817" w:rsidRPr="006B35E4"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al sostegno del potenziamento del movimento sportivo italiano </w:t>
      </w:r>
      <w:r w:rsidRPr="008E742B">
        <w:rPr>
          <w:rFonts w:ascii="Times New Roman" w:eastAsia="Times New Roman" w:hAnsi="Times New Roman" w:cs="Times New Roman"/>
          <w:b/>
          <w:sz w:val="24"/>
          <w:szCs w:val="24"/>
          <w:lang w:eastAsia="it-IT"/>
        </w:rPr>
        <w:t>(cap. 2154)</w:t>
      </w:r>
      <w:r w:rsidRPr="009757F7">
        <w:rPr>
          <w:rFonts w:ascii="Times New Roman" w:eastAsia="Times New Roman" w:hAnsi="Times New Roman" w:cs="Times New Roman"/>
          <w:sz w:val="24"/>
          <w:szCs w:val="24"/>
          <w:lang w:eastAsia="it-IT"/>
        </w:rPr>
        <w:t>,</w:t>
      </w:r>
      <w:r>
        <w:rPr>
          <w:rFonts w:ascii="Times New Roman" w:eastAsia="Times New Roman" w:hAnsi="Times New Roman" w:cs="Times New Roman"/>
          <w:b/>
          <w:sz w:val="24"/>
          <w:szCs w:val="24"/>
          <w:lang w:eastAsia="it-IT"/>
        </w:rPr>
        <w:t xml:space="preserve"> </w:t>
      </w:r>
      <w:r w:rsidRPr="009757F7">
        <w:rPr>
          <w:rFonts w:ascii="Times New Roman" w:eastAsia="Times New Roman" w:hAnsi="Times New Roman" w:cs="Times New Roman"/>
          <w:sz w:val="24"/>
          <w:szCs w:val="24"/>
          <w:lang w:eastAsia="it-IT"/>
        </w:rPr>
        <w:t>che passano</w:t>
      </w:r>
      <w:r>
        <w:rPr>
          <w:rFonts w:ascii="Times New Roman" w:eastAsia="Times New Roman" w:hAnsi="Times New Roman" w:cs="Times New Roman"/>
          <w:b/>
          <w:sz w:val="24"/>
          <w:szCs w:val="24"/>
          <w:lang w:eastAsia="it-IT"/>
        </w:rPr>
        <w:t xml:space="preserve"> </w:t>
      </w:r>
      <w:r>
        <w:rPr>
          <w:rFonts w:ascii="Times New Roman" w:eastAsia="Times New Roman" w:hAnsi="Times New Roman" w:cs="Times New Roman"/>
          <w:sz w:val="24"/>
          <w:szCs w:val="24"/>
          <w:lang w:eastAsia="it-IT"/>
        </w:rPr>
        <w:t xml:space="preserve">da euro </w:t>
      </w:r>
      <w:r w:rsidRPr="004446E3">
        <w:rPr>
          <w:rFonts w:ascii="Times New Roman" w:eastAsia="Times New Roman" w:hAnsi="Times New Roman" w:cs="Times New Roman"/>
          <w:sz w:val="24"/>
          <w:szCs w:val="24"/>
          <w:lang w:eastAsia="it-IT"/>
        </w:rPr>
        <w:t>10.235.819,00</w:t>
      </w:r>
      <w:r>
        <w:rPr>
          <w:rFonts w:ascii="Times New Roman" w:eastAsia="Times New Roman" w:hAnsi="Times New Roman" w:cs="Times New Roman"/>
          <w:sz w:val="24"/>
          <w:szCs w:val="24"/>
          <w:lang w:eastAsia="it-IT"/>
        </w:rPr>
        <w:t xml:space="preserve"> a euro </w:t>
      </w:r>
      <w:r w:rsidRPr="004446E3">
        <w:rPr>
          <w:rFonts w:ascii="Times New Roman" w:eastAsia="Times New Roman" w:hAnsi="Times New Roman" w:cs="Times New Roman"/>
          <w:sz w:val="24"/>
          <w:szCs w:val="24"/>
          <w:lang w:eastAsia="it-IT"/>
        </w:rPr>
        <w:t>209.845.718,00</w:t>
      </w:r>
      <w:r>
        <w:rPr>
          <w:rFonts w:ascii="Times New Roman" w:eastAsia="Times New Roman" w:hAnsi="Times New Roman" w:cs="Times New Roman"/>
          <w:sz w:val="24"/>
          <w:szCs w:val="24"/>
          <w:lang w:eastAsia="it-IT"/>
        </w:rPr>
        <w:t>, con un incremento</w:t>
      </w:r>
      <w:r w:rsidRPr="009757F7">
        <w:t xml:space="preserve"> </w:t>
      </w:r>
      <w:r>
        <w:rPr>
          <w:rFonts w:ascii="Times New Roman" w:eastAsia="Times New Roman" w:hAnsi="Times New Roman" w:cs="Times New Roman"/>
          <w:sz w:val="24"/>
          <w:szCs w:val="24"/>
          <w:lang w:eastAsia="it-IT"/>
        </w:rPr>
        <w:t>di euro 199.609.899,00;</w:t>
      </w:r>
    </w:p>
    <w:p w14:paraId="5304F53C" w14:textId="77777777" w:rsidR="00CE6817" w:rsidRDefault="00CE6817" w:rsidP="00CE6817">
      <w:pPr>
        <w:spacing w:after="0" w:line="360" w:lineRule="auto"/>
        <w:ind w:left="142" w:hanging="142"/>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al</w:t>
      </w:r>
      <w:r w:rsidRPr="006B35E4">
        <w:rPr>
          <w:rFonts w:ascii="Times New Roman" w:eastAsia="Times New Roman" w:hAnsi="Times New Roman" w:cs="Times New Roman"/>
          <w:sz w:val="24"/>
          <w:szCs w:val="24"/>
          <w:lang w:eastAsia="it-IT"/>
        </w:rPr>
        <w:t xml:space="preserve">la realizzazione delle opere connesse agli impianti sportivi delle olimpiadi invernali 2026 </w:t>
      </w:r>
      <w:r w:rsidRPr="006B35E4">
        <w:rPr>
          <w:rFonts w:ascii="Times New Roman" w:eastAsia="Times New Roman" w:hAnsi="Times New Roman" w:cs="Times New Roman"/>
          <w:b/>
          <w:sz w:val="24"/>
          <w:szCs w:val="24"/>
          <w:lang w:eastAsia="it-IT"/>
        </w:rPr>
        <w:t>(cap. 7482)</w:t>
      </w:r>
      <w:r w:rsidRPr="006B35E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che passano </w:t>
      </w:r>
      <w:r w:rsidRPr="006B35E4">
        <w:rPr>
          <w:rFonts w:ascii="Times New Roman" w:eastAsia="Times New Roman" w:hAnsi="Times New Roman" w:cs="Times New Roman"/>
          <w:sz w:val="24"/>
          <w:szCs w:val="24"/>
          <w:lang w:eastAsia="it-IT"/>
        </w:rPr>
        <w:t xml:space="preserve">da </w:t>
      </w:r>
      <w:r>
        <w:rPr>
          <w:rFonts w:ascii="Times New Roman" w:eastAsia="Times New Roman" w:hAnsi="Times New Roman" w:cs="Times New Roman"/>
          <w:sz w:val="24"/>
          <w:szCs w:val="24"/>
          <w:lang w:eastAsia="it-IT"/>
        </w:rPr>
        <w:t xml:space="preserve">euro </w:t>
      </w:r>
      <w:r w:rsidRPr="006B35E4">
        <w:rPr>
          <w:rFonts w:ascii="Times New Roman" w:eastAsia="Times New Roman" w:hAnsi="Times New Roman" w:cs="Times New Roman"/>
          <w:sz w:val="24"/>
          <w:szCs w:val="24"/>
          <w:lang w:eastAsia="it-IT"/>
        </w:rPr>
        <w:t xml:space="preserve">45.000.000,00 a </w:t>
      </w:r>
      <w:r>
        <w:rPr>
          <w:rFonts w:ascii="Times New Roman" w:eastAsia="Times New Roman" w:hAnsi="Times New Roman" w:cs="Times New Roman"/>
          <w:sz w:val="24"/>
          <w:szCs w:val="24"/>
          <w:lang w:eastAsia="it-IT"/>
        </w:rPr>
        <w:t xml:space="preserve">euro </w:t>
      </w:r>
      <w:r w:rsidRPr="006B35E4">
        <w:rPr>
          <w:rFonts w:ascii="Times New Roman" w:eastAsia="Times New Roman" w:hAnsi="Times New Roman" w:cs="Times New Roman"/>
          <w:sz w:val="24"/>
          <w:szCs w:val="24"/>
          <w:lang w:eastAsia="it-IT"/>
        </w:rPr>
        <w:t>60.000.000,00</w:t>
      </w:r>
      <w:r>
        <w:rPr>
          <w:rFonts w:ascii="Times New Roman" w:eastAsia="Times New Roman" w:hAnsi="Times New Roman" w:cs="Times New Roman"/>
          <w:sz w:val="24"/>
          <w:szCs w:val="24"/>
          <w:lang w:eastAsia="it-IT"/>
        </w:rPr>
        <w:t xml:space="preserve">, con un incremento di euro </w:t>
      </w:r>
      <w:r w:rsidRPr="009757F7">
        <w:rPr>
          <w:rFonts w:ascii="Times New Roman" w:eastAsia="Times New Roman" w:hAnsi="Times New Roman" w:cs="Times New Roman"/>
          <w:sz w:val="24"/>
          <w:szCs w:val="24"/>
          <w:lang w:eastAsia="it-IT"/>
        </w:rPr>
        <w:t>15.000.000,00</w:t>
      </w:r>
      <w:r>
        <w:rPr>
          <w:rFonts w:ascii="Times New Roman" w:eastAsia="Times New Roman" w:hAnsi="Times New Roman" w:cs="Times New Roman"/>
          <w:sz w:val="24"/>
          <w:szCs w:val="24"/>
          <w:lang w:eastAsia="it-IT"/>
        </w:rPr>
        <w:t>.</w:t>
      </w:r>
    </w:p>
    <w:p w14:paraId="0040EE5F" w14:textId="7BA77C16" w:rsidR="00CE6817" w:rsidRDefault="00CE6817" w:rsidP="00CE6817">
      <w:pPr>
        <w:spacing w:after="0" w:line="360" w:lineRule="auto"/>
        <w:jc w:val="both"/>
        <w:rPr>
          <w:rFonts w:ascii="Times New Roman" w:eastAsia="Times New Roman" w:hAnsi="Times New Roman" w:cs="Times New Roman"/>
          <w:sz w:val="24"/>
          <w:szCs w:val="24"/>
          <w:lang w:eastAsia="it-IT"/>
        </w:rPr>
      </w:pPr>
      <w:r w:rsidRPr="002017D3">
        <w:rPr>
          <w:rFonts w:ascii="Times New Roman" w:eastAsia="Times New Roman" w:hAnsi="Times New Roman" w:cs="Times New Roman"/>
          <w:sz w:val="24"/>
          <w:szCs w:val="24"/>
          <w:lang w:eastAsia="it-IT"/>
        </w:rPr>
        <w:t xml:space="preserve">Si registra, infine, una nuova assegnazione di risorse per i contributi a fondo perduto per le associazioni e società sportive dilettantistiche che gestiscono impianti sportivi, colpite dalla crisi energetica </w:t>
      </w:r>
      <w:r w:rsidRPr="002017D3">
        <w:rPr>
          <w:rFonts w:ascii="Times New Roman" w:eastAsia="Times New Roman" w:hAnsi="Times New Roman" w:cs="Times New Roman"/>
          <w:b/>
          <w:sz w:val="24"/>
          <w:szCs w:val="24"/>
          <w:lang w:eastAsia="it-IT"/>
        </w:rPr>
        <w:t>(cap. 1924)</w:t>
      </w:r>
      <w:r w:rsidRPr="002017D3">
        <w:rPr>
          <w:rFonts w:ascii="Times New Roman" w:eastAsia="Times New Roman" w:hAnsi="Times New Roman" w:cs="Times New Roman"/>
          <w:sz w:val="24"/>
          <w:szCs w:val="24"/>
          <w:lang w:eastAsia="it-IT"/>
        </w:rPr>
        <w:t xml:space="preserve"> e per i contributi al progetto giro d</w:t>
      </w:r>
      <w:r w:rsidR="00877AAF">
        <w:rPr>
          <w:rFonts w:ascii="Times New Roman" w:eastAsia="Times New Roman" w:hAnsi="Times New Roman" w:cs="Times New Roman"/>
          <w:sz w:val="24"/>
          <w:szCs w:val="24"/>
          <w:lang w:eastAsia="it-IT"/>
        </w:rPr>
        <w:t>’</w:t>
      </w:r>
      <w:r w:rsidRPr="002017D3">
        <w:rPr>
          <w:rFonts w:ascii="Times New Roman" w:eastAsia="Times New Roman" w:hAnsi="Times New Roman" w:cs="Times New Roman"/>
          <w:sz w:val="24"/>
          <w:szCs w:val="24"/>
          <w:lang w:eastAsia="it-IT"/>
        </w:rPr>
        <w:t xml:space="preserve">Italia U23 </w:t>
      </w:r>
      <w:r w:rsidRPr="002017D3">
        <w:rPr>
          <w:rFonts w:ascii="Times New Roman" w:eastAsia="Times New Roman" w:hAnsi="Times New Roman" w:cs="Times New Roman"/>
          <w:b/>
          <w:sz w:val="24"/>
          <w:szCs w:val="24"/>
          <w:lang w:eastAsia="it-IT"/>
        </w:rPr>
        <w:t>(cap. 2168)</w:t>
      </w:r>
      <w:r w:rsidRPr="00B83288">
        <w:rPr>
          <w:rFonts w:ascii="Times New Roman" w:eastAsia="Times New Roman" w:hAnsi="Times New Roman" w:cs="Times New Roman"/>
          <w:sz w:val="24"/>
          <w:szCs w:val="24"/>
          <w:lang w:eastAsia="it-IT"/>
        </w:rPr>
        <w:t xml:space="preserve">, </w:t>
      </w:r>
      <w:r w:rsidRPr="002017D3">
        <w:rPr>
          <w:rFonts w:ascii="Times New Roman" w:eastAsia="Times New Roman" w:hAnsi="Times New Roman" w:cs="Times New Roman"/>
          <w:sz w:val="24"/>
          <w:szCs w:val="24"/>
          <w:lang w:eastAsia="it-IT"/>
        </w:rPr>
        <w:t>rispettivamente di euro 50.000.000,00 e euro 600.000,00.</w:t>
      </w:r>
    </w:p>
    <w:p w14:paraId="56055162" w14:textId="184B4C38"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ambito de</w:t>
      </w:r>
      <w:r w:rsidRPr="006B35E4">
        <w:rPr>
          <w:rFonts w:ascii="Times New Roman" w:eastAsia="Times New Roman" w:hAnsi="Times New Roman" w:cs="Times New Roman"/>
          <w:bCs/>
          <w:sz w:val="24"/>
          <w:szCs w:val="24"/>
          <w:lang w:eastAsia="it-IT"/>
        </w:rPr>
        <w:t xml:space="preserve">l </w:t>
      </w:r>
      <w:r w:rsidRPr="002E397C">
        <w:rPr>
          <w:rFonts w:ascii="Times New Roman" w:eastAsia="Times New Roman" w:hAnsi="Times New Roman" w:cs="Times New Roman"/>
          <w:b/>
          <w:bCs/>
          <w:sz w:val="24"/>
          <w:szCs w:val="24"/>
          <w:lang w:eastAsia="it-IT"/>
        </w:rPr>
        <w:t>Programma</w:t>
      </w:r>
      <w:r w:rsidRPr="006B35E4">
        <w:rPr>
          <w:rFonts w:ascii="Times New Roman" w:eastAsia="Times New Roman" w:hAnsi="Times New Roman" w:cs="Times New Roman"/>
          <w:bCs/>
          <w:sz w:val="24"/>
          <w:szCs w:val="24"/>
          <w:lang w:eastAsia="it-IT"/>
        </w:rPr>
        <w:t xml:space="preserve"> </w:t>
      </w:r>
      <w:r w:rsidRPr="006B35E4">
        <w:rPr>
          <w:rFonts w:ascii="Times New Roman" w:eastAsia="Times New Roman" w:hAnsi="Times New Roman" w:cs="Times New Roman"/>
          <w:b/>
          <w:bCs/>
          <w:sz w:val="24"/>
          <w:szCs w:val="24"/>
          <w:lang w:eastAsia="it-IT"/>
        </w:rPr>
        <w:t>30.2</w:t>
      </w:r>
      <w:r w:rsidRPr="006B35E4">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Cs/>
          <w:sz w:val="24"/>
          <w:szCs w:val="24"/>
          <w:lang w:eastAsia="it-IT"/>
        </w:rPr>
        <w:t>Incentivazione e sostegno alla gioventù</w:t>
      </w:r>
      <w:r>
        <w:rPr>
          <w:rFonts w:ascii="Times New Roman" w:eastAsia="Times New Roman" w:hAnsi="Times New Roman" w:cs="Times New Roman"/>
          <w:bCs/>
          <w:sz w:val="24"/>
          <w:szCs w:val="24"/>
          <w:lang w:eastAsia="it-IT"/>
        </w:rPr>
        <w:t>”</w:t>
      </w:r>
      <w:r w:rsidRPr="006B35E4">
        <w:rPr>
          <w:rFonts w:ascii="Times New Roman" w:eastAsia="Times New Roman" w:hAnsi="Times New Roman" w:cs="Times New Roman"/>
          <w:bCs/>
          <w:sz w:val="24"/>
          <w:szCs w:val="24"/>
          <w:lang w:eastAsia="it-IT"/>
        </w:rPr>
        <w:t>, si registra</w:t>
      </w:r>
      <w:r>
        <w:rPr>
          <w:rFonts w:ascii="Times New Roman" w:eastAsia="Times New Roman" w:hAnsi="Times New Roman" w:cs="Times New Roman"/>
          <w:bCs/>
          <w:sz w:val="24"/>
          <w:szCs w:val="24"/>
          <w:lang w:eastAsia="it-IT"/>
        </w:rPr>
        <w:t xml:space="preserve"> invece</w:t>
      </w:r>
      <w:r w:rsidRPr="006B35E4">
        <w:rPr>
          <w:rFonts w:ascii="Times New Roman" w:eastAsia="Times New Roman" w:hAnsi="Times New Roman" w:cs="Times New Roman"/>
          <w:bCs/>
          <w:sz w:val="24"/>
          <w:szCs w:val="24"/>
          <w:lang w:eastAsia="it-IT"/>
        </w:rPr>
        <w:t xml:space="preserve"> un incremento degli stanziamenti </w:t>
      </w:r>
      <w:r>
        <w:rPr>
          <w:rFonts w:ascii="Times New Roman" w:eastAsia="Times New Roman" w:hAnsi="Times New Roman" w:cs="Times New Roman"/>
          <w:bCs/>
          <w:sz w:val="24"/>
          <w:szCs w:val="24"/>
          <w:lang w:eastAsia="it-IT"/>
        </w:rPr>
        <w:t>destinati</w:t>
      </w:r>
      <w:r w:rsidRPr="006B35E4">
        <w:rPr>
          <w:rFonts w:ascii="Times New Roman" w:eastAsia="Times New Roman" w:hAnsi="Times New Roman" w:cs="Times New Roman"/>
          <w:bCs/>
          <w:sz w:val="24"/>
          <w:szCs w:val="24"/>
          <w:lang w:eastAsia="it-IT"/>
        </w:rPr>
        <w:t xml:space="preserve"> alle politiche di incentivazione e di sostegno alla gioventù </w:t>
      </w:r>
      <w:r w:rsidRPr="006B35E4">
        <w:rPr>
          <w:rFonts w:ascii="Times New Roman" w:eastAsia="Times New Roman" w:hAnsi="Times New Roman" w:cs="Times New Roman"/>
          <w:b/>
          <w:bCs/>
          <w:sz w:val="24"/>
          <w:szCs w:val="24"/>
          <w:lang w:eastAsia="it-IT"/>
        </w:rPr>
        <w:t xml:space="preserve">(cap. </w:t>
      </w:r>
      <w:r>
        <w:rPr>
          <w:rFonts w:ascii="Times New Roman" w:eastAsia="Times New Roman" w:hAnsi="Times New Roman" w:cs="Times New Roman"/>
          <w:b/>
          <w:bCs/>
          <w:sz w:val="24"/>
          <w:szCs w:val="24"/>
          <w:lang w:eastAsia="it-IT"/>
        </w:rPr>
        <w:t>2106)</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bCs/>
          <w:sz w:val="24"/>
          <w:szCs w:val="24"/>
          <w:lang w:eastAsia="it-IT"/>
        </w:rPr>
        <w:t>per euro</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bCs/>
          <w:sz w:val="24"/>
          <w:szCs w:val="24"/>
          <w:lang w:eastAsia="it-IT"/>
        </w:rPr>
        <w:t xml:space="preserve">19.502.311,00, </w:t>
      </w:r>
      <w:r w:rsidRPr="006B35E4">
        <w:rPr>
          <w:rFonts w:ascii="Times New Roman" w:eastAsia="Times New Roman" w:hAnsi="Times New Roman" w:cs="Times New Roman"/>
          <w:sz w:val="24"/>
          <w:szCs w:val="24"/>
          <w:lang w:eastAsia="it-IT"/>
        </w:rPr>
        <w:t>passa</w:t>
      </w:r>
      <w:r>
        <w:rPr>
          <w:rFonts w:ascii="Times New Roman" w:eastAsia="Times New Roman" w:hAnsi="Times New Roman" w:cs="Times New Roman"/>
          <w:sz w:val="24"/>
          <w:szCs w:val="24"/>
          <w:lang w:eastAsia="it-IT"/>
        </w:rPr>
        <w:t>ndo</w:t>
      </w:r>
      <w:r w:rsidRPr="006B35E4">
        <w:rPr>
          <w:rFonts w:ascii="Times New Roman" w:eastAsia="Times New Roman" w:hAnsi="Times New Roman" w:cs="Times New Roman"/>
          <w:sz w:val="24"/>
          <w:szCs w:val="24"/>
          <w:lang w:eastAsia="it-IT"/>
        </w:rPr>
        <w:t xml:space="preserve"> da euro 71.361.288,00 a euro 90.863.599,00, </w:t>
      </w:r>
      <w:r>
        <w:rPr>
          <w:rFonts w:ascii="Times New Roman" w:eastAsia="Times New Roman" w:hAnsi="Times New Roman" w:cs="Times New Roman"/>
          <w:sz w:val="24"/>
          <w:szCs w:val="24"/>
          <w:lang w:eastAsia="it-IT"/>
        </w:rPr>
        <w:t>al</w:t>
      </w:r>
      <w:r w:rsidRPr="006B35E4">
        <w:rPr>
          <w:rFonts w:ascii="Times New Roman" w:eastAsia="Times New Roman" w:hAnsi="Times New Roman" w:cs="Times New Roman"/>
          <w:sz w:val="24"/>
          <w:szCs w:val="24"/>
          <w:lang w:eastAsia="it-IT"/>
        </w:rPr>
        <w:t xml:space="preserve"> Consiglio nazionale dei giovani </w:t>
      </w:r>
      <w:r w:rsidRPr="006B35E4">
        <w:rPr>
          <w:rFonts w:ascii="Times New Roman" w:eastAsia="Times New Roman" w:hAnsi="Times New Roman" w:cs="Times New Roman"/>
          <w:b/>
          <w:bCs/>
          <w:sz w:val="24"/>
          <w:szCs w:val="24"/>
          <w:lang w:eastAsia="it-IT"/>
        </w:rPr>
        <w:t xml:space="preserve">(cap. 2153) </w:t>
      </w:r>
      <w:r w:rsidRPr="00AE3059">
        <w:rPr>
          <w:rFonts w:ascii="Times New Roman" w:eastAsia="Times New Roman" w:hAnsi="Times New Roman" w:cs="Times New Roman"/>
          <w:bCs/>
          <w:sz w:val="24"/>
          <w:szCs w:val="24"/>
          <w:lang w:eastAsia="it-IT"/>
        </w:rPr>
        <w:t>per euro 100.000,00, passando</w:t>
      </w:r>
      <w:r>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bCs/>
          <w:sz w:val="24"/>
          <w:szCs w:val="24"/>
          <w:lang w:eastAsia="it-IT"/>
        </w:rPr>
        <w:t>da euro 600.000,00 a euro</w:t>
      </w:r>
      <w:r w:rsidRPr="006B35E4">
        <w:rPr>
          <w:rFonts w:ascii="Times New Roman" w:eastAsia="Times New Roman" w:hAnsi="Times New Roman" w:cs="Times New Roman"/>
          <w:b/>
          <w:bCs/>
          <w:sz w:val="24"/>
          <w:szCs w:val="24"/>
          <w:lang w:eastAsia="it-IT"/>
        </w:rPr>
        <w:t xml:space="preserve"> </w:t>
      </w:r>
      <w:r w:rsidRPr="006B35E4">
        <w:rPr>
          <w:rFonts w:ascii="Times New Roman" w:eastAsia="Times New Roman" w:hAnsi="Times New Roman" w:cs="Times New Roman"/>
          <w:sz w:val="24"/>
          <w:szCs w:val="24"/>
          <w:lang w:eastAsia="it-IT"/>
        </w:rPr>
        <w:t>700.000,00</w:t>
      </w:r>
      <w:r>
        <w:rPr>
          <w:rFonts w:ascii="Times New Roman" w:eastAsia="Times New Roman" w:hAnsi="Times New Roman" w:cs="Times New Roman"/>
          <w:sz w:val="24"/>
          <w:szCs w:val="24"/>
          <w:lang w:eastAsia="it-IT"/>
        </w:rPr>
        <w:t xml:space="preserve"> e al Servizio civile </w:t>
      </w:r>
      <w:r w:rsidR="00BB56F8">
        <w:rPr>
          <w:rFonts w:ascii="Times New Roman" w:eastAsia="Times New Roman" w:hAnsi="Times New Roman" w:cs="Times New Roman"/>
          <w:sz w:val="24"/>
          <w:szCs w:val="24"/>
          <w:lang w:eastAsia="it-IT"/>
        </w:rPr>
        <w:t>nazionale</w:t>
      </w:r>
      <w:r>
        <w:rPr>
          <w:rFonts w:ascii="Times New Roman" w:eastAsia="Times New Roman" w:hAnsi="Times New Roman" w:cs="Times New Roman"/>
          <w:sz w:val="24"/>
          <w:szCs w:val="24"/>
          <w:lang w:eastAsia="it-IT"/>
        </w:rPr>
        <w:t xml:space="preserve"> </w:t>
      </w:r>
      <w:r w:rsidRPr="00AE3059">
        <w:rPr>
          <w:rFonts w:ascii="Times New Roman" w:eastAsia="Times New Roman" w:hAnsi="Times New Roman" w:cs="Times New Roman"/>
          <w:b/>
          <w:sz w:val="24"/>
          <w:szCs w:val="24"/>
          <w:lang w:eastAsia="it-IT"/>
        </w:rPr>
        <w:t>(cap. 2185)</w:t>
      </w:r>
      <w:r>
        <w:rPr>
          <w:rFonts w:ascii="Times New Roman" w:eastAsia="Times New Roman" w:hAnsi="Times New Roman" w:cs="Times New Roman"/>
          <w:sz w:val="24"/>
          <w:szCs w:val="24"/>
          <w:lang w:eastAsia="it-IT"/>
        </w:rPr>
        <w:t xml:space="preserve"> per euro 12.294.505,00, passando da euro 299.286.531,00 a euro 311.581.036,00</w:t>
      </w:r>
      <w:r w:rsidRPr="006B35E4">
        <w:rPr>
          <w:rFonts w:ascii="Times New Roman" w:eastAsia="Times New Roman" w:hAnsi="Times New Roman" w:cs="Times New Roman"/>
          <w:sz w:val="24"/>
          <w:szCs w:val="24"/>
          <w:lang w:eastAsia="it-IT"/>
        </w:rPr>
        <w:t>.</w:t>
      </w:r>
    </w:p>
    <w:p w14:paraId="250FF026" w14:textId="3D9EE83C"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lastRenderedPageBreak/>
        <w:t>Non risultano assegnate nel 2022 nell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ambito della </w:t>
      </w:r>
      <w:r w:rsidRPr="00C40E31">
        <w:rPr>
          <w:rFonts w:ascii="Times New Roman" w:eastAsia="Times New Roman" w:hAnsi="Times New Roman" w:cs="Times New Roman"/>
          <w:b/>
          <w:sz w:val="24"/>
          <w:szCs w:val="24"/>
          <w:lang w:eastAsia="it-IT"/>
        </w:rPr>
        <w:t>Missione 4</w:t>
      </w:r>
      <w:r w:rsidRPr="006B35E4">
        <w:rPr>
          <w:rFonts w:ascii="Times New Roman" w:eastAsia="Times New Roman" w:hAnsi="Times New Roman" w:cs="Times New Roman"/>
          <w:sz w:val="24"/>
          <w:szCs w:val="24"/>
          <w:lang w:eastAsia="it-IT"/>
        </w:rPr>
        <w:t xml:space="preserve">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Italia in Europa e nel mondo” </w:t>
      </w:r>
      <w:r>
        <w:rPr>
          <w:rFonts w:ascii="Times New Roman" w:eastAsia="Times New Roman" w:hAnsi="Times New Roman" w:cs="Times New Roman"/>
          <w:sz w:val="24"/>
          <w:szCs w:val="24"/>
          <w:lang w:eastAsia="it-IT"/>
        </w:rPr>
        <w:t xml:space="preserve">e relativo </w:t>
      </w:r>
      <w:r>
        <w:rPr>
          <w:rFonts w:ascii="Times New Roman" w:eastAsia="Times New Roman" w:hAnsi="Times New Roman" w:cs="Times New Roman"/>
          <w:b/>
          <w:sz w:val="24"/>
          <w:szCs w:val="24"/>
          <w:lang w:eastAsia="it-IT"/>
        </w:rPr>
        <w:t>P</w:t>
      </w:r>
      <w:r w:rsidRPr="00C40E31">
        <w:rPr>
          <w:rFonts w:ascii="Times New Roman" w:eastAsia="Times New Roman" w:hAnsi="Times New Roman" w:cs="Times New Roman"/>
          <w:b/>
          <w:sz w:val="24"/>
          <w:szCs w:val="24"/>
          <w:lang w:eastAsia="it-IT"/>
        </w:rPr>
        <w:t>rogramma</w:t>
      </w:r>
      <w:r w:rsidRPr="006B35E4">
        <w:rPr>
          <w:rFonts w:ascii="Times New Roman" w:eastAsia="Times New Roman" w:hAnsi="Times New Roman" w:cs="Times New Roman"/>
          <w:sz w:val="24"/>
          <w:szCs w:val="24"/>
          <w:lang w:eastAsia="it-IT"/>
        </w:rPr>
        <w:t xml:space="preserve"> </w:t>
      </w:r>
      <w:r w:rsidRPr="00B83288">
        <w:rPr>
          <w:rFonts w:ascii="Times New Roman" w:eastAsia="Times New Roman" w:hAnsi="Times New Roman" w:cs="Times New Roman"/>
          <w:b/>
          <w:sz w:val="24"/>
          <w:szCs w:val="24"/>
          <w:lang w:eastAsia="it-IT"/>
        </w:rPr>
        <w:t>4.11</w:t>
      </w:r>
      <w:r w:rsidRPr="006B35E4">
        <w:rPr>
          <w:rFonts w:ascii="Times New Roman" w:eastAsia="Times New Roman" w:hAnsi="Times New Roman" w:cs="Times New Roman"/>
          <w:sz w:val="24"/>
          <w:szCs w:val="24"/>
          <w:lang w:eastAsia="it-IT"/>
        </w:rPr>
        <w:t xml:space="preserve"> “Politica economica e finanziaria in ambito internazionale” </w:t>
      </w:r>
      <w:r>
        <w:rPr>
          <w:rFonts w:ascii="Times New Roman" w:eastAsia="Times New Roman" w:hAnsi="Times New Roman" w:cs="Times New Roman"/>
          <w:sz w:val="24"/>
          <w:szCs w:val="24"/>
          <w:lang w:eastAsia="it-IT"/>
        </w:rPr>
        <w:t>le risorse per la partecipazione italiana alla conferenza sul futuro dell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Europa </w:t>
      </w:r>
      <w:r w:rsidRPr="00B83288">
        <w:rPr>
          <w:rFonts w:ascii="Times New Roman" w:eastAsia="Times New Roman" w:hAnsi="Times New Roman" w:cs="Times New Roman"/>
          <w:b/>
          <w:sz w:val="24"/>
          <w:szCs w:val="24"/>
          <w:lang w:eastAsia="it-IT"/>
        </w:rPr>
        <w:t>(cap. 2151)</w:t>
      </w:r>
      <w:r w:rsidR="00083FD1" w:rsidRPr="00083FD1">
        <w:rPr>
          <w:rFonts w:ascii="Times New Roman" w:eastAsia="Times New Roman" w:hAnsi="Times New Roman" w:cs="Times New Roman"/>
          <w:bCs/>
          <w:sz w:val="24"/>
          <w:szCs w:val="24"/>
          <w:lang w:eastAsia="it-IT"/>
        </w:rPr>
        <w:t>,</w:t>
      </w:r>
      <w:r>
        <w:rPr>
          <w:rFonts w:ascii="Times New Roman" w:eastAsia="Times New Roman" w:hAnsi="Times New Roman" w:cs="Times New Roman"/>
          <w:sz w:val="24"/>
          <w:szCs w:val="24"/>
          <w:lang w:eastAsia="it-IT"/>
        </w:rPr>
        <w:t xml:space="preserve"> che nel 2021 ammontavano a euro 2.000.000,00</w:t>
      </w:r>
      <w:r w:rsidR="00C15EB4">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nell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ambito della </w:t>
      </w:r>
      <w:r w:rsidRPr="00C40E31">
        <w:rPr>
          <w:rFonts w:ascii="Times New Roman" w:eastAsia="Times New Roman" w:hAnsi="Times New Roman" w:cs="Times New Roman"/>
          <w:b/>
          <w:sz w:val="24"/>
          <w:szCs w:val="24"/>
          <w:lang w:eastAsia="it-IT"/>
        </w:rPr>
        <w:t>Missione 11</w:t>
      </w:r>
      <w:r w:rsidRPr="006B35E4">
        <w:rPr>
          <w:rFonts w:ascii="Times New Roman" w:eastAsia="Times New Roman" w:hAnsi="Times New Roman" w:cs="Times New Roman"/>
          <w:sz w:val="24"/>
          <w:szCs w:val="24"/>
          <w:lang w:eastAsia="it-IT"/>
        </w:rPr>
        <w:t xml:space="preserve"> “Competitività e sviluppo delle imprese” e relativo </w:t>
      </w:r>
      <w:r w:rsidRPr="006B35E4">
        <w:rPr>
          <w:rFonts w:ascii="Times New Roman" w:eastAsia="Times New Roman" w:hAnsi="Times New Roman" w:cs="Times New Roman"/>
          <w:b/>
          <w:sz w:val="24"/>
          <w:szCs w:val="24"/>
          <w:lang w:eastAsia="it-IT"/>
        </w:rPr>
        <w:t>Programma 11.8</w:t>
      </w:r>
      <w:r w:rsidRPr="006B35E4">
        <w:rPr>
          <w:rFonts w:ascii="Times New Roman" w:eastAsia="Times New Roman" w:hAnsi="Times New Roman" w:cs="Times New Roman"/>
          <w:sz w:val="24"/>
          <w:szCs w:val="24"/>
          <w:lang w:eastAsia="it-IT"/>
        </w:rPr>
        <w:t xml:space="preserve"> “Incentivi alle imprese per interventi di sostegno”</w:t>
      </w:r>
      <w:r>
        <w:rPr>
          <w:rFonts w:ascii="Times New Roman" w:eastAsia="Times New Roman" w:hAnsi="Times New Roman" w:cs="Times New Roman"/>
          <w:sz w:val="24"/>
          <w:szCs w:val="24"/>
          <w:lang w:eastAsia="it-IT"/>
        </w:rPr>
        <w:t xml:space="preserve">, </w:t>
      </w:r>
      <w:r w:rsidR="00083FD1">
        <w:rPr>
          <w:rFonts w:ascii="Times New Roman" w:eastAsia="Times New Roman" w:hAnsi="Times New Roman" w:cs="Times New Roman"/>
          <w:sz w:val="24"/>
          <w:szCs w:val="24"/>
          <w:lang w:eastAsia="it-IT"/>
        </w:rPr>
        <w:t xml:space="preserve">le </w:t>
      </w:r>
      <w:r w:rsidRPr="00B95D6A">
        <w:rPr>
          <w:rFonts w:ascii="Times New Roman" w:eastAsia="Times New Roman" w:hAnsi="Times New Roman" w:cs="Times New Roman"/>
          <w:sz w:val="24"/>
          <w:szCs w:val="24"/>
          <w:lang w:eastAsia="it-IT"/>
        </w:rPr>
        <w:t>risorse destinate ai</w:t>
      </w:r>
      <w:r>
        <w:rPr>
          <w:rFonts w:ascii="Times New Roman" w:eastAsia="Times New Roman" w:hAnsi="Times New Roman" w:cs="Times New Roman"/>
          <w:sz w:val="24"/>
          <w:szCs w:val="24"/>
          <w:lang w:eastAsia="it-IT"/>
        </w:rPr>
        <w:t xml:space="preserve"> </w:t>
      </w:r>
      <w:r w:rsidRPr="00B95D6A">
        <w:rPr>
          <w:rFonts w:ascii="Times New Roman" w:eastAsia="Times New Roman" w:hAnsi="Times New Roman" w:cs="Times New Roman"/>
          <w:sz w:val="24"/>
          <w:szCs w:val="24"/>
          <w:lang w:eastAsia="it-IT"/>
        </w:rPr>
        <w:t>contributi sui finanziamenti erogati alle federazioni sportive e altri enti sportivi</w:t>
      </w:r>
      <w:r>
        <w:rPr>
          <w:rFonts w:ascii="Times New Roman" w:eastAsia="Times New Roman" w:hAnsi="Times New Roman" w:cs="Times New Roman"/>
          <w:sz w:val="24"/>
          <w:szCs w:val="24"/>
          <w:lang w:eastAsia="it-IT"/>
        </w:rPr>
        <w:t xml:space="preserve"> </w:t>
      </w:r>
      <w:r w:rsidRPr="00B95D6A">
        <w:rPr>
          <w:rFonts w:ascii="Times New Roman" w:eastAsia="Times New Roman" w:hAnsi="Times New Roman" w:cs="Times New Roman"/>
          <w:b/>
          <w:sz w:val="24"/>
          <w:szCs w:val="24"/>
          <w:lang w:eastAsia="it-IT"/>
        </w:rPr>
        <w:t>(cap. 2158)</w:t>
      </w:r>
      <w:r w:rsidRPr="00B95D6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che nel 2021 ammontavano a euro 18.000.000,00</w:t>
      </w:r>
      <w:r w:rsidR="00C15EB4">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B95D6A">
        <w:rPr>
          <w:rFonts w:ascii="Times New Roman" w:eastAsia="Times New Roman" w:hAnsi="Times New Roman" w:cs="Times New Roman"/>
          <w:sz w:val="24"/>
          <w:szCs w:val="24"/>
          <w:lang w:eastAsia="it-IT"/>
        </w:rPr>
        <w:t>per</w:t>
      </w:r>
      <w:r>
        <w:rPr>
          <w:rFonts w:ascii="Times New Roman" w:eastAsia="Times New Roman" w:hAnsi="Times New Roman" w:cs="Times New Roman"/>
          <w:sz w:val="24"/>
          <w:szCs w:val="24"/>
          <w:lang w:eastAsia="it-IT"/>
        </w:rPr>
        <w:t xml:space="preserve"> </w:t>
      </w:r>
      <w:r w:rsidRPr="00B95D6A">
        <w:rPr>
          <w:rFonts w:ascii="Times New Roman" w:eastAsia="Times New Roman" w:hAnsi="Times New Roman" w:cs="Times New Roman"/>
          <w:sz w:val="24"/>
          <w:szCs w:val="24"/>
          <w:lang w:eastAsia="it-IT"/>
        </w:rPr>
        <w:t>la garanzia sui finanziamenti erogati alle federazioni sportive nazionali, delle discipline sportive</w:t>
      </w:r>
      <w:r>
        <w:rPr>
          <w:rFonts w:ascii="Times New Roman" w:eastAsia="Times New Roman" w:hAnsi="Times New Roman" w:cs="Times New Roman"/>
          <w:sz w:val="24"/>
          <w:szCs w:val="24"/>
          <w:lang w:eastAsia="it-IT"/>
        </w:rPr>
        <w:t xml:space="preserve"> </w:t>
      </w:r>
      <w:r w:rsidRPr="00B95D6A">
        <w:rPr>
          <w:rFonts w:ascii="Times New Roman" w:eastAsia="Times New Roman" w:hAnsi="Times New Roman" w:cs="Times New Roman"/>
          <w:sz w:val="24"/>
          <w:szCs w:val="24"/>
          <w:lang w:eastAsia="it-IT"/>
        </w:rPr>
        <w:t xml:space="preserve">associate, agli enti di promozione sportiva, alle associazioni società sportive dilettantistiche </w:t>
      </w:r>
      <w:r>
        <w:rPr>
          <w:rFonts w:ascii="Times New Roman" w:eastAsia="Times New Roman" w:hAnsi="Times New Roman" w:cs="Times New Roman"/>
          <w:sz w:val="24"/>
          <w:szCs w:val="24"/>
          <w:lang w:eastAsia="it-IT"/>
        </w:rPr>
        <w:t>(</w:t>
      </w:r>
      <w:r w:rsidRPr="00B95D6A">
        <w:rPr>
          <w:rFonts w:ascii="Times New Roman" w:eastAsia="Times New Roman" w:hAnsi="Times New Roman" w:cs="Times New Roman"/>
          <w:b/>
          <w:sz w:val="24"/>
          <w:szCs w:val="24"/>
          <w:lang w:eastAsia="it-IT"/>
        </w:rPr>
        <w:t>cap. 7451)</w:t>
      </w:r>
      <w:r>
        <w:rPr>
          <w:rFonts w:ascii="Times New Roman" w:eastAsia="Times New Roman" w:hAnsi="Times New Roman" w:cs="Times New Roman"/>
          <w:sz w:val="24"/>
          <w:szCs w:val="24"/>
          <w:lang w:eastAsia="it-IT"/>
        </w:rPr>
        <w:t>, che nel 2021 ammontavano a euro 30.000.000,00.</w:t>
      </w:r>
    </w:p>
    <w:p w14:paraId="6F7CB7F8" w14:textId="77777777" w:rsidR="00CE6817" w:rsidRDefault="00CE6817" w:rsidP="00CE6817">
      <w:pPr>
        <w:spacing w:after="0" w:line="360" w:lineRule="auto"/>
        <w:ind w:right="96"/>
        <w:jc w:val="both"/>
        <w:rPr>
          <w:rFonts w:ascii="Times New Roman" w:eastAsia="Times New Roman" w:hAnsi="Times New Roman" w:cs="Times New Roman"/>
          <w:sz w:val="24"/>
          <w:szCs w:val="24"/>
          <w:lang w:eastAsia="it-IT"/>
        </w:rPr>
      </w:pPr>
    </w:p>
    <w:p w14:paraId="1EAAA0F4" w14:textId="68ABE0FC" w:rsidR="00CE6817" w:rsidRPr="006B35E4" w:rsidRDefault="00CE6817" w:rsidP="00CE6817">
      <w:pPr>
        <w:spacing w:after="0" w:line="360" w:lineRule="auto"/>
        <w:ind w:right="96"/>
        <w:jc w:val="both"/>
        <w:rPr>
          <w:rFonts w:ascii="Times New Roman" w:eastAsia="Times New Roman" w:hAnsi="Times New Roman" w:cs="Times New Roman"/>
          <w:sz w:val="24"/>
          <w:szCs w:val="24"/>
          <w:lang w:eastAsia="it-IT"/>
        </w:rPr>
      </w:pPr>
      <w:r w:rsidRPr="006B35E4">
        <w:rPr>
          <w:rFonts w:ascii="Times New Roman" w:eastAsia="Times New Roman" w:hAnsi="Times New Roman" w:cs="Times New Roman"/>
          <w:sz w:val="24"/>
          <w:szCs w:val="24"/>
          <w:lang w:eastAsia="it-IT"/>
        </w:rPr>
        <w:t>Per completezza, nella Tabella 3 è evidenziato l</w:t>
      </w:r>
      <w:r w:rsidR="00877AAF">
        <w:rPr>
          <w:rFonts w:ascii="Times New Roman" w:eastAsia="Times New Roman" w:hAnsi="Times New Roman" w:cs="Times New Roman"/>
          <w:sz w:val="24"/>
          <w:szCs w:val="24"/>
          <w:lang w:eastAsia="it-IT"/>
        </w:rPr>
        <w:t>’</w:t>
      </w:r>
      <w:r w:rsidRPr="006B35E4">
        <w:rPr>
          <w:rFonts w:ascii="Times New Roman" w:eastAsia="Times New Roman" w:hAnsi="Times New Roman" w:cs="Times New Roman"/>
          <w:sz w:val="24"/>
          <w:szCs w:val="24"/>
          <w:lang w:eastAsia="it-IT"/>
        </w:rPr>
        <w:t xml:space="preserve">andamento nel triennio </w:t>
      </w:r>
      <w:r w:rsidR="00083FD1">
        <w:rPr>
          <w:rFonts w:ascii="Times New Roman" w:eastAsia="Times New Roman" w:hAnsi="Times New Roman" w:cs="Times New Roman"/>
          <w:sz w:val="24"/>
          <w:szCs w:val="24"/>
          <w:lang w:eastAsia="it-IT"/>
        </w:rPr>
        <w:t xml:space="preserve">2020-2022 </w:t>
      </w:r>
      <w:r w:rsidRPr="006B35E4">
        <w:rPr>
          <w:rFonts w:ascii="Times New Roman" w:eastAsia="Times New Roman" w:hAnsi="Times New Roman" w:cs="Times New Roman"/>
          <w:sz w:val="24"/>
          <w:szCs w:val="24"/>
          <w:lang w:eastAsia="it-IT"/>
        </w:rPr>
        <w:t>del flusso delle entrate finali provenienti dal bilancio dello Stato, suddiviso per missioni e programmi.</w:t>
      </w:r>
    </w:p>
    <w:p w14:paraId="12ED6DDC" w14:textId="77777777" w:rsidR="00CE6817" w:rsidRPr="006B35E4" w:rsidRDefault="00CE6817" w:rsidP="00CE6817">
      <w:pPr>
        <w:spacing w:after="0" w:line="360" w:lineRule="auto"/>
        <w:jc w:val="both"/>
        <w:rPr>
          <w:rFonts w:ascii="Times New Roman" w:eastAsia="Times New Roman" w:hAnsi="Times New Roman" w:cs="Times New Roman"/>
          <w:sz w:val="24"/>
          <w:szCs w:val="24"/>
          <w:lang w:eastAsia="it-IT"/>
        </w:rPr>
      </w:pPr>
    </w:p>
    <w:p w14:paraId="399C53C2" w14:textId="77777777" w:rsidR="00CE6817" w:rsidRDefault="00CE6817" w:rsidP="00CE6817">
      <w:pPr>
        <w:tabs>
          <w:tab w:val="left" w:pos="9180"/>
        </w:tabs>
        <w:spacing w:after="120" w:line="360" w:lineRule="auto"/>
        <w:ind w:right="-318"/>
        <w:rPr>
          <w:noProof/>
          <w:sz w:val="24"/>
          <w:szCs w:val="24"/>
          <w:lang w:eastAsia="it-IT"/>
        </w:rPr>
      </w:pPr>
      <w:r w:rsidRPr="002C7167">
        <w:rPr>
          <w:noProof/>
          <w:lang w:eastAsia="it-IT"/>
        </w:rPr>
        <w:drawing>
          <wp:inline distT="0" distB="0" distL="0" distR="0" wp14:anchorId="355A88B0" wp14:editId="6D3A9C9B">
            <wp:extent cx="6210388" cy="5600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1551" cy="5601749"/>
                    </a:xfrm>
                    <a:prstGeom prst="rect">
                      <a:avLst/>
                    </a:prstGeom>
                    <a:noFill/>
                    <a:ln>
                      <a:noFill/>
                    </a:ln>
                  </pic:spPr>
                </pic:pic>
              </a:graphicData>
            </a:graphic>
          </wp:inline>
        </w:drawing>
      </w:r>
    </w:p>
    <w:p w14:paraId="2F5C1FD7" w14:textId="50602BAA" w:rsidR="00F60FED" w:rsidRDefault="00F60FED" w:rsidP="00CE6817">
      <w:pPr>
        <w:spacing w:after="0" w:line="360" w:lineRule="auto"/>
        <w:jc w:val="both"/>
        <w:rPr>
          <w:rFonts w:ascii="Times New Roman" w:eastAsia="Times New Roman" w:hAnsi="Times New Roman" w:cs="Times New Roman"/>
          <w:sz w:val="24"/>
          <w:szCs w:val="24"/>
          <w:lang w:eastAsia="it-IT"/>
        </w:rPr>
      </w:pPr>
      <w:r w:rsidRPr="00F60FED">
        <w:rPr>
          <w:rFonts w:ascii="Times New Roman" w:eastAsia="Times New Roman" w:hAnsi="Times New Roman" w:cs="Times New Roman"/>
          <w:sz w:val="24"/>
          <w:szCs w:val="24"/>
          <w:lang w:eastAsia="it-IT"/>
        </w:rPr>
        <w:lastRenderedPageBreak/>
        <w:t xml:space="preserve">Appare evidente una consistente riduzione complessiva dell’entrate </w:t>
      </w:r>
      <w:r w:rsidR="00680918">
        <w:rPr>
          <w:rFonts w:ascii="Times New Roman" w:eastAsia="Times New Roman" w:hAnsi="Times New Roman" w:cs="Times New Roman"/>
          <w:sz w:val="24"/>
          <w:szCs w:val="24"/>
          <w:lang w:eastAsia="it-IT"/>
        </w:rPr>
        <w:t xml:space="preserve">provenienti dal bilancio dello Stato </w:t>
      </w:r>
      <w:r w:rsidRPr="00F60FED">
        <w:rPr>
          <w:rFonts w:ascii="Times New Roman" w:eastAsia="Times New Roman" w:hAnsi="Times New Roman" w:cs="Times New Roman"/>
          <w:sz w:val="24"/>
          <w:szCs w:val="24"/>
          <w:lang w:eastAsia="it-IT"/>
        </w:rPr>
        <w:t>che passano da euro 9.928.568.425 del 2021 a euro 6.695.858.753 del 2022 registrando un considerevole aumento in termini di valore ass</w:t>
      </w:r>
      <w:r w:rsidR="00680918">
        <w:rPr>
          <w:rFonts w:ascii="Times New Roman" w:eastAsia="Times New Roman" w:hAnsi="Times New Roman" w:cs="Times New Roman"/>
          <w:sz w:val="24"/>
          <w:szCs w:val="24"/>
          <w:lang w:eastAsia="it-IT"/>
        </w:rPr>
        <w:t>o</w:t>
      </w:r>
      <w:r w:rsidRPr="00F60FED">
        <w:rPr>
          <w:rFonts w:ascii="Times New Roman" w:eastAsia="Times New Roman" w:hAnsi="Times New Roman" w:cs="Times New Roman"/>
          <w:sz w:val="24"/>
          <w:szCs w:val="24"/>
          <w:lang w:eastAsia="it-IT"/>
        </w:rPr>
        <w:t xml:space="preserve">luto soltanto la missione </w:t>
      </w:r>
      <w:r w:rsidR="00463847">
        <w:rPr>
          <w:rFonts w:ascii="Times New Roman" w:eastAsia="Times New Roman" w:hAnsi="Times New Roman" w:cs="Times New Roman"/>
          <w:sz w:val="24"/>
          <w:szCs w:val="24"/>
          <w:lang w:eastAsia="it-IT"/>
        </w:rPr>
        <w:t>17 “R</w:t>
      </w:r>
      <w:r w:rsidRPr="00F60FED">
        <w:rPr>
          <w:rFonts w:ascii="Times New Roman" w:eastAsia="Times New Roman" w:hAnsi="Times New Roman" w:cs="Times New Roman"/>
          <w:sz w:val="24"/>
          <w:szCs w:val="24"/>
          <w:lang w:eastAsia="it-IT"/>
        </w:rPr>
        <w:t>icerca e innovazione</w:t>
      </w:r>
      <w:r w:rsidR="0046384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w:t>
      </w:r>
    </w:p>
    <w:p w14:paraId="1A7F314D" w14:textId="662CF64F" w:rsidR="00680918" w:rsidRPr="00E93398" w:rsidRDefault="00680918" w:rsidP="00680918">
      <w:pPr>
        <w:tabs>
          <w:tab w:val="left" w:pos="9180"/>
        </w:tabs>
        <w:spacing w:after="120" w:line="360" w:lineRule="auto"/>
        <w:jc w:val="both"/>
        <w:rPr>
          <w:rFonts w:ascii="Times New Roman" w:eastAsia="Times New Roman" w:hAnsi="Times New Roman" w:cs="Times New Roman"/>
          <w:sz w:val="24"/>
          <w:szCs w:val="24"/>
          <w:lang w:eastAsia="it-IT"/>
        </w:rPr>
      </w:pPr>
      <w:r w:rsidRPr="00E93398">
        <w:rPr>
          <w:rFonts w:ascii="Times New Roman" w:eastAsia="Times New Roman" w:hAnsi="Times New Roman" w:cs="Times New Roman"/>
          <w:sz w:val="24"/>
          <w:szCs w:val="24"/>
          <w:lang w:eastAsia="it-IT"/>
        </w:rPr>
        <w:t xml:space="preserve">Alle </w:t>
      </w:r>
      <w:r>
        <w:rPr>
          <w:rFonts w:ascii="Times New Roman" w:eastAsia="Times New Roman" w:hAnsi="Times New Roman" w:cs="Times New Roman"/>
          <w:sz w:val="24"/>
          <w:szCs w:val="24"/>
          <w:lang w:eastAsia="it-IT"/>
        </w:rPr>
        <w:t xml:space="preserve">predette </w:t>
      </w:r>
      <w:r w:rsidRPr="00E93398">
        <w:rPr>
          <w:rFonts w:ascii="Times New Roman" w:eastAsia="Times New Roman" w:hAnsi="Times New Roman" w:cs="Times New Roman"/>
          <w:sz w:val="24"/>
          <w:szCs w:val="24"/>
          <w:lang w:eastAsia="it-IT"/>
        </w:rPr>
        <w:t>entrate accertate per l</w:t>
      </w:r>
      <w:r>
        <w:rPr>
          <w:rFonts w:ascii="Times New Roman" w:eastAsia="Times New Roman" w:hAnsi="Times New Roman" w:cs="Times New Roman"/>
          <w:sz w:val="24"/>
          <w:szCs w:val="24"/>
          <w:lang w:eastAsia="it-IT"/>
        </w:rPr>
        <w:t>’</w:t>
      </w:r>
      <w:r w:rsidRPr="00E93398">
        <w:rPr>
          <w:rFonts w:ascii="Times New Roman" w:eastAsia="Times New Roman" w:hAnsi="Times New Roman" w:cs="Times New Roman"/>
          <w:sz w:val="24"/>
          <w:szCs w:val="24"/>
          <w:lang w:eastAsia="it-IT"/>
        </w:rPr>
        <w:t>esercizio 2022 sono da aggiungere:</w:t>
      </w:r>
    </w:p>
    <w:p w14:paraId="1C931611" w14:textId="77777777" w:rsidR="00680918" w:rsidRPr="006F6AF3" w:rsidRDefault="00680918" w:rsidP="00680918">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6F6AF3">
        <w:rPr>
          <w:rFonts w:ascii="Times New Roman" w:eastAsia="Times New Roman" w:hAnsi="Times New Roman" w:cs="Times New Roman"/>
          <w:sz w:val="24"/>
          <w:szCs w:val="24"/>
          <w:lang w:eastAsia="it-IT"/>
        </w:rPr>
        <w:t xml:space="preserve">a) le entrate eventuali e diverse provenienti da restituzioni, rimborsi, recuperi e concorsi vari, affluite nel corso del 2022 sul conto corrente di tesoreria intestato alla Presidenza del Consiglio dei ministri, per un totale di euro </w:t>
      </w:r>
      <w:r>
        <w:rPr>
          <w:rFonts w:ascii="Times New Roman" w:eastAsia="Times New Roman" w:hAnsi="Times New Roman" w:cs="Times New Roman"/>
          <w:sz w:val="24"/>
          <w:szCs w:val="24"/>
          <w:lang w:eastAsia="it-IT"/>
        </w:rPr>
        <w:t>91.250.450,64</w:t>
      </w:r>
      <w:r w:rsidRPr="006F6AF3">
        <w:rPr>
          <w:rFonts w:ascii="Times New Roman" w:eastAsia="Times New Roman" w:hAnsi="Times New Roman" w:cs="Times New Roman"/>
          <w:sz w:val="24"/>
          <w:szCs w:val="24"/>
          <w:lang w:eastAsia="it-IT"/>
        </w:rPr>
        <w:t>;</w:t>
      </w:r>
    </w:p>
    <w:p w14:paraId="51C23B67" w14:textId="77777777" w:rsidR="00680918" w:rsidRPr="006F6AF3" w:rsidRDefault="00680918" w:rsidP="00680918">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6F6AF3">
        <w:rPr>
          <w:rFonts w:ascii="Times New Roman" w:eastAsia="Times New Roman" w:hAnsi="Times New Roman" w:cs="Times New Roman"/>
          <w:sz w:val="24"/>
          <w:szCs w:val="24"/>
          <w:lang w:eastAsia="it-IT"/>
        </w:rPr>
        <w:t>b) l</w:t>
      </w:r>
      <w:r>
        <w:rPr>
          <w:rFonts w:ascii="Times New Roman" w:eastAsia="Times New Roman" w:hAnsi="Times New Roman" w:cs="Times New Roman"/>
          <w:sz w:val="24"/>
          <w:szCs w:val="24"/>
          <w:lang w:eastAsia="it-IT"/>
        </w:rPr>
        <w:t>’</w:t>
      </w:r>
      <w:r w:rsidRPr="006F6AF3">
        <w:rPr>
          <w:rFonts w:ascii="Times New Roman" w:eastAsia="Times New Roman" w:hAnsi="Times New Roman" w:cs="Times New Roman"/>
          <w:sz w:val="24"/>
          <w:szCs w:val="24"/>
          <w:lang w:eastAsia="it-IT"/>
        </w:rPr>
        <w:t xml:space="preserve">avanzo di amministrazione 2021, pari </w:t>
      </w:r>
      <w:r>
        <w:rPr>
          <w:rFonts w:ascii="Times New Roman" w:eastAsia="Times New Roman" w:hAnsi="Times New Roman" w:cs="Times New Roman"/>
          <w:sz w:val="24"/>
          <w:szCs w:val="24"/>
          <w:lang w:eastAsia="it-IT"/>
        </w:rPr>
        <w:t>a euro</w:t>
      </w:r>
      <w:r w:rsidRPr="006F6AF3">
        <w:rPr>
          <w:rFonts w:ascii="Times New Roman" w:eastAsia="Times New Roman" w:hAnsi="Times New Roman" w:cs="Times New Roman"/>
          <w:sz w:val="24"/>
          <w:szCs w:val="24"/>
          <w:lang w:eastAsia="it-IT"/>
        </w:rPr>
        <w:t xml:space="preserve"> 7.306.723.025,18 accertato in sede di</w:t>
      </w:r>
      <w:r>
        <w:rPr>
          <w:rFonts w:ascii="Times New Roman" w:eastAsia="Times New Roman" w:hAnsi="Times New Roman" w:cs="Times New Roman"/>
          <w:sz w:val="24"/>
          <w:szCs w:val="24"/>
          <w:lang w:eastAsia="it-IT"/>
        </w:rPr>
        <w:t xml:space="preserve"> approvazione del</w:t>
      </w:r>
      <w:r w:rsidRPr="006F6AF3">
        <w:rPr>
          <w:rFonts w:ascii="Times New Roman" w:eastAsia="Times New Roman" w:hAnsi="Times New Roman" w:cs="Times New Roman"/>
          <w:sz w:val="24"/>
          <w:szCs w:val="24"/>
          <w:lang w:eastAsia="it-IT"/>
        </w:rPr>
        <w:t xml:space="preserve"> conto finanziario 2021 e confluito con appositi decreti di variazione nel bilancio 2022, in aggiunta alla competenza dei capitoli di spesa. </w:t>
      </w:r>
    </w:p>
    <w:p w14:paraId="236DC539" w14:textId="097EEF36" w:rsidR="00680918" w:rsidRPr="006B35E4" w:rsidRDefault="00680918" w:rsidP="00680918">
      <w:pPr>
        <w:tabs>
          <w:tab w:val="left" w:pos="9180"/>
        </w:tabs>
        <w:spacing w:after="120" w:line="360" w:lineRule="auto"/>
        <w:jc w:val="both"/>
        <w:rPr>
          <w:rFonts w:ascii="Times New Roman" w:eastAsia="Times New Roman" w:hAnsi="Times New Roman" w:cs="Times New Roman"/>
          <w:sz w:val="24"/>
          <w:szCs w:val="24"/>
          <w:lang w:eastAsia="it-IT"/>
        </w:rPr>
      </w:pPr>
      <w:r w:rsidRPr="00D01088">
        <w:rPr>
          <w:rFonts w:ascii="Times New Roman" w:eastAsia="Times New Roman" w:hAnsi="Times New Roman" w:cs="Times New Roman"/>
          <w:sz w:val="24"/>
          <w:szCs w:val="24"/>
          <w:lang w:eastAsia="it-IT"/>
        </w:rPr>
        <w:t>Complessivamente,</w:t>
      </w:r>
      <w:r>
        <w:rPr>
          <w:rFonts w:ascii="Times New Roman" w:eastAsia="Times New Roman" w:hAnsi="Times New Roman" w:cs="Times New Roman"/>
          <w:sz w:val="24"/>
          <w:szCs w:val="24"/>
          <w:lang w:eastAsia="it-IT"/>
        </w:rPr>
        <w:t xml:space="preserve"> p</w:t>
      </w:r>
      <w:r w:rsidRPr="006F6AF3">
        <w:rPr>
          <w:rFonts w:ascii="Times New Roman" w:eastAsia="Times New Roman" w:hAnsi="Times New Roman" w:cs="Times New Roman"/>
          <w:sz w:val="24"/>
          <w:szCs w:val="24"/>
          <w:lang w:eastAsia="it-IT"/>
        </w:rPr>
        <w:t xml:space="preserve">ertanto, il totale delle entrate per il 2022 ammonta </w:t>
      </w:r>
      <w:r>
        <w:rPr>
          <w:rFonts w:ascii="Times New Roman" w:eastAsia="Times New Roman" w:hAnsi="Times New Roman" w:cs="Times New Roman"/>
          <w:sz w:val="24"/>
          <w:szCs w:val="24"/>
          <w:lang w:eastAsia="it-IT"/>
        </w:rPr>
        <w:t>a euro</w:t>
      </w:r>
      <w:r w:rsidRPr="006F6AF3">
        <w:rPr>
          <w:rFonts w:ascii="Times New Roman" w:eastAsia="Times New Roman" w:hAnsi="Times New Roman" w:cs="Times New Roman"/>
          <w:sz w:val="24"/>
          <w:szCs w:val="24"/>
          <w:lang w:eastAsia="it-IT"/>
        </w:rPr>
        <w:t xml:space="preserve"> 14.093.832.048,82 </w:t>
      </w:r>
      <w:r>
        <w:rPr>
          <w:rFonts w:ascii="Times New Roman" w:eastAsia="Times New Roman" w:hAnsi="Times New Roman" w:cs="Times New Roman"/>
          <w:sz w:val="24"/>
          <w:szCs w:val="24"/>
          <w:lang w:eastAsia="it-IT"/>
        </w:rPr>
        <w:t>c</w:t>
      </w:r>
      <w:r w:rsidR="0023445E">
        <w:rPr>
          <w:rFonts w:ascii="Times New Roman" w:eastAsia="Times New Roman" w:hAnsi="Times New Roman" w:cs="Times New Roman"/>
          <w:sz w:val="24"/>
          <w:szCs w:val="24"/>
          <w:lang w:eastAsia="it-IT"/>
        </w:rPr>
        <w:t>ome evidenziato dalla seguente T</w:t>
      </w:r>
      <w:r>
        <w:rPr>
          <w:rFonts w:ascii="Times New Roman" w:eastAsia="Times New Roman" w:hAnsi="Times New Roman" w:cs="Times New Roman"/>
          <w:sz w:val="24"/>
          <w:szCs w:val="24"/>
          <w:lang w:eastAsia="it-IT"/>
        </w:rPr>
        <w:t>abella 4</w:t>
      </w:r>
      <w:r w:rsidRPr="006F6AF3">
        <w:rPr>
          <w:rFonts w:ascii="Times New Roman" w:eastAsia="Times New Roman" w:hAnsi="Times New Roman" w:cs="Times New Roman"/>
          <w:sz w:val="24"/>
          <w:szCs w:val="24"/>
          <w:lang w:eastAsia="it-IT"/>
        </w:rPr>
        <w:t>.</w:t>
      </w:r>
    </w:p>
    <w:p w14:paraId="70D681C7" w14:textId="039715F5" w:rsidR="00680918" w:rsidRDefault="00EE3C0E" w:rsidP="00EE3C0E">
      <w:pPr>
        <w:tabs>
          <w:tab w:val="left" w:pos="9180"/>
        </w:tabs>
        <w:spacing w:after="0" w:line="360" w:lineRule="auto"/>
        <w:ind w:right="-316"/>
        <w:jc w:val="center"/>
        <w:rPr>
          <w:rFonts w:ascii="Times New Roman" w:eastAsia="Times New Roman" w:hAnsi="Times New Roman" w:cs="Times New Roman"/>
          <w:b/>
          <w:bCs/>
          <w:sz w:val="24"/>
          <w:szCs w:val="24"/>
          <w:lang w:eastAsia="it-IT"/>
        </w:rPr>
      </w:pPr>
      <w:r w:rsidRPr="007B0122">
        <w:rPr>
          <w:noProof/>
          <w:lang w:eastAsia="it-IT"/>
        </w:rPr>
        <w:drawing>
          <wp:anchor distT="0" distB="0" distL="114300" distR="114300" simplePos="0" relativeHeight="251663360" behindDoc="1" locked="0" layoutInCell="1" allowOverlap="1" wp14:anchorId="09622869" wp14:editId="5FAC6011">
            <wp:simplePos x="0" y="0"/>
            <wp:positionH relativeFrom="margin">
              <wp:align>right</wp:align>
            </wp:positionH>
            <wp:positionV relativeFrom="paragraph">
              <wp:posOffset>260985</wp:posOffset>
            </wp:positionV>
            <wp:extent cx="6207125" cy="1723390"/>
            <wp:effectExtent l="0" t="0" r="3175" b="0"/>
            <wp:wrapTight wrapText="bothSides">
              <wp:wrapPolygon edited="0">
                <wp:start x="0" y="0"/>
                <wp:lineTo x="0" y="19101"/>
                <wp:lineTo x="5370" y="19340"/>
                <wp:lineTo x="5370" y="20772"/>
                <wp:lineTo x="6894" y="21250"/>
                <wp:lineTo x="21545" y="21250"/>
                <wp:lineTo x="21545"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7125" cy="1723390"/>
                    </a:xfrm>
                    <a:prstGeom prst="rect">
                      <a:avLst/>
                    </a:prstGeom>
                    <a:noFill/>
                    <a:ln>
                      <a:noFill/>
                    </a:ln>
                  </pic:spPr>
                </pic:pic>
              </a:graphicData>
            </a:graphic>
            <wp14:sizeRelH relativeFrom="margin">
              <wp14:pctWidth>0</wp14:pctWidth>
            </wp14:sizeRelH>
          </wp:anchor>
        </w:drawing>
      </w:r>
      <w:proofErr w:type="spellStart"/>
      <w:r w:rsidR="00680918" w:rsidRPr="006B35E4">
        <w:rPr>
          <w:rFonts w:ascii="Times New Roman" w:eastAsia="Times New Roman" w:hAnsi="Times New Roman" w:cs="Times New Roman"/>
          <w:b/>
          <w:bCs/>
          <w:sz w:val="24"/>
          <w:szCs w:val="24"/>
          <w:lang w:eastAsia="it-IT"/>
        </w:rPr>
        <w:t>Tab</w:t>
      </w:r>
      <w:proofErr w:type="spellEnd"/>
      <w:r w:rsidR="00680918" w:rsidRPr="006B35E4">
        <w:rPr>
          <w:rFonts w:ascii="Times New Roman" w:eastAsia="Times New Roman" w:hAnsi="Times New Roman" w:cs="Times New Roman"/>
          <w:b/>
          <w:bCs/>
          <w:sz w:val="24"/>
          <w:szCs w:val="24"/>
          <w:lang w:eastAsia="it-IT"/>
        </w:rPr>
        <w:t xml:space="preserve">. </w:t>
      </w:r>
      <w:r w:rsidR="00680918">
        <w:rPr>
          <w:rFonts w:ascii="Times New Roman" w:eastAsia="Times New Roman" w:hAnsi="Times New Roman" w:cs="Times New Roman"/>
          <w:b/>
          <w:bCs/>
          <w:sz w:val="24"/>
          <w:szCs w:val="24"/>
          <w:lang w:eastAsia="it-IT"/>
        </w:rPr>
        <w:t>4</w:t>
      </w:r>
      <w:r w:rsidR="00680918" w:rsidRPr="006B35E4">
        <w:rPr>
          <w:rFonts w:ascii="Times New Roman" w:eastAsia="Times New Roman" w:hAnsi="Times New Roman" w:cs="Times New Roman"/>
          <w:b/>
          <w:bCs/>
          <w:sz w:val="24"/>
          <w:szCs w:val="24"/>
          <w:lang w:eastAsia="it-IT"/>
        </w:rPr>
        <w:t xml:space="preserve"> - Quadro complessivo delle entrate accertate 202</w:t>
      </w:r>
      <w:r w:rsidR="00680918">
        <w:rPr>
          <w:rFonts w:ascii="Times New Roman" w:eastAsia="Times New Roman" w:hAnsi="Times New Roman" w:cs="Times New Roman"/>
          <w:b/>
          <w:bCs/>
          <w:sz w:val="24"/>
          <w:szCs w:val="24"/>
          <w:lang w:eastAsia="it-IT"/>
        </w:rPr>
        <w:t>2</w:t>
      </w:r>
    </w:p>
    <w:p w14:paraId="703D97F7" w14:textId="638F17F6" w:rsidR="00680918" w:rsidRDefault="00680918" w:rsidP="00EE3C0E">
      <w:pPr>
        <w:tabs>
          <w:tab w:val="left" w:pos="9180"/>
        </w:tabs>
        <w:spacing w:after="0" w:line="360" w:lineRule="auto"/>
        <w:ind w:right="-316"/>
        <w:jc w:val="center"/>
        <w:rPr>
          <w:rFonts w:ascii="Times New Roman" w:eastAsia="Times New Roman" w:hAnsi="Times New Roman" w:cs="Times New Roman"/>
          <w:b/>
          <w:bCs/>
          <w:sz w:val="24"/>
          <w:szCs w:val="24"/>
          <w:lang w:eastAsia="it-IT"/>
        </w:rPr>
      </w:pPr>
    </w:p>
    <w:p w14:paraId="05FBD57F" w14:textId="77777777" w:rsidR="00680918" w:rsidRPr="001E13E8" w:rsidRDefault="00680918" w:rsidP="00680918">
      <w:pPr>
        <w:tabs>
          <w:tab w:val="left" w:pos="9180"/>
        </w:tabs>
        <w:spacing w:after="0" w:line="360" w:lineRule="auto"/>
        <w:ind w:right="-316"/>
        <w:rPr>
          <w:rFonts w:ascii="Times New Roman" w:eastAsia="Times New Roman" w:hAnsi="Times New Roman" w:cs="Times New Roman"/>
          <w:b/>
          <w:bCs/>
          <w:sz w:val="4"/>
          <w:szCs w:val="24"/>
          <w:lang w:eastAsia="it-IT"/>
        </w:rPr>
      </w:pPr>
    </w:p>
    <w:p w14:paraId="293A18DE" w14:textId="77777777" w:rsidR="00680918" w:rsidRPr="00B13861" w:rsidRDefault="00680918" w:rsidP="00680918">
      <w:pPr>
        <w:spacing w:after="0" w:line="240" w:lineRule="auto"/>
        <w:jc w:val="both"/>
        <w:rPr>
          <w:rFonts w:ascii="Times New Roman" w:eastAsia="Times New Roman" w:hAnsi="Times New Roman" w:cs="Times New Roman"/>
          <w:color w:val="000000"/>
          <w:sz w:val="16"/>
          <w:szCs w:val="16"/>
          <w:lang w:eastAsia="it-IT"/>
        </w:rPr>
      </w:pPr>
      <w:r w:rsidRPr="00B13861">
        <w:rPr>
          <w:rFonts w:ascii="Times New Roman" w:eastAsia="Times New Roman" w:hAnsi="Times New Roman" w:cs="Times New Roman"/>
          <w:color w:val="000000"/>
          <w:sz w:val="16"/>
          <w:szCs w:val="16"/>
          <w:lang w:eastAsia="it-IT"/>
        </w:rPr>
        <w:t>*</w:t>
      </w:r>
      <w:r>
        <w:rPr>
          <w:rFonts w:ascii="Times New Roman" w:eastAsia="Times New Roman" w:hAnsi="Times New Roman" w:cs="Times New Roman"/>
          <w:color w:val="000000"/>
          <w:sz w:val="16"/>
          <w:szCs w:val="16"/>
          <w:lang w:eastAsia="it-IT"/>
        </w:rPr>
        <w:t>l’importo</w:t>
      </w:r>
      <w:r w:rsidRPr="00B13861">
        <w:rPr>
          <w:rFonts w:ascii="Times New Roman" w:eastAsia="Times New Roman" w:hAnsi="Times New Roman" w:cs="Times New Roman"/>
          <w:color w:val="000000"/>
          <w:sz w:val="16"/>
          <w:szCs w:val="16"/>
          <w:lang w:eastAsia="it-IT"/>
        </w:rPr>
        <w:t xml:space="preserve"> risulta al netto della somma di euro 1.022.295.093,87</w:t>
      </w:r>
      <w:r>
        <w:rPr>
          <w:rFonts w:ascii="Times New Roman" w:eastAsia="Times New Roman" w:hAnsi="Times New Roman" w:cs="Times New Roman"/>
          <w:color w:val="000000"/>
          <w:sz w:val="16"/>
          <w:szCs w:val="16"/>
          <w:lang w:eastAsia="it-IT"/>
        </w:rPr>
        <w:t>,</w:t>
      </w:r>
      <w:r w:rsidRPr="00B13861">
        <w:rPr>
          <w:rFonts w:ascii="Times New Roman" w:eastAsia="Times New Roman" w:hAnsi="Times New Roman" w:cs="Times New Roman"/>
          <w:color w:val="000000"/>
          <w:sz w:val="16"/>
          <w:szCs w:val="16"/>
          <w:lang w:eastAsia="it-IT"/>
        </w:rPr>
        <w:t xml:space="preserve"> non riassegnabile in quanto destinata alla sistemazione del disallineamento contabile tra il conto corrente di tesoreria n. 22330 intestato alla PCM e le scritture di bilancio, dovuto ai pagamenti effettuati direttamente dalla Banca d</w:t>
      </w:r>
      <w:r>
        <w:rPr>
          <w:rFonts w:ascii="Times New Roman" w:eastAsia="Times New Roman" w:hAnsi="Times New Roman" w:cs="Times New Roman"/>
          <w:color w:val="000000"/>
          <w:sz w:val="16"/>
          <w:szCs w:val="16"/>
          <w:lang w:eastAsia="it-IT"/>
        </w:rPr>
        <w:t>’</w:t>
      </w:r>
      <w:r w:rsidRPr="00B13861">
        <w:rPr>
          <w:rFonts w:ascii="Times New Roman" w:eastAsia="Times New Roman" w:hAnsi="Times New Roman" w:cs="Times New Roman"/>
          <w:color w:val="000000"/>
          <w:sz w:val="16"/>
          <w:szCs w:val="16"/>
          <w:lang w:eastAsia="it-IT"/>
        </w:rPr>
        <w:t>Italia, in veste di terza pignorata, sul citato conto corrente di tesoreria, per effetto di titoli esecutivi emessi nei confronti della stessa Presidenza, in esecuzione di ordinanze di assegnazione disposte dall</w:t>
      </w:r>
      <w:r>
        <w:rPr>
          <w:rFonts w:ascii="Times New Roman" w:eastAsia="Times New Roman" w:hAnsi="Times New Roman" w:cs="Times New Roman"/>
          <w:color w:val="000000"/>
          <w:sz w:val="16"/>
          <w:szCs w:val="16"/>
          <w:lang w:eastAsia="it-IT"/>
        </w:rPr>
        <w:t>’</w:t>
      </w:r>
      <w:r w:rsidRPr="00B13861">
        <w:rPr>
          <w:rFonts w:ascii="Times New Roman" w:eastAsia="Times New Roman" w:hAnsi="Times New Roman" w:cs="Times New Roman"/>
          <w:color w:val="000000"/>
          <w:sz w:val="16"/>
          <w:szCs w:val="16"/>
          <w:lang w:eastAsia="it-IT"/>
        </w:rPr>
        <w:t>autorità giudiziaria per atti di pignoramento presso terzi derivanti da contenziosi.</w:t>
      </w:r>
    </w:p>
    <w:p w14:paraId="34D8CB2D" w14:textId="77777777" w:rsidR="00680918" w:rsidRPr="006B35E4" w:rsidRDefault="00680918" w:rsidP="00EE3C0E">
      <w:pPr>
        <w:tabs>
          <w:tab w:val="left" w:pos="9180"/>
        </w:tabs>
        <w:spacing w:after="0" w:line="360" w:lineRule="auto"/>
        <w:rPr>
          <w:rFonts w:ascii="Times New Roman" w:eastAsia="Times New Roman" w:hAnsi="Times New Roman" w:cs="Times New Roman"/>
          <w:b/>
          <w:bCs/>
          <w:sz w:val="24"/>
          <w:szCs w:val="24"/>
          <w:lang w:eastAsia="it-IT"/>
        </w:rPr>
      </w:pPr>
    </w:p>
    <w:p w14:paraId="7BF73E9B" w14:textId="672AE6BB" w:rsidR="00680918" w:rsidRPr="002E21F8" w:rsidRDefault="00680918" w:rsidP="00EE3C0E">
      <w:pPr>
        <w:tabs>
          <w:tab w:val="left" w:pos="9180"/>
        </w:tabs>
        <w:spacing w:after="120" w:line="360" w:lineRule="auto"/>
        <w:jc w:val="both"/>
        <w:rPr>
          <w:rFonts w:ascii="Times New Roman" w:eastAsia="Times New Roman" w:hAnsi="Times New Roman" w:cs="Times New Roman"/>
          <w:bCs/>
          <w:sz w:val="24"/>
          <w:szCs w:val="24"/>
          <w:lang w:eastAsia="it-IT"/>
        </w:rPr>
      </w:pPr>
      <w:r w:rsidRPr="002E21F8">
        <w:rPr>
          <w:rFonts w:ascii="Times New Roman" w:eastAsia="Times New Roman" w:hAnsi="Times New Roman" w:cs="Times New Roman"/>
          <w:bCs/>
          <w:sz w:val="24"/>
          <w:szCs w:val="24"/>
          <w:lang w:eastAsia="it-IT"/>
        </w:rPr>
        <w:t xml:space="preserve">In particolare, si </w:t>
      </w:r>
      <w:r w:rsidRPr="00AA24BB">
        <w:rPr>
          <w:rFonts w:ascii="Times New Roman" w:eastAsia="Times New Roman" w:hAnsi="Times New Roman" w:cs="Times New Roman"/>
          <w:bCs/>
          <w:sz w:val="24"/>
          <w:szCs w:val="24"/>
          <w:lang w:eastAsia="it-IT"/>
        </w:rPr>
        <w:t>rileva un</w:t>
      </w:r>
      <w:r w:rsidR="009144CB" w:rsidRPr="00AA24BB">
        <w:rPr>
          <w:rFonts w:ascii="Times New Roman" w:eastAsia="Times New Roman" w:hAnsi="Times New Roman" w:cs="Times New Roman"/>
          <w:bCs/>
          <w:sz w:val="24"/>
          <w:szCs w:val="24"/>
          <w:lang w:eastAsia="it-IT"/>
        </w:rPr>
        <w:t>a</w:t>
      </w:r>
      <w:r w:rsidRPr="00AA24BB">
        <w:rPr>
          <w:rFonts w:ascii="Times New Roman" w:eastAsia="Times New Roman" w:hAnsi="Times New Roman" w:cs="Times New Roman"/>
          <w:bCs/>
          <w:sz w:val="24"/>
          <w:szCs w:val="24"/>
          <w:lang w:eastAsia="it-IT"/>
        </w:rPr>
        <w:t xml:space="preserve"> consistente</w:t>
      </w:r>
      <w:r w:rsidR="009144CB" w:rsidRPr="00AA24BB">
        <w:rPr>
          <w:rFonts w:ascii="Times New Roman" w:eastAsia="Times New Roman" w:hAnsi="Times New Roman" w:cs="Times New Roman"/>
          <w:bCs/>
          <w:sz w:val="24"/>
          <w:szCs w:val="24"/>
          <w:lang w:eastAsia="it-IT"/>
        </w:rPr>
        <w:t xml:space="preserve"> variazione in </w:t>
      </w:r>
      <w:r w:rsidRPr="00AA24BB">
        <w:rPr>
          <w:rFonts w:ascii="Times New Roman" w:eastAsia="Times New Roman" w:hAnsi="Times New Roman" w:cs="Times New Roman"/>
          <w:bCs/>
          <w:sz w:val="24"/>
          <w:szCs w:val="24"/>
          <w:lang w:eastAsia="it-IT"/>
        </w:rPr>
        <w:t xml:space="preserve">aumento </w:t>
      </w:r>
      <w:r w:rsidR="009144CB" w:rsidRPr="00AA24BB">
        <w:rPr>
          <w:rFonts w:ascii="Times New Roman" w:eastAsia="Times New Roman" w:hAnsi="Times New Roman" w:cs="Times New Roman"/>
          <w:bCs/>
          <w:sz w:val="24"/>
          <w:szCs w:val="24"/>
          <w:lang w:eastAsia="it-IT"/>
        </w:rPr>
        <w:t xml:space="preserve">delle entrate </w:t>
      </w:r>
      <w:r w:rsidRPr="00AA24BB">
        <w:rPr>
          <w:rFonts w:ascii="Times New Roman" w:eastAsia="Times New Roman" w:hAnsi="Times New Roman" w:cs="Times New Roman"/>
          <w:bCs/>
          <w:sz w:val="24"/>
          <w:szCs w:val="24"/>
          <w:lang w:eastAsia="it-IT"/>
        </w:rPr>
        <w:t>rispetto</w:t>
      </w:r>
      <w:r w:rsidRPr="002E21F8">
        <w:rPr>
          <w:rFonts w:ascii="Times New Roman" w:eastAsia="Times New Roman" w:hAnsi="Times New Roman" w:cs="Times New Roman"/>
          <w:bCs/>
          <w:sz w:val="24"/>
          <w:szCs w:val="24"/>
          <w:lang w:eastAsia="it-IT"/>
        </w:rPr>
        <w:t xml:space="preserve"> agli stanziamenti inziali passando da </w:t>
      </w:r>
      <w:r>
        <w:rPr>
          <w:rFonts w:ascii="Times New Roman" w:eastAsia="Times New Roman" w:hAnsi="Times New Roman" w:cs="Times New Roman"/>
          <w:bCs/>
          <w:sz w:val="24"/>
          <w:szCs w:val="24"/>
          <w:lang w:eastAsia="it-IT"/>
        </w:rPr>
        <w:t xml:space="preserve">euro </w:t>
      </w:r>
      <w:r w:rsidRPr="002E21F8">
        <w:rPr>
          <w:rFonts w:ascii="Times New Roman" w:eastAsia="Times New Roman" w:hAnsi="Times New Roman" w:cs="Times New Roman"/>
          <w:bCs/>
          <w:sz w:val="24"/>
          <w:szCs w:val="24"/>
          <w:lang w:eastAsia="it-IT"/>
        </w:rPr>
        <w:t xml:space="preserve">3.927.983.608 a </w:t>
      </w:r>
      <w:r>
        <w:rPr>
          <w:rFonts w:ascii="Times New Roman" w:eastAsia="Times New Roman" w:hAnsi="Times New Roman" w:cs="Times New Roman"/>
          <w:bCs/>
          <w:sz w:val="24"/>
          <w:szCs w:val="24"/>
          <w:lang w:eastAsia="it-IT"/>
        </w:rPr>
        <w:t xml:space="preserve">euro </w:t>
      </w:r>
      <w:r w:rsidRPr="002E21F8">
        <w:rPr>
          <w:rFonts w:ascii="Times New Roman" w:eastAsia="Times New Roman" w:hAnsi="Times New Roman" w:cs="Times New Roman"/>
          <w:bCs/>
          <w:sz w:val="24"/>
          <w:szCs w:val="24"/>
          <w:lang w:eastAsia="it-IT"/>
        </w:rPr>
        <w:t>14.093.832.048,8</w:t>
      </w:r>
      <w:r>
        <w:rPr>
          <w:rFonts w:ascii="Times New Roman" w:eastAsia="Times New Roman" w:hAnsi="Times New Roman" w:cs="Times New Roman"/>
          <w:bCs/>
          <w:sz w:val="24"/>
          <w:szCs w:val="24"/>
          <w:lang w:eastAsia="it-IT"/>
        </w:rPr>
        <w:t>2. Si precisa che l</w:t>
      </w:r>
      <w:r w:rsidRPr="00680918">
        <w:rPr>
          <w:rFonts w:ascii="Times New Roman" w:eastAsia="Times New Roman" w:hAnsi="Times New Roman" w:cs="Times New Roman"/>
          <w:bCs/>
          <w:sz w:val="24"/>
          <w:szCs w:val="24"/>
          <w:lang w:eastAsia="it-IT"/>
        </w:rPr>
        <w:t xml:space="preserve">’importo di euro 91.250.450,64, si riferisce alle entrate derivanti da movimenti sul conto corrente di tesoreria intestato alla Presidenza del Consiglio dei ministri, di cui euro 89.052.265,11 relativi alle </w:t>
      </w:r>
      <w:r>
        <w:rPr>
          <w:rFonts w:ascii="Times New Roman" w:eastAsia="Times New Roman" w:hAnsi="Times New Roman" w:cs="Times New Roman"/>
          <w:bCs/>
          <w:sz w:val="24"/>
          <w:szCs w:val="24"/>
          <w:lang w:eastAsia="it-IT"/>
        </w:rPr>
        <w:t>somme</w:t>
      </w:r>
      <w:r w:rsidRPr="00680918">
        <w:rPr>
          <w:rFonts w:ascii="Times New Roman" w:eastAsia="Times New Roman" w:hAnsi="Times New Roman" w:cs="Times New Roman"/>
          <w:bCs/>
          <w:sz w:val="24"/>
          <w:szCs w:val="24"/>
          <w:lang w:eastAsia="it-IT"/>
        </w:rPr>
        <w:t xml:space="preserve"> versate a vario titolo sul conto corrente di tesoreria da terzi (es.: somme riversate a seguito della chiusura di contabilità speciali, somme liquidate da sentenze a favore della PCM, restituzioni da parte del personale in servizio presso la Presidenza del Consiglio dei ministri di anticipi di missione non utilizzati, restituzione di somme non utilizzate per l’esecuzione di progetti finanziati nell’ambito delle politiche di settore,  somme versate da soggetti privati a titolo di donazioni per l'emergenza COVID-19, ecc.) ed euro 2.198.185,53 relativi a somme provenienti dal fondo di rotazione per l’attuazione delle politiche comunitarie</w:t>
      </w:r>
      <w:r>
        <w:rPr>
          <w:rFonts w:ascii="Times New Roman" w:eastAsia="Times New Roman" w:hAnsi="Times New Roman" w:cs="Times New Roman"/>
          <w:bCs/>
          <w:sz w:val="24"/>
          <w:szCs w:val="24"/>
          <w:lang w:eastAsia="it-IT"/>
        </w:rPr>
        <w:t>.</w:t>
      </w:r>
    </w:p>
    <w:p w14:paraId="773FBC5C" w14:textId="7B48177F" w:rsidR="00680918" w:rsidRPr="00E11661" w:rsidRDefault="00680918" w:rsidP="00F60FED">
      <w:pPr>
        <w:spacing w:after="0" w:line="360" w:lineRule="auto"/>
        <w:jc w:val="both"/>
        <w:rPr>
          <w:rFonts w:ascii="Times New Roman" w:eastAsia="Times New Roman" w:hAnsi="Times New Roman" w:cs="Times New Roman"/>
          <w:b/>
          <w:sz w:val="24"/>
          <w:szCs w:val="24"/>
          <w:lang w:eastAsia="it-IT"/>
        </w:rPr>
      </w:pPr>
      <w:r w:rsidRPr="00E11661">
        <w:rPr>
          <w:rFonts w:ascii="Times New Roman" w:eastAsia="Times New Roman" w:hAnsi="Times New Roman" w:cs="Times New Roman"/>
          <w:b/>
          <w:sz w:val="24"/>
          <w:szCs w:val="24"/>
          <w:lang w:eastAsia="it-IT"/>
        </w:rPr>
        <w:lastRenderedPageBreak/>
        <w:t xml:space="preserve">6.2 </w:t>
      </w:r>
      <w:r w:rsidR="00E11661" w:rsidRPr="00E11661">
        <w:rPr>
          <w:rFonts w:ascii="Times New Roman" w:eastAsia="Times New Roman" w:hAnsi="Times New Roman" w:cs="Times New Roman"/>
          <w:b/>
          <w:sz w:val="24"/>
          <w:szCs w:val="24"/>
          <w:lang w:eastAsia="it-IT"/>
        </w:rPr>
        <w:t>Effetti sul bilancio a seguito di riduzioni di spesa determinat</w:t>
      </w:r>
      <w:r w:rsidR="00A41828">
        <w:rPr>
          <w:rFonts w:ascii="Times New Roman" w:eastAsia="Times New Roman" w:hAnsi="Times New Roman" w:cs="Times New Roman"/>
          <w:b/>
          <w:sz w:val="24"/>
          <w:szCs w:val="24"/>
          <w:lang w:eastAsia="it-IT"/>
        </w:rPr>
        <w:t>e</w:t>
      </w:r>
      <w:r w:rsidR="00E11661" w:rsidRPr="00E11661">
        <w:rPr>
          <w:rFonts w:ascii="Times New Roman" w:eastAsia="Times New Roman" w:hAnsi="Times New Roman" w:cs="Times New Roman"/>
          <w:b/>
          <w:sz w:val="24"/>
          <w:szCs w:val="24"/>
          <w:lang w:eastAsia="it-IT"/>
        </w:rPr>
        <w:t xml:space="preserve"> da interventi normativi e atti amministrativi</w:t>
      </w:r>
    </w:p>
    <w:p w14:paraId="680539C8" w14:textId="550D8AC2" w:rsidR="00F60FED" w:rsidRPr="00A00B73" w:rsidRDefault="00F60FED" w:rsidP="00F60FED">
      <w:pPr>
        <w:spacing w:after="0" w:line="360" w:lineRule="auto"/>
        <w:jc w:val="both"/>
        <w:rPr>
          <w:rFonts w:ascii="Times New Roman" w:eastAsia="Times New Roman" w:hAnsi="Times New Roman" w:cs="Times New Roman"/>
          <w:sz w:val="24"/>
          <w:szCs w:val="24"/>
          <w:lang w:eastAsia="it-IT"/>
        </w:rPr>
      </w:pPr>
      <w:r w:rsidRPr="00A00B73">
        <w:rPr>
          <w:rFonts w:ascii="Times New Roman" w:eastAsia="Times New Roman" w:hAnsi="Times New Roman" w:cs="Times New Roman"/>
          <w:sz w:val="24"/>
          <w:szCs w:val="24"/>
          <w:lang w:eastAsia="it-IT"/>
        </w:rPr>
        <w:t>Si dà conto degli effetti prodotti sul bilancio 2022 della Presidenza del Consiglio dei ministri delle riduzioni disposte da interventi normativi e da atti amministrativi adottati nel corso del 2022</w:t>
      </w:r>
      <w:r w:rsidR="00D407C4">
        <w:rPr>
          <w:rFonts w:ascii="Times New Roman" w:eastAsia="Times New Roman" w:hAnsi="Times New Roman" w:cs="Times New Roman"/>
          <w:sz w:val="24"/>
          <w:szCs w:val="24"/>
          <w:lang w:eastAsia="it-IT"/>
        </w:rPr>
        <w:t xml:space="preserve"> come </w:t>
      </w:r>
      <w:r w:rsidR="00D407C4" w:rsidRPr="00A711EF">
        <w:rPr>
          <w:rFonts w:ascii="Times New Roman" w:eastAsia="Times New Roman" w:hAnsi="Times New Roman" w:cs="Times New Roman"/>
          <w:sz w:val="24"/>
          <w:szCs w:val="24"/>
          <w:lang w:eastAsia="it-IT"/>
        </w:rPr>
        <w:t>espos</w:t>
      </w:r>
      <w:r w:rsidR="009144CB" w:rsidRPr="00A711EF">
        <w:rPr>
          <w:rFonts w:ascii="Times New Roman" w:eastAsia="Times New Roman" w:hAnsi="Times New Roman" w:cs="Times New Roman"/>
          <w:sz w:val="24"/>
          <w:szCs w:val="24"/>
          <w:lang w:eastAsia="it-IT"/>
        </w:rPr>
        <w:t>t</w:t>
      </w:r>
      <w:r w:rsidR="00D407C4" w:rsidRPr="00A711EF">
        <w:rPr>
          <w:rFonts w:ascii="Times New Roman" w:eastAsia="Times New Roman" w:hAnsi="Times New Roman" w:cs="Times New Roman"/>
          <w:sz w:val="24"/>
          <w:szCs w:val="24"/>
          <w:lang w:eastAsia="it-IT"/>
        </w:rPr>
        <w:t>o</w:t>
      </w:r>
      <w:r w:rsidR="00D407C4">
        <w:rPr>
          <w:rFonts w:ascii="Times New Roman" w:eastAsia="Times New Roman" w:hAnsi="Times New Roman" w:cs="Times New Roman"/>
          <w:sz w:val="24"/>
          <w:szCs w:val="24"/>
          <w:lang w:eastAsia="it-IT"/>
        </w:rPr>
        <w:t xml:space="preserve"> in </w:t>
      </w:r>
      <w:r w:rsidR="0023445E" w:rsidRPr="00AA24BB">
        <w:rPr>
          <w:rFonts w:ascii="Times New Roman" w:eastAsia="Times New Roman" w:hAnsi="Times New Roman" w:cs="Times New Roman"/>
          <w:sz w:val="24"/>
          <w:szCs w:val="24"/>
          <w:lang w:eastAsia="it-IT"/>
        </w:rPr>
        <w:t>T</w:t>
      </w:r>
      <w:r w:rsidR="00D407C4" w:rsidRPr="00AA24BB">
        <w:rPr>
          <w:rFonts w:ascii="Times New Roman" w:eastAsia="Times New Roman" w:hAnsi="Times New Roman" w:cs="Times New Roman"/>
          <w:sz w:val="24"/>
          <w:szCs w:val="24"/>
          <w:lang w:eastAsia="it-IT"/>
        </w:rPr>
        <w:t xml:space="preserve">abella </w:t>
      </w:r>
      <w:r w:rsidR="00680918" w:rsidRPr="00AA24BB">
        <w:rPr>
          <w:rFonts w:ascii="Times New Roman" w:eastAsia="Times New Roman" w:hAnsi="Times New Roman" w:cs="Times New Roman"/>
          <w:sz w:val="24"/>
          <w:szCs w:val="24"/>
          <w:lang w:eastAsia="it-IT"/>
        </w:rPr>
        <w:t>5</w:t>
      </w:r>
      <w:r w:rsidRPr="00AA24BB">
        <w:rPr>
          <w:rFonts w:ascii="Times New Roman" w:eastAsia="Times New Roman" w:hAnsi="Times New Roman" w:cs="Times New Roman"/>
          <w:sz w:val="24"/>
          <w:szCs w:val="24"/>
          <w:lang w:eastAsia="it-IT"/>
        </w:rPr>
        <w:t>.</w:t>
      </w:r>
    </w:p>
    <w:p w14:paraId="4673EAD8" w14:textId="7673DB31" w:rsidR="00F60FED" w:rsidRPr="00004D9E" w:rsidRDefault="00F60FED" w:rsidP="00CE6817">
      <w:pPr>
        <w:spacing w:after="0" w:line="360" w:lineRule="auto"/>
        <w:jc w:val="both"/>
        <w:rPr>
          <w:rFonts w:ascii="Times New Roman" w:eastAsia="Times New Roman" w:hAnsi="Times New Roman" w:cs="Times New Roman"/>
          <w:sz w:val="8"/>
          <w:szCs w:val="24"/>
          <w:lang w:eastAsia="it-IT"/>
        </w:rPr>
      </w:pPr>
    </w:p>
    <w:p w14:paraId="55ACE069" w14:textId="5601B824" w:rsidR="00004D9E" w:rsidRDefault="00004D9E" w:rsidP="00CE6817">
      <w:pPr>
        <w:spacing w:after="0" w:line="360" w:lineRule="auto"/>
        <w:jc w:val="both"/>
        <w:rPr>
          <w:rFonts w:ascii="Times New Roman" w:eastAsia="Times New Roman" w:hAnsi="Times New Roman" w:cs="Times New Roman"/>
          <w:sz w:val="24"/>
          <w:szCs w:val="24"/>
          <w:lang w:eastAsia="it-IT"/>
        </w:rPr>
      </w:pPr>
      <w:r w:rsidRPr="00004D9E">
        <w:rPr>
          <w:noProof/>
          <w:lang w:eastAsia="it-IT"/>
        </w:rPr>
        <w:drawing>
          <wp:inline distT="0" distB="0" distL="0" distR="0" wp14:anchorId="22128FAF" wp14:editId="1C52F7C4">
            <wp:extent cx="6210935" cy="632924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6329243"/>
                    </a:xfrm>
                    <a:prstGeom prst="rect">
                      <a:avLst/>
                    </a:prstGeom>
                    <a:noFill/>
                    <a:ln>
                      <a:noFill/>
                    </a:ln>
                  </pic:spPr>
                </pic:pic>
              </a:graphicData>
            </a:graphic>
          </wp:inline>
        </w:drawing>
      </w:r>
    </w:p>
    <w:p w14:paraId="2218910C" w14:textId="4D3E0D8C" w:rsidR="00004D9E" w:rsidRDefault="00004D9E" w:rsidP="00CE6817">
      <w:pPr>
        <w:spacing w:after="0" w:line="360" w:lineRule="auto"/>
        <w:jc w:val="both"/>
        <w:rPr>
          <w:rFonts w:ascii="Times New Roman" w:eastAsia="Times New Roman" w:hAnsi="Times New Roman" w:cs="Times New Roman"/>
          <w:sz w:val="24"/>
          <w:szCs w:val="24"/>
          <w:lang w:eastAsia="it-IT"/>
        </w:rPr>
      </w:pPr>
    </w:p>
    <w:p w14:paraId="716ABD02" w14:textId="08D95F15" w:rsidR="00CE6817" w:rsidRPr="00A00B73" w:rsidRDefault="00CE6817" w:rsidP="00CE6817">
      <w:pPr>
        <w:spacing w:after="0" w:line="360" w:lineRule="auto"/>
        <w:jc w:val="both"/>
        <w:rPr>
          <w:rFonts w:ascii="Times New Roman" w:eastAsia="Times New Roman" w:hAnsi="Times New Roman" w:cs="Times New Roman"/>
          <w:sz w:val="24"/>
          <w:szCs w:val="24"/>
          <w:lang w:eastAsia="it-IT"/>
        </w:rPr>
      </w:pPr>
      <w:r w:rsidRPr="00A00B73">
        <w:rPr>
          <w:rFonts w:ascii="Times New Roman" w:eastAsia="Times New Roman" w:hAnsi="Times New Roman" w:cs="Times New Roman"/>
          <w:sz w:val="24"/>
          <w:szCs w:val="24"/>
          <w:lang w:eastAsia="it-IT"/>
        </w:rPr>
        <w:t>Le riduzioni disposte nel corso del 2022 per un ammontare complessivo di euro 110.633.074,00 riguardano in particolare:</w:t>
      </w:r>
    </w:p>
    <w:p w14:paraId="26E1DD21" w14:textId="77777777" w:rsidR="00CE6817" w:rsidRPr="00A00B73" w:rsidRDefault="00CE6817" w:rsidP="00CE6817">
      <w:pPr>
        <w:spacing w:after="0" w:line="360" w:lineRule="auto"/>
        <w:jc w:val="both"/>
        <w:rPr>
          <w:rFonts w:ascii="Times New Roman" w:eastAsia="Times New Roman" w:hAnsi="Times New Roman" w:cs="Times New Roman"/>
          <w:sz w:val="8"/>
          <w:szCs w:val="24"/>
          <w:lang w:eastAsia="it-IT"/>
        </w:rPr>
      </w:pPr>
    </w:p>
    <w:p w14:paraId="41ED07F1" w14:textId="35C3123F"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euro 5.595.651</w:t>
      </w:r>
      <w:r w:rsidR="00083FD1">
        <w:rPr>
          <w:sz w:val="24"/>
          <w:szCs w:val="24"/>
        </w:rPr>
        <w:t>,</w:t>
      </w:r>
      <w:r w:rsidRPr="00A00B73">
        <w:rPr>
          <w:sz w:val="24"/>
          <w:szCs w:val="24"/>
        </w:rPr>
        <w:t xml:space="preserve">00, in attuazione </w:t>
      </w:r>
      <w:r w:rsidR="00A00B73" w:rsidRPr="00A00B73">
        <w:rPr>
          <w:sz w:val="24"/>
          <w:szCs w:val="24"/>
        </w:rPr>
        <w:t>del</w:t>
      </w:r>
      <w:r w:rsidRPr="00A00B73">
        <w:rPr>
          <w:sz w:val="24"/>
          <w:szCs w:val="24"/>
        </w:rPr>
        <w:t xml:space="preserve"> decreto legislativo 29 dicembre 2021, n. 230, recante </w:t>
      </w:r>
      <w:r w:rsidRPr="00083FD1">
        <w:rPr>
          <w:sz w:val="24"/>
          <w:szCs w:val="24"/>
        </w:rPr>
        <w:t>“Istituzione dell</w:t>
      </w:r>
      <w:r w:rsidR="00877AAF" w:rsidRPr="00083FD1">
        <w:rPr>
          <w:sz w:val="24"/>
          <w:szCs w:val="24"/>
        </w:rPr>
        <w:t>’</w:t>
      </w:r>
      <w:r w:rsidRPr="00083FD1">
        <w:rPr>
          <w:sz w:val="24"/>
          <w:szCs w:val="24"/>
        </w:rPr>
        <w:t xml:space="preserve">assegno unico e universale per i figli a carico, in attuazione della delega conferita </w:t>
      </w:r>
      <w:r w:rsidRPr="00083FD1">
        <w:rPr>
          <w:sz w:val="24"/>
          <w:szCs w:val="24"/>
        </w:rPr>
        <w:lastRenderedPageBreak/>
        <w:t>al Governo ai sensi della legge 1° aprile 2021, n. 46”,</w:t>
      </w:r>
      <w:r w:rsidRPr="00A00B73">
        <w:rPr>
          <w:sz w:val="24"/>
          <w:szCs w:val="24"/>
        </w:rPr>
        <w:t xml:space="preserve"> che ha disposto la riduzione dell</w:t>
      </w:r>
      <w:r w:rsidR="00877AAF">
        <w:rPr>
          <w:sz w:val="24"/>
          <w:szCs w:val="24"/>
        </w:rPr>
        <w:t>’</w:t>
      </w:r>
      <w:r w:rsidRPr="00A00B73">
        <w:rPr>
          <w:sz w:val="24"/>
          <w:szCs w:val="24"/>
        </w:rPr>
        <w:t>autorizzazione di spesa di cui all</w:t>
      </w:r>
      <w:r w:rsidR="00877AAF">
        <w:rPr>
          <w:sz w:val="24"/>
          <w:szCs w:val="24"/>
        </w:rPr>
        <w:t>’</w:t>
      </w:r>
      <w:r w:rsidRPr="00A00B73">
        <w:rPr>
          <w:sz w:val="24"/>
          <w:szCs w:val="24"/>
        </w:rPr>
        <w:t xml:space="preserve">articolo 1, commi 348 e 349 della legge 11 dicembre 2016, n. 232, </w:t>
      </w:r>
      <w:r w:rsidR="005103EA" w:rsidRPr="00A00B73">
        <w:rPr>
          <w:sz w:val="24"/>
          <w:szCs w:val="24"/>
        </w:rPr>
        <w:t>di istituzione,</w:t>
      </w:r>
      <w:r w:rsidRPr="00A00B73">
        <w:rPr>
          <w:sz w:val="24"/>
          <w:szCs w:val="24"/>
        </w:rPr>
        <w:t xml:space="preserve"> presso la Presidenza del Consiglio dei ministri</w:t>
      </w:r>
      <w:r w:rsidR="005103EA" w:rsidRPr="00A00B73">
        <w:rPr>
          <w:sz w:val="24"/>
          <w:szCs w:val="24"/>
        </w:rPr>
        <w:t>, di</w:t>
      </w:r>
      <w:r w:rsidRPr="00A00B73">
        <w:rPr>
          <w:sz w:val="24"/>
          <w:szCs w:val="24"/>
        </w:rPr>
        <w:t xml:space="preserve"> un apposito fondo rotativo, denominato “Fondo di sostegno alla natalità”, volto a favorire l</w:t>
      </w:r>
      <w:r w:rsidR="00877AAF">
        <w:rPr>
          <w:sz w:val="24"/>
          <w:szCs w:val="24"/>
        </w:rPr>
        <w:t>’</w:t>
      </w:r>
      <w:r w:rsidRPr="00A00B73">
        <w:rPr>
          <w:sz w:val="24"/>
          <w:szCs w:val="24"/>
        </w:rPr>
        <w:t>accesso al credito delle famiglie con uno o più figli, nati o adottati a decorrere dal 1º gennaio 2017, applicata sul capitolo MEF 2137 “</w:t>
      </w:r>
      <w:r w:rsidRPr="00A00B73">
        <w:rPr>
          <w:i/>
          <w:sz w:val="24"/>
          <w:szCs w:val="24"/>
        </w:rPr>
        <w:t>Somme da assegnare alla Presidenza del Consiglio dei ministri per il finanziamento del fondo di sostegno alla natalità</w:t>
      </w:r>
      <w:r w:rsidRPr="00A00B73">
        <w:rPr>
          <w:sz w:val="24"/>
          <w:szCs w:val="24"/>
        </w:rPr>
        <w:t>”, iscritto nello stato di previsione del Ministero dell</w:t>
      </w:r>
      <w:r w:rsidR="00877AAF">
        <w:rPr>
          <w:sz w:val="24"/>
          <w:szCs w:val="24"/>
        </w:rPr>
        <w:t>’</w:t>
      </w:r>
      <w:r w:rsidRPr="00A00B73">
        <w:rPr>
          <w:sz w:val="24"/>
          <w:szCs w:val="24"/>
        </w:rPr>
        <w:t>economia e delle finanze. Con decreto del Presidente del Consiglio dei ministri n. 713/</w:t>
      </w:r>
      <w:proofErr w:type="spellStart"/>
      <w:r w:rsidRPr="00A00B73">
        <w:rPr>
          <w:sz w:val="24"/>
          <w:szCs w:val="24"/>
        </w:rPr>
        <w:t>Bil</w:t>
      </w:r>
      <w:proofErr w:type="spellEnd"/>
      <w:r w:rsidRPr="00A00B73">
        <w:rPr>
          <w:sz w:val="24"/>
          <w:szCs w:val="24"/>
        </w:rPr>
        <w:t xml:space="preserve"> del 30 dicembre 2022</w:t>
      </w:r>
      <w:r w:rsidR="00F87A8D" w:rsidRPr="00A00B73">
        <w:rPr>
          <w:sz w:val="24"/>
          <w:szCs w:val="24"/>
        </w:rPr>
        <w:t>,</w:t>
      </w:r>
      <w:r w:rsidRPr="00A00B73">
        <w:rPr>
          <w:sz w:val="24"/>
          <w:szCs w:val="24"/>
        </w:rPr>
        <w:t xml:space="preserve"> si è provveduto ad adeguare gli stanziamenti dei corrispondenti capitoli di entrata 848 e di spesa 526 del bilancio della Presidenza del Consiglio dei ministri;</w:t>
      </w:r>
    </w:p>
    <w:p w14:paraId="3D5670EF" w14:textId="77777777" w:rsidR="00CE6817" w:rsidRPr="00A00B73" w:rsidRDefault="00CE6817" w:rsidP="00CE6817">
      <w:pPr>
        <w:pStyle w:val="Paragrafoelenco"/>
        <w:tabs>
          <w:tab w:val="left" w:pos="284"/>
        </w:tabs>
        <w:spacing w:line="360" w:lineRule="auto"/>
        <w:ind w:left="284"/>
        <w:jc w:val="both"/>
        <w:rPr>
          <w:sz w:val="8"/>
          <w:szCs w:val="24"/>
        </w:rPr>
      </w:pPr>
    </w:p>
    <w:p w14:paraId="38374622" w14:textId="38599B36"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euro 1.000.000,00, in attuazione del decreto-legge 27 gennaio 2022, n. 4</w:t>
      </w:r>
      <w:r w:rsidR="001D07BE">
        <w:rPr>
          <w:sz w:val="24"/>
          <w:szCs w:val="24"/>
        </w:rPr>
        <w:t>,</w:t>
      </w:r>
      <w:r w:rsidRPr="00A00B73">
        <w:rPr>
          <w:sz w:val="24"/>
          <w:szCs w:val="24"/>
        </w:rPr>
        <w:t xml:space="preserve"> recante </w:t>
      </w:r>
      <w:r w:rsidRPr="001D07BE">
        <w:rPr>
          <w:sz w:val="24"/>
          <w:szCs w:val="24"/>
        </w:rPr>
        <w:t>“Misure urgenti in materia di sostegno alle imprese e agli operatori economici, di lavoro, salute e servizi territoriali, connesse all</w:t>
      </w:r>
      <w:r w:rsidR="00877AAF" w:rsidRPr="001D07BE">
        <w:rPr>
          <w:sz w:val="24"/>
          <w:szCs w:val="24"/>
        </w:rPr>
        <w:t>’</w:t>
      </w:r>
      <w:r w:rsidRPr="001D07BE">
        <w:rPr>
          <w:sz w:val="24"/>
          <w:szCs w:val="24"/>
        </w:rPr>
        <w:t>emergenza da COVID-19, nonché per il contenimento degli effetti degli aumenti dei prezzi nel settore elettrico”,</w:t>
      </w:r>
      <w:r w:rsidRPr="00A00B73">
        <w:rPr>
          <w:sz w:val="24"/>
          <w:szCs w:val="24"/>
        </w:rPr>
        <w:t xml:space="preserve"> convertito, con modificazioni, dalla legge 28 marzo 2022, n. 25, che all</w:t>
      </w:r>
      <w:r w:rsidR="00877AAF">
        <w:rPr>
          <w:sz w:val="24"/>
          <w:szCs w:val="24"/>
        </w:rPr>
        <w:t>’</w:t>
      </w:r>
      <w:r w:rsidRPr="00A00B73">
        <w:rPr>
          <w:sz w:val="24"/>
          <w:szCs w:val="24"/>
        </w:rPr>
        <w:t>articolo 5, comma 5</w:t>
      </w:r>
      <w:r w:rsidR="00F87A8D" w:rsidRPr="00A00B73">
        <w:rPr>
          <w:sz w:val="24"/>
          <w:szCs w:val="24"/>
        </w:rPr>
        <w:t>,</w:t>
      </w:r>
      <w:r w:rsidRPr="00A00B73">
        <w:rPr>
          <w:sz w:val="24"/>
          <w:szCs w:val="24"/>
        </w:rPr>
        <w:t xml:space="preserve"> ha disposto la riduzione dell</w:t>
      </w:r>
      <w:r w:rsidR="00877AAF">
        <w:rPr>
          <w:sz w:val="24"/>
          <w:szCs w:val="24"/>
        </w:rPr>
        <w:t>’</w:t>
      </w:r>
      <w:r w:rsidRPr="00A00B73">
        <w:rPr>
          <w:sz w:val="24"/>
          <w:szCs w:val="24"/>
        </w:rPr>
        <w:t>autorizzazione di spesa del “Fondo unico a sostegno del potenziamento del movimento sportivo italiano”, previsto all</w:t>
      </w:r>
      <w:r w:rsidR="00877AAF">
        <w:rPr>
          <w:sz w:val="24"/>
          <w:szCs w:val="24"/>
        </w:rPr>
        <w:t>’</w:t>
      </w:r>
      <w:r w:rsidRPr="00A00B73">
        <w:rPr>
          <w:sz w:val="24"/>
          <w:szCs w:val="24"/>
        </w:rPr>
        <w:t>articolo 1, comma 369, della legge 27 dicembre 2017, n. 205, come incrementata dall</w:t>
      </w:r>
      <w:r w:rsidR="00877AAF">
        <w:rPr>
          <w:sz w:val="24"/>
          <w:szCs w:val="24"/>
        </w:rPr>
        <w:t>’</w:t>
      </w:r>
      <w:r w:rsidRPr="00A00B73">
        <w:rPr>
          <w:sz w:val="24"/>
          <w:szCs w:val="24"/>
        </w:rPr>
        <w:t>articolo 7, comma 3, del decreto-legge 1° marzo 2022, n. 17, applicata sul capitolo MEF 2154 “</w:t>
      </w:r>
      <w:r w:rsidRPr="00A00B73">
        <w:rPr>
          <w:i/>
          <w:sz w:val="24"/>
          <w:szCs w:val="24"/>
        </w:rPr>
        <w:t>Somma da trasferire alla Presidenza del Consiglio dei ministri a sostegno del potenziamento del movimento sportivo italiano</w:t>
      </w:r>
      <w:r w:rsidRPr="00A00B73">
        <w:rPr>
          <w:sz w:val="24"/>
          <w:szCs w:val="24"/>
        </w:rPr>
        <w:t>”, iscritto nello stato di previsione del Ministero dell</w:t>
      </w:r>
      <w:r w:rsidR="00877AAF">
        <w:rPr>
          <w:sz w:val="24"/>
          <w:szCs w:val="24"/>
        </w:rPr>
        <w:t>’</w:t>
      </w:r>
      <w:r w:rsidRPr="00A00B73">
        <w:rPr>
          <w:sz w:val="24"/>
          <w:szCs w:val="24"/>
        </w:rPr>
        <w:t>economia e delle finanze.</w:t>
      </w:r>
      <w:r w:rsidRPr="00A00B73">
        <w:rPr>
          <w:rFonts w:asciiTheme="minorHAnsi" w:eastAsiaTheme="minorHAnsi" w:hAnsiTheme="minorHAnsi" w:cstheme="minorBidi"/>
          <w:sz w:val="24"/>
          <w:szCs w:val="24"/>
          <w:lang w:eastAsia="en-US"/>
        </w:rPr>
        <w:t xml:space="preserve"> </w:t>
      </w:r>
      <w:r w:rsidRPr="00A00B73">
        <w:rPr>
          <w:sz w:val="24"/>
          <w:szCs w:val="24"/>
        </w:rPr>
        <w:t>Con decreto del Presidente del Consiglio dei ministri n. 713/</w:t>
      </w:r>
      <w:proofErr w:type="spellStart"/>
      <w:r w:rsidRPr="00A00B73">
        <w:rPr>
          <w:sz w:val="24"/>
          <w:szCs w:val="24"/>
        </w:rPr>
        <w:t>Bil</w:t>
      </w:r>
      <w:proofErr w:type="spellEnd"/>
      <w:r w:rsidRPr="00A00B73">
        <w:rPr>
          <w:sz w:val="24"/>
          <w:szCs w:val="24"/>
        </w:rPr>
        <w:t xml:space="preserve"> del 30 dicembre 2022 si è provveduto ad adeguare gli stanziamenti dei corrispondenti capitoli di entrata 833 e di spesa 846 del bilancio della Presidenza del Consiglio dei ministri;</w:t>
      </w:r>
    </w:p>
    <w:p w14:paraId="3B8A60DE" w14:textId="77777777" w:rsidR="00CE6817" w:rsidRPr="00A00B73" w:rsidRDefault="00CE6817" w:rsidP="00CE6817">
      <w:pPr>
        <w:pStyle w:val="Paragrafoelenco"/>
        <w:tabs>
          <w:tab w:val="left" w:pos="284"/>
        </w:tabs>
        <w:spacing w:line="360" w:lineRule="auto"/>
        <w:ind w:left="284"/>
        <w:jc w:val="both"/>
        <w:rPr>
          <w:sz w:val="8"/>
          <w:szCs w:val="24"/>
        </w:rPr>
      </w:pPr>
    </w:p>
    <w:p w14:paraId="46B2E84F" w14:textId="7D9F2402"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euro 56.000.000,00, in attuazione del decreto-legge 21 giugno 2022, n. 73</w:t>
      </w:r>
      <w:r w:rsidR="00AB282C">
        <w:rPr>
          <w:sz w:val="24"/>
          <w:szCs w:val="24"/>
        </w:rPr>
        <w:t>,</w:t>
      </w:r>
      <w:r w:rsidRPr="00A00B73">
        <w:rPr>
          <w:sz w:val="24"/>
          <w:szCs w:val="24"/>
        </w:rPr>
        <w:t xml:space="preserve"> recante </w:t>
      </w:r>
      <w:r w:rsidRPr="00AB282C">
        <w:rPr>
          <w:sz w:val="24"/>
          <w:szCs w:val="24"/>
        </w:rPr>
        <w:t>“Misure urgenti in materia di semplificazioni fiscali e di rilascio del nulla osta al lavoro, Tesoreria dello Stato e ulteriori disposizioni finanziarie e sociali”,</w:t>
      </w:r>
      <w:r w:rsidRPr="00A00B73">
        <w:rPr>
          <w:i/>
          <w:sz w:val="24"/>
          <w:szCs w:val="24"/>
        </w:rPr>
        <w:t xml:space="preserve"> </w:t>
      </w:r>
      <w:r w:rsidRPr="00A00B73">
        <w:rPr>
          <w:sz w:val="24"/>
          <w:szCs w:val="24"/>
        </w:rPr>
        <w:t>convertito, con modificazioni, dalla legge 4 agosto 2022, n. 122</w:t>
      </w:r>
      <w:r w:rsidR="00AB282C">
        <w:rPr>
          <w:sz w:val="24"/>
          <w:szCs w:val="24"/>
        </w:rPr>
        <w:t>,</w:t>
      </w:r>
      <w:r w:rsidRPr="00A00B73">
        <w:rPr>
          <w:sz w:val="24"/>
          <w:szCs w:val="24"/>
        </w:rPr>
        <w:t xml:space="preserve"> che all</w:t>
      </w:r>
      <w:r w:rsidR="00877AAF">
        <w:rPr>
          <w:sz w:val="24"/>
          <w:szCs w:val="24"/>
        </w:rPr>
        <w:t>’</w:t>
      </w:r>
      <w:r w:rsidRPr="00A00B73">
        <w:rPr>
          <w:sz w:val="24"/>
          <w:szCs w:val="24"/>
        </w:rPr>
        <w:t>articolo 39, per finanziare l</w:t>
      </w:r>
      <w:r w:rsidR="00877AAF">
        <w:rPr>
          <w:sz w:val="24"/>
          <w:szCs w:val="24"/>
        </w:rPr>
        <w:t>’</w:t>
      </w:r>
      <w:r w:rsidRPr="00A00B73">
        <w:rPr>
          <w:sz w:val="24"/>
          <w:szCs w:val="24"/>
        </w:rPr>
        <w:t>istituzione di un nuovo fondo destinato alle iniziative dei comuni, da attuare nel periodo 1° giugno-31 dicembre 2022</w:t>
      </w:r>
      <w:r w:rsidR="009144CB">
        <w:rPr>
          <w:sz w:val="24"/>
          <w:szCs w:val="24"/>
        </w:rPr>
        <w:t>,</w:t>
      </w:r>
      <w:r w:rsidRPr="00A00B73">
        <w:rPr>
          <w:sz w:val="24"/>
          <w:szCs w:val="24"/>
        </w:rPr>
        <w:t xml:space="preserve">  </w:t>
      </w:r>
      <w:r w:rsidR="00F60FED">
        <w:rPr>
          <w:sz w:val="24"/>
          <w:szCs w:val="24"/>
        </w:rPr>
        <w:t xml:space="preserve">al fine di </w:t>
      </w:r>
      <w:r w:rsidRPr="00A00B73">
        <w:rPr>
          <w:sz w:val="24"/>
          <w:szCs w:val="24"/>
        </w:rPr>
        <w:t xml:space="preserve"> sostenere le famiglie anche mediante l</w:t>
      </w:r>
      <w:r w:rsidR="00877AAF">
        <w:rPr>
          <w:sz w:val="24"/>
          <w:szCs w:val="24"/>
        </w:rPr>
        <w:t>’</w:t>
      </w:r>
      <w:r w:rsidRPr="00A00B73">
        <w:rPr>
          <w:sz w:val="24"/>
          <w:szCs w:val="24"/>
        </w:rPr>
        <w:t>offerta di opportunità educative rivolte al benessere dei figli, ha disposto la riduzione dell</w:t>
      </w:r>
      <w:r w:rsidR="00877AAF">
        <w:rPr>
          <w:sz w:val="24"/>
          <w:szCs w:val="24"/>
        </w:rPr>
        <w:t>’</w:t>
      </w:r>
      <w:r w:rsidRPr="00A00B73">
        <w:rPr>
          <w:sz w:val="24"/>
          <w:szCs w:val="24"/>
        </w:rPr>
        <w:t>autorizzazione di spesa del “Fondo per le politiche della famiglia” e del “Fondo per le politiche relative ai diritti e alle pari opportunità”, previsti dall</w:t>
      </w:r>
      <w:r w:rsidR="00877AAF">
        <w:rPr>
          <w:sz w:val="24"/>
          <w:szCs w:val="24"/>
        </w:rPr>
        <w:t>’</w:t>
      </w:r>
      <w:r w:rsidRPr="00A00B73">
        <w:rPr>
          <w:sz w:val="24"/>
          <w:szCs w:val="24"/>
        </w:rPr>
        <w:t>articolo 19, commi 1 e 3</w:t>
      </w:r>
      <w:r w:rsidR="00A354F4">
        <w:rPr>
          <w:sz w:val="24"/>
          <w:szCs w:val="24"/>
        </w:rPr>
        <w:t>,</w:t>
      </w:r>
      <w:r w:rsidRPr="00A00B73">
        <w:rPr>
          <w:sz w:val="24"/>
          <w:szCs w:val="24"/>
        </w:rPr>
        <w:t xml:space="preserve"> del decreto-legge 4 luglio 2006, n. 223, convertito, con modificazioni, dalla legge 4 agosto 2006, n. 248</w:t>
      </w:r>
      <w:r w:rsidR="00F60FED">
        <w:rPr>
          <w:sz w:val="24"/>
          <w:szCs w:val="24"/>
        </w:rPr>
        <w:t>. In particolare è stata prevista l</w:t>
      </w:r>
      <w:r w:rsidR="00126AC0">
        <w:rPr>
          <w:sz w:val="24"/>
          <w:szCs w:val="24"/>
        </w:rPr>
        <w:t>a riduzione</w:t>
      </w:r>
      <w:r w:rsidRPr="00A00B73">
        <w:rPr>
          <w:sz w:val="24"/>
          <w:szCs w:val="24"/>
        </w:rPr>
        <w:t xml:space="preserve"> per euro 48.000.000,00 sul capitolo MEF 2102 “</w:t>
      </w:r>
      <w:r w:rsidRPr="00A00B73">
        <w:rPr>
          <w:i/>
          <w:sz w:val="24"/>
          <w:szCs w:val="24"/>
        </w:rPr>
        <w:t>Somme da corrispondere alla Presidenza del Consiglio dei ministri per le politiche di sostegno alla famiglia</w:t>
      </w:r>
      <w:r w:rsidRPr="00A00B73">
        <w:rPr>
          <w:sz w:val="24"/>
          <w:szCs w:val="24"/>
        </w:rPr>
        <w:t>”</w:t>
      </w:r>
      <w:r w:rsidR="00F87A8D" w:rsidRPr="00A00B73">
        <w:rPr>
          <w:sz w:val="24"/>
          <w:szCs w:val="24"/>
        </w:rPr>
        <w:t xml:space="preserve"> </w:t>
      </w:r>
      <w:r w:rsidRPr="00A00B73">
        <w:rPr>
          <w:sz w:val="24"/>
          <w:szCs w:val="24"/>
        </w:rPr>
        <w:lastRenderedPageBreak/>
        <w:t>e per euro 8.000.000,00 sul capitolo MEF 2108 “</w:t>
      </w:r>
      <w:r w:rsidRPr="00A00B73">
        <w:rPr>
          <w:i/>
          <w:sz w:val="24"/>
          <w:szCs w:val="24"/>
        </w:rPr>
        <w:t>Somme da corrispondere alla Presidenza del Consiglio dei ministri per le politiche delle pari opportunità</w:t>
      </w:r>
      <w:r w:rsidRPr="00A00B73">
        <w:rPr>
          <w:sz w:val="24"/>
          <w:szCs w:val="24"/>
        </w:rPr>
        <w:t>”</w:t>
      </w:r>
      <w:r w:rsidR="00ED1E47">
        <w:rPr>
          <w:sz w:val="24"/>
          <w:szCs w:val="24"/>
        </w:rPr>
        <w:t xml:space="preserve">, </w:t>
      </w:r>
      <w:r w:rsidRPr="00A00B73">
        <w:rPr>
          <w:sz w:val="24"/>
          <w:szCs w:val="24"/>
        </w:rPr>
        <w:t>entrambi iscritti nello stato di previsione del Ministero dell</w:t>
      </w:r>
      <w:r w:rsidR="00877AAF">
        <w:rPr>
          <w:sz w:val="24"/>
          <w:szCs w:val="24"/>
        </w:rPr>
        <w:t>’</w:t>
      </w:r>
      <w:r w:rsidRPr="00A00B73">
        <w:rPr>
          <w:sz w:val="24"/>
          <w:szCs w:val="24"/>
        </w:rPr>
        <w:t>economia e delle finanze. Con decreto del Presidente del Consiglio dei ministri n. 713/</w:t>
      </w:r>
      <w:proofErr w:type="spellStart"/>
      <w:r w:rsidRPr="00A00B73">
        <w:rPr>
          <w:sz w:val="24"/>
          <w:szCs w:val="24"/>
        </w:rPr>
        <w:t>Bil</w:t>
      </w:r>
      <w:proofErr w:type="spellEnd"/>
      <w:r w:rsidRPr="00A00B73">
        <w:rPr>
          <w:sz w:val="24"/>
          <w:szCs w:val="24"/>
        </w:rPr>
        <w:t xml:space="preserve"> del 30 dicembre 2022</w:t>
      </w:r>
      <w:r w:rsidR="00F87A8D" w:rsidRPr="00A00B73">
        <w:rPr>
          <w:sz w:val="24"/>
          <w:szCs w:val="24"/>
        </w:rPr>
        <w:t>,</w:t>
      </w:r>
      <w:r w:rsidRPr="00A00B73">
        <w:rPr>
          <w:sz w:val="24"/>
          <w:szCs w:val="24"/>
        </w:rPr>
        <w:t xml:space="preserve"> si è provveduto ad adeguare gli stanziamenti dei corrispondenti capitoli di entrata 809 e 815 e di spesa 858 e 493 del bilancio della Presidenza del Consiglio dei ministri. Si precisa che, conformemente a quanto richiesto dalla citata normativa, il Dipartimento per le politiche della famiglia ha provveduto a riversare direttamente all</w:t>
      </w:r>
      <w:r w:rsidR="00877AAF">
        <w:rPr>
          <w:sz w:val="24"/>
          <w:szCs w:val="24"/>
        </w:rPr>
        <w:t>’</w:t>
      </w:r>
      <w:r w:rsidRPr="00A00B73">
        <w:rPr>
          <w:sz w:val="24"/>
          <w:szCs w:val="24"/>
        </w:rPr>
        <w:t>entrata del bilancio dello Stato le risorse già trasferite nel corso del 2022 pari a euro 2.000.000,00;</w:t>
      </w:r>
    </w:p>
    <w:p w14:paraId="5886F95C" w14:textId="77777777" w:rsidR="00CE6817" w:rsidRPr="00A00B73" w:rsidRDefault="00CE6817" w:rsidP="00CE6817">
      <w:pPr>
        <w:pStyle w:val="Paragrafoelenco"/>
        <w:tabs>
          <w:tab w:val="left" w:pos="284"/>
        </w:tabs>
        <w:spacing w:line="360" w:lineRule="auto"/>
        <w:ind w:left="284"/>
        <w:jc w:val="both"/>
        <w:rPr>
          <w:sz w:val="8"/>
          <w:szCs w:val="24"/>
        </w:rPr>
      </w:pPr>
    </w:p>
    <w:p w14:paraId="4D193662" w14:textId="7E181BF3"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euro 2.600.000,00, in attuazione dell</w:t>
      </w:r>
      <w:r w:rsidR="00877AAF">
        <w:rPr>
          <w:sz w:val="24"/>
          <w:szCs w:val="24"/>
        </w:rPr>
        <w:t>’</w:t>
      </w:r>
      <w:r w:rsidRPr="00A00B73">
        <w:rPr>
          <w:sz w:val="24"/>
          <w:szCs w:val="24"/>
        </w:rPr>
        <w:t>articolo 17 del decreto-legge 9 agosto 2022, n. 115</w:t>
      </w:r>
      <w:r w:rsidR="00A354F4">
        <w:rPr>
          <w:sz w:val="24"/>
          <w:szCs w:val="24"/>
        </w:rPr>
        <w:t>,</w:t>
      </w:r>
      <w:r w:rsidRPr="00A00B73">
        <w:rPr>
          <w:sz w:val="24"/>
          <w:szCs w:val="24"/>
        </w:rPr>
        <w:t xml:space="preserve"> recante </w:t>
      </w:r>
      <w:r w:rsidRPr="00BA16DD">
        <w:rPr>
          <w:sz w:val="24"/>
          <w:szCs w:val="24"/>
        </w:rPr>
        <w:t>“Misure urgenti in materia di energia, emergenza idrica, politiche sociali e industriali”,</w:t>
      </w:r>
      <w:r w:rsidRPr="00A00B73">
        <w:rPr>
          <w:sz w:val="24"/>
          <w:szCs w:val="24"/>
        </w:rPr>
        <w:t xml:space="preserve"> convertito, con modificazioni, dalla legge 21 settembre 2022, n. 142</w:t>
      </w:r>
      <w:r w:rsidR="00BA16DD">
        <w:rPr>
          <w:sz w:val="24"/>
          <w:szCs w:val="24"/>
        </w:rPr>
        <w:t>,</w:t>
      </w:r>
      <w:r w:rsidRPr="00A00B73">
        <w:rPr>
          <w:sz w:val="24"/>
          <w:szCs w:val="24"/>
        </w:rPr>
        <w:t xml:space="preserve"> che ha disposto la riduzione dell</w:t>
      </w:r>
      <w:r w:rsidR="00877AAF">
        <w:rPr>
          <w:sz w:val="24"/>
          <w:szCs w:val="24"/>
        </w:rPr>
        <w:t>’</w:t>
      </w:r>
      <w:r w:rsidRPr="00A00B73">
        <w:rPr>
          <w:sz w:val="24"/>
          <w:szCs w:val="24"/>
        </w:rPr>
        <w:t>autorizzazione di spesa del fondo istituito dall</w:t>
      </w:r>
      <w:r w:rsidR="00877AAF">
        <w:rPr>
          <w:sz w:val="24"/>
          <w:szCs w:val="24"/>
        </w:rPr>
        <w:t>’</w:t>
      </w:r>
      <w:r w:rsidRPr="00A00B73">
        <w:rPr>
          <w:sz w:val="24"/>
          <w:szCs w:val="24"/>
        </w:rPr>
        <w:t>articolo 1, comma 140, della legge 11 dicembre 2016, n. 232, al fine di consentire il completamento della ricostruzione in relazione ai territori colpiti dagli eventi sismici</w:t>
      </w:r>
      <w:r w:rsidR="00840F2B">
        <w:rPr>
          <w:sz w:val="24"/>
          <w:szCs w:val="24"/>
        </w:rPr>
        <w:t xml:space="preserve"> del 20 e 29 maggio 2012 della Regione Emilia-Romagna, della Regione Lombardia e della R</w:t>
      </w:r>
      <w:r w:rsidRPr="00A00B73">
        <w:rPr>
          <w:sz w:val="24"/>
          <w:szCs w:val="24"/>
        </w:rPr>
        <w:t>egione Veneto, in favore dei Commissari delegati alla ricostruzione, applicata sul capitolo MEF 7458 “</w:t>
      </w:r>
      <w:r w:rsidRPr="00A00B73">
        <w:rPr>
          <w:i/>
          <w:sz w:val="24"/>
          <w:szCs w:val="24"/>
        </w:rPr>
        <w:t>Somma da trasferire alla Presidenza del Consiglio dei ministri per interventi relativi al rischio sismico delle infrastrutture a cura del Dipartimento Casa Italia</w:t>
      </w:r>
      <w:r w:rsidRPr="00A00B73">
        <w:rPr>
          <w:sz w:val="24"/>
          <w:szCs w:val="24"/>
        </w:rPr>
        <w:t>”</w:t>
      </w:r>
      <w:r w:rsidR="00F87A8D" w:rsidRPr="00A00B73">
        <w:rPr>
          <w:sz w:val="24"/>
          <w:szCs w:val="24"/>
        </w:rPr>
        <w:t>,</w:t>
      </w:r>
      <w:r w:rsidRPr="00A00B73">
        <w:rPr>
          <w:rFonts w:asciiTheme="minorHAnsi" w:eastAsiaTheme="minorHAnsi" w:hAnsiTheme="minorHAnsi" w:cstheme="minorBidi"/>
          <w:sz w:val="24"/>
          <w:szCs w:val="24"/>
          <w:lang w:eastAsia="en-US"/>
        </w:rPr>
        <w:t xml:space="preserve"> </w:t>
      </w:r>
      <w:r w:rsidRPr="00A00B73">
        <w:rPr>
          <w:sz w:val="24"/>
          <w:szCs w:val="24"/>
        </w:rPr>
        <w:t>iscritto nello stato di previsione del Ministero dell</w:t>
      </w:r>
      <w:r w:rsidR="00877AAF">
        <w:rPr>
          <w:sz w:val="24"/>
          <w:szCs w:val="24"/>
        </w:rPr>
        <w:t>’</w:t>
      </w:r>
      <w:r w:rsidRPr="00A00B73">
        <w:rPr>
          <w:sz w:val="24"/>
          <w:szCs w:val="24"/>
        </w:rPr>
        <w:t>economia e delle finanze.</w:t>
      </w:r>
      <w:r w:rsidRPr="00A00B73">
        <w:rPr>
          <w:rFonts w:asciiTheme="minorHAnsi" w:eastAsiaTheme="minorHAnsi" w:hAnsiTheme="minorHAnsi" w:cstheme="minorBidi"/>
          <w:sz w:val="24"/>
          <w:szCs w:val="24"/>
          <w:lang w:eastAsia="en-US"/>
        </w:rPr>
        <w:t xml:space="preserve"> </w:t>
      </w:r>
      <w:r w:rsidRPr="00A00B73">
        <w:rPr>
          <w:sz w:val="24"/>
          <w:szCs w:val="24"/>
        </w:rPr>
        <w:t>Con decreto del Presidente del Consiglio dei ministri n. 713/</w:t>
      </w:r>
      <w:proofErr w:type="spellStart"/>
      <w:r w:rsidRPr="00A00B73">
        <w:rPr>
          <w:sz w:val="24"/>
          <w:szCs w:val="24"/>
        </w:rPr>
        <w:t>Bil</w:t>
      </w:r>
      <w:proofErr w:type="spellEnd"/>
      <w:r w:rsidRPr="00A00B73">
        <w:rPr>
          <w:sz w:val="24"/>
          <w:szCs w:val="24"/>
        </w:rPr>
        <w:t xml:space="preserve"> del 30 dicembre 2022 si è provveduto ad adeguare gli stanziamenti dei corrispondenti capitoli di entrata 856 e di spesa 908 del bilancio della Presidenza del Consiglio dei ministri;</w:t>
      </w:r>
    </w:p>
    <w:p w14:paraId="5B482005" w14:textId="77777777" w:rsidR="00CE6817" w:rsidRPr="00A00B73" w:rsidRDefault="00CE6817" w:rsidP="00CE6817">
      <w:pPr>
        <w:pStyle w:val="Paragrafoelenco"/>
        <w:tabs>
          <w:tab w:val="left" w:pos="284"/>
        </w:tabs>
        <w:spacing w:line="360" w:lineRule="auto"/>
        <w:ind w:left="284"/>
        <w:jc w:val="both"/>
        <w:rPr>
          <w:sz w:val="8"/>
          <w:szCs w:val="24"/>
        </w:rPr>
      </w:pPr>
    </w:p>
    <w:p w14:paraId="79015886" w14:textId="1E0DE7A2"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euro 5.000.000,00, in attuazione dell</w:t>
      </w:r>
      <w:r w:rsidR="00877AAF">
        <w:rPr>
          <w:sz w:val="24"/>
          <w:szCs w:val="24"/>
        </w:rPr>
        <w:t>’</w:t>
      </w:r>
      <w:r w:rsidRPr="00A00B73">
        <w:rPr>
          <w:sz w:val="24"/>
          <w:szCs w:val="24"/>
        </w:rPr>
        <w:t>articolo 37, comma 1, lettera a), del decreto-legge 1° marzo 2022, n. 17</w:t>
      </w:r>
      <w:r w:rsidR="00D27065">
        <w:rPr>
          <w:sz w:val="24"/>
          <w:szCs w:val="24"/>
        </w:rPr>
        <w:t>,</w:t>
      </w:r>
      <w:r w:rsidRPr="00A00B73">
        <w:rPr>
          <w:sz w:val="24"/>
          <w:szCs w:val="24"/>
        </w:rPr>
        <w:t xml:space="preserve"> recante </w:t>
      </w:r>
      <w:r w:rsidRPr="00D27065">
        <w:rPr>
          <w:sz w:val="24"/>
          <w:szCs w:val="24"/>
        </w:rPr>
        <w:t>“Misure urgenti per il contenimento dei costi dell</w:t>
      </w:r>
      <w:r w:rsidR="00877AAF" w:rsidRPr="00D27065">
        <w:rPr>
          <w:sz w:val="24"/>
          <w:szCs w:val="24"/>
        </w:rPr>
        <w:t>’</w:t>
      </w:r>
      <w:r w:rsidRPr="00D27065">
        <w:rPr>
          <w:sz w:val="24"/>
          <w:szCs w:val="24"/>
        </w:rPr>
        <w:t>energia elettrica e del gas naturale, per lo sviluppo delle energie rinnovabili e per il rilancio delle politiche industriali”,</w:t>
      </w:r>
      <w:r w:rsidRPr="00A00B73">
        <w:rPr>
          <w:sz w:val="24"/>
          <w:szCs w:val="24"/>
        </w:rPr>
        <w:t xml:space="preserve">  convertito, con modificazioni, dalla legge 27 aprile 2022, n. 34, che</w:t>
      </w:r>
      <w:r w:rsidRPr="00A00B73">
        <w:rPr>
          <w:rFonts w:asciiTheme="minorHAnsi" w:eastAsiaTheme="minorHAnsi" w:hAnsiTheme="minorHAnsi" w:cstheme="minorBidi"/>
          <w:sz w:val="24"/>
          <w:szCs w:val="24"/>
          <w:lang w:eastAsia="en-US"/>
        </w:rPr>
        <w:t xml:space="preserve"> </w:t>
      </w:r>
      <w:r w:rsidRPr="00A00B73">
        <w:rPr>
          <w:rFonts w:eastAsiaTheme="minorHAnsi"/>
          <w:sz w:val="24"/>
          <w:szCs w:val="24"/>
          <w:lang w:eastAsia="en-US"/>
        </w:rPr>
        <w:t>ha</w:t>
      </w:r>
      <w:r w:rsidRPr="00A00B73">
        <w:rPr>
          <w:rFonts w:asciiTheme="minorHAnsi" w:eastAsiaTheme="minorHAnsi" w:hAnsiTheme="minorHAnsi" w:cstheme="minorBidi"/>
          <w:sz w:val="24"/>
          <w:szCs w:val="24"/>
          <w:lang w:eastAsia="en-US"/>
        </w:rPr>
        <w:t xml:space="preserve"> </w:t>
      </w:r>
      <w:r w:rsidRPr="00A00B73">
        <w:rPr>
          <w:sz w:val="24"/>
          <w:szCs w:val="24"/>
        </w:rPr>
        <w:t>modificato l</w:t>
      </w:r>
      <w:r w:rsidR="00877AAF">
        <w:rPr>
          <w:sz w:val="24"/>
          <w:szCs w:val="24"/>
        </w:rPr>
        <w:t>’</w:t>
      </w:r>
      <w:r w:rsidRPr="00A00B73">
        <w:rPr>
          <w:sz w:val="24"/>
          <w:szCs w:val="24"/>
        </w:rPr>
        <w:t>articolo 1, comma 447, della legge 30 dicembre 2021, n. 234, istitutivo di un apposito fondo da destinare alle attività e agli adempimenti connessi alla candidatura della città di Roma per ospitare l</w:t>
      </w:r>
      <w:r w:rsidR="00877AAF">
        <w:rPr>
          <w:sz w:val="24"/>
          <w:szCs w:val="24"/>
        </w:rPr>
        <w:t>’</w:t>
      </w:r>
      <w:r w:rsidRPr="00A00B73">
        <w:rPr>
          <w:sz w:val="24"/>
          <w:szCs w:val="24"/>
        </w:rPr>
        <w:t>Esposizione universale internazionale del 2030,</w:t>
      </w:r>
      <w:r w:rsidRPr="00A00B73">
        <w:rPr>
          <w:rFonts w:asciiTheme="minorHAnsi" w:eastAsiaTheme="minorHAnsi" w:hAnsiTheme="minorHAnsi" w:cstheme="minorBidi"/>
          <w:sz w:val="24"/>
          <w:szCs w:val="24"/>
          <w:lang w:eastAsia="en-US"/>
        </w:rPr>
        <w:t xml:space="preserve"> </w:t>
      </w:r>
      <w:r w:rsidRPr="00A00B73">
        <w:rPr>
          <w:sz w:val="24"/>
          <w:szCs w:val="24"/>
        </w:rPr>
        <w:t>al fine di consentire il diretto trasferimento del contributo statale alla città di Roma Capitale, in luogo della Presidenza del Consiglio dei ministri. Conseguentemente, il Ministero dell</w:t>
      </w:r>
      <w:r w:rsidR="00877AAF">
        <w:rPr>
          <w:sz w:val="24"/>
          <w:szCs w:val="24"/>
        </w:rPr>
        <w:t>’</w:t>
      </w:r>
      <w:r w:rsidRPr="00A00B73">
        <w:rPr>
          <w:sz w:val="24"/>
          <w:szCs w:val="24"/>
        </w:rPr>
        <w:t>economia e delle finanze ha provveduto a rinominare il pertinente capitolo MEF 2095 in “</w:t>
      </w:r>
      <w:r w:rsidRPr="00A00B73">
        <w:rPr>
          <w:i/>
          <w:sz w:val="24"/>
          <w:szCs w:val="24"/>
        </w:rPr>
        <w:t xml:space="preserve">Somma da trasferire a Roma Capitale per le attività connesse alla candidatura di Roma per EXPO 2030” </w:t>
      </w:r>
      <w:r w:rsidRPr="00A00B73">
        <w:rPr>
          <w:sz w:val="24"/>
          <w:szCs w:val="24"/>
        </w:rPr>
        <w:t>e</w:t>
      </w:r>
      <w:r w:rsidR="00FB0969" w:rsidRPr="00A00B73">
        <w:rPr>
          <w:sz w:val="24"/>
          <w:szCs w:val="24"/>
        </w:rPr>
        <w:t>,</w:t>
      </w:r>
      <w:r w:rsidRPr="00A00B73">
        <w:rPr>
          <w:sz w:val="24"/>
          <w:szCs w:val="24"/>
        </w:rPr>
        <w:t xml:space="preserve"> con decreto del Presidente</w:t>
      </w:r>
      <w:r w:rsidRPr="00A00B73">
        <w:rPr>
          <w:i/>
          <w:sz w:val="24"/>
          <w:szCs w:val="24"/>
        </w:rPr>
        <w:t xml:space="preserve"> </w:t>
      </w:r>
      <w:r w:rsidRPr="00A00B73">
        <w:rPr>
          <w:sz w:val="24"/>
          <w:szCs w:val="24"/>
        </w:rPr>
        <w:t>del Consiglio dei ministri n. 713/</w:t>
      </w:r>
      <w:proofErr w:type="spellStart"/>
      <w:r w:rsidRPr="00A00B73">
        <w:rPr>
          <w:sz w:val="24"/>
          <w:szCs w:val="24"/>
        </w:rPr>
        <w:t>Bil</w:t>
      </w:r>
      <w:proofErr w:type="spellEnd"/>
      <w:r w:rsidRPr="00A00B73">
        <w:rPr>
          <w:sz w:val="24"/>
          <w:szCs w:val="24"/>
        </w:rPr>
        <w:t xml:space="preserve"> del 30 dicembre 2022</w:t>
      </w:r>
      <w:r w:rsidR="00FB0969" w:rsidRPr="00A00B73">
        <w:rPr>
          <w:sz w:val="24"/>
          <w:szCs w:val="24"/>
        </w:rPr>
        <w:t>,</w:t>
      </w:r>
      <w:r w:rsidRPr="00A00B73">
        <w:rPr>
          <w:sz w:val="24"/>
          <w:szCs w:val="24"/>
        </w:rPr>
        <w:t xml:space="preserve"> si è provveduto ad adeguare gli stanziamenti dei corrispondenti capitoli di entrata 948 e di spesa 288 del bilancio della Presidenza del Consiglio dei ministri;</w:t>
      </w:r>
    </w:p>
    <w:p w14:paraId="43ADFE6C" w14:textId="77777777" w:rsidR="00CE6817" w:rsidRPr="00A00B73" w:rsidRDefault="00CE6817" w:rsidP="00CE6817">
      <w:pPr>
        <w:pStyle w:val="Paragrafoelenco"/>
        <w:tabs>
          <w:tab w:val="left" w:pos="284"/>
        </w:tabs>
        <w:spacing w:line="360" w:lineRule="auto"/>
        <w:ind w:left="284"/>
        <w:jc w:val="both"/>
        <w:rPr>
          <w:sz w:val="8"/>
          <w:szCs w:val="24"/>
        </w:rPr>
      </w:pPr>
    </w:p>
    <w:p w14:paraId="050644E3" w14:textId="59121E16"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lastRenderedPageBreak/>
        <w:t>euro 10.000.000,00, in attuazione dell</w:t>
      </w:r>
      <w:r w:rsidR="00877AAF">
        <w:rPr>
          <w:sz w:val="24"/>
          <w:szCs w:val="24"/>
        </w:rPr>
        <w:t>’</w:t>
      </w:r>
      <w:r w:rsidRPr="00A00B73">
        <w:rPr>
          <w:sz w:val="24"/>
          <w:szCs w:val="24"/>
        </w:rPr>
        <w:t>articolo 9-</w:t>
      </w:r>
      <w:r w:rsidRPr="00B43248">
        <w:rPr>
          <w:i/>
          <w:sz w:val="24"/>
          <w:szCs w:val="24"/>
        </w:rPr>
        <w:t>bis</w:t>
      </w:r>
      <w:r w:rsidRPr="00A00B73">
        <w:rPr>
          <w:sz w:val="24"/>
          <w:szCs w:val="24"/>
        </w:rPr>
        <w:t xml:space="preserve"> del decreto-legge 21 ottobre 2021, n. 146, recante “</w:t>
      </w:r>
      <w:r w:rsidRPr="00A00B73">
        <w:rPr>
          <w:i/>
          <w:sz w:val="24"/>
          <w:szCs w:val="24"/>
        </w:rPr>
        <w:t>Misure urgenti in materia economica e fiscale, a tutela del lavoro e per esigenze indifferibili”,</w:t>
      </w:r>
      <w:r w:rsidRPr="00A00B73">
        <w:rPr>
          <w:rFonts w:asciiTheme="minorHAnsi" w:eastAsiaTheme="minorHAnsi" w:hAnsiTheme="minorHAnsi" w:cstheme="minorBidi"/>
          <w:sz w:val="24"/>
          <w:szCs w:val="24"/>
          <w:lang w:eastAsia="en-US"/>
        </w:rPr>
        <w:t xml:space="preserve"> </w:t>
      </w:r>
      <w:r w:rsidRPr="00A00B73">
        <w:rPr>
          <w:sz w:val="24"/>
          <w:szCs w:val="24"/>
        </w:rPr>
        <w:t>convertito, con modificazioni, dalla legge 17 dicembre 2021, n. 215, che ha m</w:t>
      </w:r>
      <w:r w:rsidR="00F60FED">
        <w:rPr>
          <w:sz w:val="24"/>
          <w:szCs w:val="24"/>
        </w:rPr>
        <w:t>utato</w:t>
      </w:r>
      <w:r w:rsidRPr="00A00B73">
        <w:rPr>
          <w:sz w:val="24"/>
          <w:szCs w:val="24"/>
        </w:rPr>
        <w:t xml:space="preserve"> l</w:t>
      </w:r>
      <w:r w:rsidR="00877AAF">
        <w:rPr>
          <w:sz w:val="24"/>
          <w:szCs w:val="24"/>
        </w:rPr>
        <w:t>’</w:t>
      </w:r>
      <w:r w:rsidRPr="00A00B73">
        <w:rPr>
          <w:sz w:val="24"/>
          <w:szCs w:val="24"/>
        </w:rPr>
        <w:t>articolo 12-</w:t>
      </w:r>
      <w:r w:rsidRPr="00B43248">
        <w:rPr>
          <w:i/>
          <w:sz w:val="24"/>
          <w:szCs w:val="24"/>
        </w:rPr>
        <w:t>bis</w:t>
      </w:r>
      <w:r w:rsidRPr="00A00B73">
        <w:rPr>
          <w:sz w:val="24"/>
          <w:szCs w:val="24"/>
        </w:rPr>
        <w:t xml:space="preserve"> del decreto-legge 22 marzo 2021, n. 41, convertito, con modificazioni, dalla legge 21 maggio 2021, n. 69, istitutivo del fondo per genitori lavoratori separati o divorziati in stato di bisogno, al fine di garantire la continuità di erogazione dell</w:t>
      </w:r>
      <w:r w:rsidR="00877AAF">
        <w:rPr>
          <w:sz w:val="24"/>
          <w:szCs w:val="24"/>
        </w:rPr>
        <w:t>’</w:t>
      </w:r>
      <w:r w:rsidRPr="00A00B73">
        <w:rPr>
          <w:sz w:val="24"/>
          <w:szCs w:val="24"/>
        </w:rPr>
        <w:t>assegno di mantenimento, imputando la predetta dotazione finanziaria sull</w:t>
      </w:r>
      <w:r w:rsidR="00877AAF">
        <w:rPr>
          <w:sz w:val="24"/>
          <w:szCs w:val="24"/>
        </w:rPr>
        <w:t>’</w:t>
      </w:r>
      <w:r w:rsidRPr="00A00B73">
        <w:rPr>
          <w:sz w:val="24"/>
          <w:szCs w:val="24"/>
        </w:rPr>
        <w:t>esercizio finanziario 2022, in luogo dell</w:t>
      </w:r>
      <w:r w:rsidR="00877AAF">
        <w:rPr>
          <w:sz w:val="24"/>
          <w:szCs w:val="24"/>
        </w:rPr>
        <w:t>’</w:t>
      </w:r>
      <w:r w:rsidRPr="00A00B73">
        <w:rPr>
          <w:sz w:val="24"/>
          <w:szCs w:val="24"/>
        </w:rPr>
        <w:t xml:space="preserve">esercizio finanziario 2021. </w:t>
      </w:r>
      <w:r w:rsidR="000E6F36">
        <w:rPr>
          <w:sz w:val="24"/>
          <w:szCs w:val="24"/>
        </w:rPr>
        <w:t>I</w:t>
      </w:r>
      <w:r w:rsidR="000E6F36" w:rsidRPr="000E6F36">
        <w:rPr>
          <w:sz w:val="24"/>
          <w:szCs w:val="24"/>
        </w:rPr>
        <w:t>l Ministero dell’economia e delle finanze</w:t>
      </w:r>
      <w:r w:rsidR="000E6F36">
        <w:rPr>
          <w:sz w:val="24"/>
          <w:szCs w:val="24"/>
        </w:rPr>
        <w:t>, c</w:t>
      </w:r>
      <w:r w:rsidRPr="00A00B73">
        <w:rPr>
          <w:sz w:val="24"/>
          <w:szCs w:val="24"/>
        </w:rPr>
        <w:t>onsiderato che aveva già trasferito alla Presidenza del Consiglio dei ministri nell</w:t>
      </w:r>
      <w:r w:rsidR="00877AAF">
        <w:rPr>
          <w:sz w:val="24"/>
          <w:szCs w:val="24"/>
        </w:rPr>
        <w:t>’</w:t>
      </w:r>
      <w:r w:rsidRPr="00A00B73">
        <w:rPr>
          <w:sz w:val="24"/>
          <w:szCs w:val="24"/>
        </w:rPr>
        <w:t xml:space="preserve">esercizio finanziario 2021 le suddette risorse, al fine di evitare una doppia assegnazione, non ha provveduto a trasferire alla medesima Presidenza quelle stanziate con legge 30 dicembre 2021, n. 234, </w:t>
      </w:r>
      <w:r w:rsidRPr="002011A2">
        <w:rPr>
          <w:sz w:val="24"/>
          <w:szCs w:val="24"/>
        </w:rPr>
        <w:t>recante “Bilancio di previsione dello Stato per l</w:t>
      </w:r>
      <w:r w:rsidR="00877AAF" w:rsidRPr="002011A2">
        <w:rPr>
          <w:sz w:val="24"/>
          <w:szCs w:val="24"/>
        </w:rPr>
        <w:t>’</w:t>
      </w:r>
      <w:r w:rsidRPr="002011A2">
        <w:rPr>
          <w:sz w:val="24"/>
          <w:szCs w:val="24"/>
        </w:rPr>
        <w:t>anno finanziario 2022 e bilancio pluriennale per il triennio 2022-2024”</w:t>
      </w:r>
      <w:r w:rsidRPr="00A00B73">
        <w:rPr>
          <w:sz w:val="24"/>
          <w:szCs w:val="24"/>
        </w:rPr>
        <w:t xml:space="preserve"> per l</w:t>
      </w:r>
      <w:r w:rsidR="00877AAF">
        <w:rPr>
          <w:sz w:val="24"/>
          <w:szCs w:val="24"/>
        </w:rPr>
        <w:t>’</w:t>
      </w:r>
      <w:r w:rsidRPr="00A00B73">
        <w:rPr>
          <w:sz w:val="24"/>
          <w:szCs w:val="24"/>
        </w:rPr>
        <w:t xml:space="preserve">anno finanziario 2022 sul capitolo MEF 2079 </w:t>
      </w:r>
      <w:r w:rsidRPr="00A00B73">
        <w:rPr>
          <w:bCs/>
          <w:sz w:val="24"/>
          <w:szCs w:val="24"/>
        </w:rPr>
        <w:t>“</w:t>
      </w:r>
      <w:r w:rsidRPr="00A00B73">
        <w:rPr>
          <w:i/>
          <w:sz w:val="24"/>
          <w:szCs w:val="24"/>
        </w:rPr>
        <w:t>Somma da trasferire alla Presidenza del Consiglio dei ministri per il fondo per i genitori lavoratori separati o divorziati al fine di garantire la continuità di versamento dell</w:t>
      </w:r>
      <w:r w:rsidR="00877AAF">
        <w:rPr>
          <w:i/>
          <w:sz w:val="24"/>
          <w:szCs w:val="24"/>
        </w:rPr>
        <w:t>’</w:t>
      </w:r>
      <w:r w:rsidRPr="00A00B73">
        <w:rPr>
          <w:i/>
          <w:sz w:val="24"/>
          <w:szCs w:val="24"/>
        </w:rPr>
        <w:t>assegno di mantenimento”</w:t>
      </w:r>
      <w:r w:rsidRPr="00A00B73">
        <w:rPr>
          <w:bCs/>
          <w:sz w:val="24"/>
          <w:szCs w:val="24"/>
        </w:rPr>
        <w:t xml:space="preserve">, </w:t>
      </w:r>
      <w:r w:rsidRPr="00A00B73">
        <w:rPr>
          <w:sz w:val="24"/>
          <w:szCs w:val="24"/>
        </w:rPr>
        <w:t>iscritto sullo stato di previsione del Ministero stesso.</w:t>
      </w:r>
      <w:r w:rsidRPr="00A00B73">
        <w:rPr>
          <w:rFonts w:asciiTheme="minorHAnsi" w:eastAsiaTheme="minorHAnsi" w:hAnsiTheme="minorHAnsi" w:cstheme="minorBidi"/>
          <w:sz w:val="24"/>
          <w:szCs w:val="24"/>
          <w:lang w:eastAsia="en-US"/>
        </w:rPr>
        <w:t xml:space="preserve"> </w:t>
      </w:r>
      <w:r w:rsidRPr="00A00B73">
        <w:rPr>
          <w:rFonts w:eastAsiaTheme="minorHAnsi"/>
          <w:sz w:val="24"/>
          <w:szCs w:val="24"/>
          <w:lang w:eastAsia="en-US"/>
        </w:rPr>
        <w:t>Conseguentemente</w:t>
      </w:r>
      <w:r w:rsidRPr="00A00B73">
        <w:rPr>
          <w:rFonts w:asciiTheme="minorHAnsi" w:eastAsiaTheme="minorHAnsi" w:hAnsiTheme="minorHAnsi" w:cstheme="minorBidi"/>
          <w:sz w:val="24"/>
          <w:szCs w:val="24"/>
          <w:lang w:eastAsia="en-US"/>
        </w:rPr>
        <w:t xml:space="preserve">, </w:t>
      </w:r>
      <w:r w:rsidRPr="00A00B73">
        <w:rPr>
          <w:sz w:val="24"/>
          <w:szCs w:val="24"/>
        </w:rPr>
        <w:t>con decreto del Presidente</w:t>
      </w:r>
      <w:r w:rsidRPr="00A00B73">
        <w:rPr>
          <w:i/>
          <w:sz w:val="24"/>
          <w:szCs w:val="24"/>
        </w:rPr>
        <w:t xml:space="preserve"> </w:t>
      </w:r>
      <w:r w:rsidRPr="00A00B73">
        <w:rPr>
          <w:sz w:val="24"/>
          <w:szCs w:val="24"/>
        </w:rPr>
        <w:t>del Consiglio dei ministri n. 713/</w:t>
      </w:r>
      <w:proofErr w:type="spellStart"/>
      <w:r w:rsidRPr="00A00B73">
        <w:rPr>
          <w:sz w:val="24"/>
          <w:szCs w:val="24"/>
        </w:rPr>
        <w:t>Bil</w:t>
      </w:r>
      <w:proofErr w:type="spellEnd"/>
      <w:r w:rsidRPr="00A00B73">
        <w:rPr>
          <w:sz w:val="24"/>
          <w:szCs w:val="24"/>
        </w:rPr>
        <w:t xml:space="preserve"> del 30 dicembre 2022 si è provveduto ad adeguare gli stanziamenti dei corrispondenti capitoli di entrata 931 e di spesa 531 del bilancio della Presidenza del Consiglio dei ministri;</w:t>
      </w:r>
    </w:p>
    <w:p w14:paraId="5C8D6F29" w14:textId="77777777" w:rsidR="00CE6817" w:rsidRPr="00A00B73" w:rsidRDefault="00CE6817" w:rsidP="00CE6817">
      <w:pPr>
        <w:pStyle w:val="Paragrafoelenco"/>
        <w:tabs>
          <w:tab w:val="left" w:pos="284"/>
        </w:tabs>
        <w:spacing w:line="360" w:lineRule="auto"/>
        <w:ind w:left="284"/>
        <w:jc w:val="both"/>
        <w:rPr>
          <w:sz w:val="8"/>
          <w:szCs w:val="24"/>
        </w:rPr>
      </w:pPr>
    </w:p>
    <w:p w14:paraId="38EE68AA" w14:textId="2B906333"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 xml:space="preserve">euro 4.000.000,00, in attuazione </w:t>
      </w:r>
      <w:r w:rsidR="00ED1E47">
        <w:rPr>
          <w:sz w:val="24"/>
          <w:szCs w:val="24"/>
        </w:rPr>
        <w:t>del</w:t>
      </w:r>
      <w:r w:rsidRPr="00A00B73">
        <w:rPr>
          <w:sz w:val="24"/>
          <w:szCs w:val="24"/>
        </w:rPr>
        <w:t xml:space="preserve">la legge 30 dicembre 2021, n. 234, </w:t>
      </w:r>
      <w:r w:rsidR="00AA1509">
        <w:rPr>
          <w:sz w:val="24"/>
          <w:szCs w:val="24"/>
        </w:rPr>
        <w:t>che al</w:t>
      </w:r>
      <w:r w:rsidR="00FB0969" w:rsidRPr="00A00B73">
        <w:rPr>
          <w:sz w:val="24"/>
          <w:szCs w:val="24"/>
        </w:rPr>
        <w:t>l</w:t>
      </w:r>
      <w:r w:rsidR="00877AAF">
        <w:rPr>
          <w:sz w:val="24"/>
          <w:szCs w:val="24"/>
        </w:rPr>
        <w:t>’</w:t>
      </w:r>
      <w:r w:rsidRPr="00A00B73">
        <w:rPr>
          <w:sz w:val="24"/>
          <w:szCs w:val="24"/>
        </w:rPr>
        <w:t>articolo 1, comma 150</w:t>
      </w:r>
      <w:r w:rsidR="005B491F">
        <w:rPr>
          <w:sz w:val="24"/>
          <w:szCs w:val="24"/>
        </w:rPr>
        <w:t>,</w:t>
      </w:r>
      <w:r w:rsidRPr="00A00B73">
        <w:rPr>
          <w:sz w:val="24"/>
          <w:szCs w:val="24"/>
        </w:rPr>
        <w:t xml:space="preserve"> ha disposto l</w:t>
      </w:r>
      <w:r w:rsidR="00877AAF">
        <w:rPr>
          <w:sz w:val="24"/>
          <w:szCs w:val="24"/>
        </w:rPr>
        <w:t>’</w:t>
      </w:r>
      <w:r w:rsidRPr="00A00B73">
        <w:rPr>
          <w:sz w:val="24"/>
          <w:szCs w:val="24"/>
        </w:rPr>
        <w:t>abrogazione del comma 353 dell</w:t>
      </w:r>
      <w:r w:rsidR="00877AAF">
        <w:rPr>
          <w:sz w:val="24"/>
          <w:szCs w:val="24"/>
        </w:rPr>
        <w:t>’</w:t>
      </w:r>
      <w:r w:rsidRPr="00A00B73">
        <w:rPr>
          <w:sz w:val="24"/>
          <w:szCs w:val="24"/>
        </w:rPr>
        <w:t>articolo 1 della legge 27 dicembre 2019, n. 160</w:t>
      </w:r>
      <w:r w:rsidR="00ED1E47">
        <w:rPr>
          <w:sz w:val="24"/>
          <w:szCs w:val="24"/>
        </w:rPr>
        <w:t>,</w:t>
      </w:r>
      <w:r w:rsidRPr="00A00B73">
        <w:rPr>
          <w:sz w:val="24"/>
          <w:szCs w:val="24"/>
        </w:rPr>
        <w:t xml:space="preserve">  che prevedeva l</w:t>
      </w:r>
      <w:r w:rsidR="00877AAF">
        <w:rPr>
          <w:sz w:val="24"/>
          <w:szCs w:val="24"/>
        </w:rPr>
        <w:t>’</w:t>
      </w:r>
      <w:r w:rsidRPr="00A00B73">
        <w:rPr>
          <w:sz w:val="24"/>
          <w:szCs w:val="24"/>
        </w:rPr>
        <w:t>incremento di 4 milioni di euro per ciascuno degli anni 2020, 2021 e 2022 per il finanziamento del Piano d</w:t>
      </w:r>
      <w:r w:rsidR="00877AAF">
        <w:rPr>
          <w:sz w:val="24"/>
          <w:szCs w:val="24"/>
        </w:rPr>
        <w:t>’</w:t>
      </w:r>
      <w:r w:rsidRPr="00A00B73">
        <w:rPr>
          <w:sz w:val="24"/>
          <w:szCs w:val="24"/>
        </w:rPr>
        <w:t>azione straordinario contro la violenza sessuale e di genere, di cui all</w:t>
      </w:r>
      <w:r w:rsidR="00877AAF">
        <w:rPr>
          <w:sz w:val="24"/>
          <w:szCs w:val="24"/>
        </w:rPr>
        <w:t>’</w:t>
      </w:r>
      <w:r w:rsidRPr="00A00B73">
        <w:rPr>
          <w:sz w:val="24"/>
          <w:szCs w:val="24"/>
        </w:rPr>
        <w:t xml:space="preserve">articolo 5 del decreto-legge 14 agosto 2013, n. 93, recante </w:t>
      </w:r>
      <w:r w:rsidRPr="005B491F">
        <w:rPr>
          <w:sz w:val="24"/>
          <w:szCs w:val="24"/>
        </w:rPr>
        <w:t>“Disposizioni urgenti in materia di sicurezza e per il contrasto della violenza di genere, nonché in tema di protezione civile e di commissariamento delle province”,</w:t>
      </w:r>
      <w:r w:rsidRPr="00A00B73">
        <w:rPr>
          <w:sz w:val="24"/>
          <w:szCs w:val="24"/>
        </w:rPr>
        <w:t xml:space="preserve"> convertito, con modificazioni, dalla legge 15 ottobre 2013, n. 119</w:t>
      </w:r>
      <w:r w:rsidR="00D407C4">
        <w:rPr>
          <w:sz w:val="24"/>
          <w:szCs w:val="24"/>
        </w:rPr>
        <w:t xml:space="preserve">. A tal fine è stato autorizzato </w:t>
      </w:r>
      <w:r w:rsidRPr="00C20E69">
        <w:rPr>
          <w:sz w:val="24"/>
          <w:szCs w:val="24"/>
        </w:rPr>
        <w:t>il Ministero dell</w:t>
      </w:r>
      <w:r w:rsidR="00877AAF">
        <w:rPr>
          <w:sz w:val="24"/>
          <w:szCs w:val="24"/>
        </w:rPr>
        <w:t>’</w:t>
      </w:r>
      <w:r w:rsidRPr="00C20E69">
        <w:rPr>
          <w:sz w:val="24"/>
          <w:szCs w:val="24"/>
        </w:rPr>
        <w:t>economia e delle finanze ad apportare, con propri decreti, le occorrenti variazioni di bilancio,</w:t>
      </w:r>
      <w:r w:rsidRPr="00C20E69">
        <w:rPr>
          <w:rFonts w:asciiTheme="minorHAnsi" w:eastAsiaTheme="minorHAnsi" w:hAnsiTheme="minorHAnsi" w:cstheme="minorBidi"/>
          <w:sz w:val="24"/>
          <w:szCs w:val="24"/>
          <w:lang w:eastAsia="en-US"/>
        </w:rPr>
        <w:t xml:space="preserve"> </w:t>
      </w:r>
      <w:r w:rsidRPr="00C20E69">
        <w:rPr>
          <w:sz w:val="24"/>
          <w:szCs w:val="24"/>
        </w:rPr>
        <w:t>applicat</w:t>
      </w:r>
      <w:r w:rsidR="00D407C4">
        <w:rPr>
          <w:sz w:val="24"/>
          <w:szCs w:val="24"/>
        </w:rPr>
        <w:t>e</w:t>
      </w:r>
      <w:r w:rsidRPr="00A00B73">
        <w:rPr>
          <w:sz w:val="24"/>
          <w:szCs w:val="24"/>
        </w:rPr>
        <w:t xml:space="preserve"> sul capitolo MEF 2108 “</w:t>
      </w:r>
      <w:r w:rsidRPr="00A00B73">
        <w:rPr>
          <w:i/>
          <w:sz w:val="24"/>
          <w:szCs w:val="24"/>
        </w:rPr>
        <w:t>Somme da corrispondere alla Presidenza del Consiglio dei ministri per le politiche delle pari opportunità</w:t>
      </w:r>
      <w:r w:rsidRPr="00A00B73">
        <w:rPr>
          <w:sz w:val="24"/>
          <w:szCs w:val="24"/>
        </w:rPr>
        <w:t>”</w:t>
      </w:r>
      <w:r w:rsidR="00ED1E47">
        <w:rPr>
          <w:sz w:val="24"/>
          <w:szCs w:val="24"/>
        </w:rPr>
        <w:t>,</w:t>
      </w:r>
      <w:r w:rsidRPr="00A00B73">
        <w:rPr>
          <w:sz w:val="24"/>
          <w:szCs w:val="24"/>
        </w:rPr>
        <w:t xml:space="preserve"> iscritto nello stato di previsione del Ministero dell</w:t>
      </w:r>
      <w:r w:rsidR="00877AAF">
        <w:rPr>
          <w:sz w:val="24"/>
          <w:szCs w:val="24"/>
        </w:rPr>
        <w:t>’</w:t>
      </w:r>
      <w:r w:rsidRPr="00A00B73">
        <w:rPr>
          <w:sz w:val="24"/>
          <w:szCs w:val="24"/>
        </w:rPr>
        <w:t>economia e delle finanze. Con decreto del Presidente del Consiglio dei ministri n. 713/</w:t>
      </w:r>
      <w:proofErr w:type="spellStart"/>
      <w:r w:rsidRPr="00A00B73">
        <w:rPr>
          <w:sz w:val="24"/>
          <w:szCs w:val="24"/>
        </w:rPr>
        <w:t>Bil</w:t>
      </w:r>
      <w:proofErr w:type="spellEnd"/>
      <w:r w:rsidRPr="00A00B73">
        <w:rPr>
          <w:sz w:val="24"/>
          <w:szCs w:val="24"/>
        </w:rPr>
        <w:t xml:space="preserve"> del 30 dicembre 2022 si è provveduto ad adeguare gli stanziamenti dei corrispondenti capitoli di entrata 815 e di spesa 496 del bilancio della Presidenza del Consiglio dei ministri;</w:t>
      </w:r>
    </w:p>
    <w:p w14:paraId="2D320365" w14:textId="77777777" w:rsidR="00CE6817" w:rsidRPr="00A00B73" w:rsidRDefault="00CE6817" w:rsidP="00CE6817">
      <w:pPr>
        <w:pStyle w:val="Paragrafoelenco"/>
        <w:tabs>
          <w:tab w:val="left" w:pos="284"/>
        </w:tabs>
        <w:spacing w:line="360" w:lineRule="auto"/>
        <w:ind w:left="284"/>
        <w:jc w:val="both"/>
        <w:rPr>
          <w:sz w:val="8"/>
          <w:szCs w:val="24"/>
        </w:rPr>
      </w:pPr>
    </w:p>
    <w:p w14:paraId="72B91806" w14:textId="52F2BBCA" w:rsidR="00CE6817" w:rsidRPr="00A00B73" w:rsidRDefault="00CE6817" w:rsidP="00CE6817">
      <w:pPr>
        <w:pStyle w:val="Paragrafoelenco"/>
        <w:numPr>
          <w:ilvl w:val="0"/>
          <w:numId w:val="17"/>
        </w:numPr>
        <w:tabs>
          <w:tab w:val="left" w:pos="284"/>
        </w:tabs>
        <w:spacing w:line="360" w:lineRule="auto"/>
        <w:ind w:left="284" w:hanging="284"/>
        <w:jc w:val="both"/>
        <w:rPr>
          <w:sz w:val="24"/>
          <w:szCs w:val="24"/>
        </w:rPr>
      </w:pPr>
      <w:r w:rsidRPr="00A00B73">
        <w:rPr>
          <w:sz w:val="24"/>
          <w:szCs w:val="24"/>
        </w:rPr>
        <w:t xml:space="preserve">euro 2.400.000,00, per effetto della rimodulazione degli accreditamenti in relazione ai minori oneri accertati del fabbisogno finanziario connesso al contingente di personale competente per </w:t>
      </w:r>
      <w:r w:rsidRPr="00A00B73">
        <w:rPr>
          <w:sz w:val="24"/>
          <w:szCs w:val="24"/>
        </w:rPr>
        <w:lastRenderedPageBreak/>
        <w:t>l</w:t>
      </w:r>
      <w:r w:rsidR="00877AAF">
        <w:rPr>
          <w:sz w:val="24"/>
          <w:szCs w:val="24"/>
        </w:rPr>
        <w:t>’</w:t>
      </w:r>
      <w:r w:rsidRPr="00A00B73">
        <w:rPr>
          <w:sz w:val="24"/>
          <w:szCs w:val="24"/>
        </w:rPr>
        <w:t>innovazione tecnologica e la transizione digitale previsto dall</w:t>
      </w:r>
      <w:r w:rsidR="00877AAF">
        <w:rPr>
          <w:sz w:val="24"/>
          <w:szCs w:val="24"/>
        </w:rPr>
        <w:t>’</w:t>
      </w:r>
      <w:r w:rsidRPr="00A00B73">
        <w:rPr>
          <w:sz w:val="24"/>
          <w:szCs w:val="24"/>
        </w:rPr>
        <w:t xml:space="preserve">articolo 8 del decreto-legge 1° marzo 2021, n. 22, recante </w:t>
      </w:r>
      <w:r w:rsidRPr="002A6FEB">
        <w:rPr>
          <w:sz w:val="24"/>
          <w:szCs w:val="24"/>
        </w:rPr>
        <w:t>“Disposizioni urgenti in materia di riordino delle attribuzioni dei Ministeri”, convertito, con mod</w:t>
      </w:r>
      <w:r w:rsidRPr="00A00B73">
        <w:rPr>
          <w:sz w:val="24"/>
          <w:szCs w:val="24"/>
        </w:rPr>
        <w:t>ificazioni, dalla legge 22 aprile 2021, n. 55, rispetto allo stanziamento di euro 3.200.000,00 annui a decorrere dall</w:t>
      </w:r>
      <w:r w:rsidR="00877AAF">
        <w:rPr>
          <w:sz w:val="24"/>
          <w:szCs w:val="24"/>
        </w:rPr>
        <w:t>’</w:t>
      </w:r>
      <w:r w:rsidRPr="00A00B73">
        <w:rPr>
          <w:sz w:val="24"/>
          <w:szCs w:val="24"/>
        </w:rPr>
        <w:t>anno 2022</w:t>
      </w:r>
      <w:r w:rsidR="00ED1E47">
        <w:rPr>
          <w:sz w:val="24"/>
          <w:szCs w:val="24"/>
        </w:rPr>
        <w:t>,</w:t>
      </w:r>
      <w:r w:rsidRPr="00A00B73">
        <w:rPr>
          <w:sz w:val="24"/>
          <w:szCs w:val="24"/>
        </w:rPr>
        <w:t xml:space="preserve"> previsto dal comma 9 del suddetto articolo 8 e applicata sul capitolo MEF 2144 “</w:t>
      </w:r>
      <w:r w:rsidRPr="00A00B73">
        <w:rPr>
          <w:i/>
          <w:iCs/>
          <w:sz w:val="24"/>
          <w:szCs w:val="24"/>
        </w:rPr>
        <w:t>Somma da trasferire alla Presidenza del Consiglio dei ministri per le spese di personale, in possesso di specifica ed elevata competenza, della Struttura per l</w:t>
      </w:r>
      <w:r w:rsidR="00877AAF">
        <w:rPr>
          <w:i/>
          <w:iCs/>
          <w:sz w:val="24"/>
          <w:szCs w:val="24"/>
        </w:rPr>
        <w:t>’</w:t>
      </w:r>
      <w:r w:rsidRPr="00A00B73">
        <w:rPr>
          <w:i/>
          <w:iCs/>
          <w:sz w:val="24"/>
          <w:szCs w:val="24"/>
        </w:rPr>
        <w:t>innovazione tecnologica e la transizione digitale</w:t>
      </w:r>
      <w:r w:rsidRPr="00A00B73">
        <w:rPr>
          <w:i/>
          <w:sz w:val="24"/>
          <w:szCs w:val="24"/>
        </w:rPr>
        <w:t>”,</w:t>
      </w:r>
      <w:r w:rsidRPr="00A00B73">
        <w:rPr>
          <w:sz w:val="24"/>
          <w:szCs w:val="24"/>
        </w:rPr>
        <w:t xml:space="preserve"> iscritto nello stato di previsione del Ministero dell</w:t>
      </w:r>
      <w:r w:rsidR="00877AAF">
        <w:rPr>
          <w:sz w:val="24"/>
          <w:szCs w:val="24"/>
        </w:rPr>
        <w:t>’</w:t>
      </w:r>
      <w:r w:rsidRPr="00A00B73">
        <w:rPr>
          <w:sz w:val="24"/>
          <w:szCs w:val="24"/>
        </w:rPr>
        <w:t>economia e delle finanze. Con decreto del Presidente del Consiglio dei ministri n. 713/</w:t>
      </w:r>
      <w:proofErr w:type="spellStart"/>
      <w:r w:rsidRPr="00A00B73">
        <w:rPr>
          <w:sz w:val="24"/>
          <w:szCs w:val="24"/>
        </w:rPr>
        <w:t>Bil</w:t>
      </w:r>
      <w:proofErr w:type="spellEnd"/>
      <w:r w:rsidRPr="00A00B73">
        <w:rPr>
          <w:sz w:val="24"/>
          <w:szCs w:val="24"/>
        </w:rPr>
        <w:t xml:space="preserve"> del 30 dicembre 2022 si è provveduto ad adeguare gli stanziamenti dei corrispondenti capitoli di entrata 927 e di spesa 515 e 516 del</w:t>
      </w:r>
      <w:r w:rsidRPr="00A00B73">
        <w:rPr>
          <w:rFonts w:asciiTheme="minorHAnsi" w:eastAsiaTheme="minorHAnsi" w:hAnsiTheme="minorHAnsi" w:cstheme="minorBidi"/>
          <w:sz w:val="24"/>
          <w:szCs w:val="24"/>
          <w:lang w:eastAsia="en-US"/>
        </w:rPr>
        <w:t xml:space="preserve"> </w:t>
      </w:r>
      <w:r w:rsidRPr="00A00B73">
        <w:rPr>
          <w:sz w:val="24"/>
          <w:szCs w:val="24"/>
        </w:rPr>
        <w:t>bilancio della Presidenza del Consiglio dei ministri;</w:t>
      </w:r>
    </w:p>
    <w:p w14:paraId="41DB9252" w14:textId="77777777" w:rsidR="00CE6817" w:rsidRPr="00A00B73" w:rsidRDefault="00CE6817" w:rsidP="00CE6817">
      <w:pPr>
        <w:pStyle w:val="Paragrafoelenco"/>
        <w:tabs>
          <w:tab w:val="left" w:pos="284"/>
        </w:tabs>
        <w:spacing w:line="360" w:lineRule="auto"/>
        <w:ind w:left="284"/>
        <w:jc w:val="both"/>
        <w:rPr>
          <w:sz w:val="10"/>
          <w:szCs w:val="24"/>
        </w:rPr>
      </w:pPr>
    </w:p>
    <w:p w14:paraId="69B54C47" w14:textId="21B31534" w:rsidR="00D407C4" w:rsidRPr="00E11661" w:rsidRDefault="00CE6817" w:rsidP="00D407C4">
      <w:pPr>
        <w:pStyle w:val="Paragrafoelenco"/>
        <w:numPr>
          <w:ilvl w:val="0"/>
          <w:numId w:val="17"/>
        </w:numPr>
        <w:tabs>
          <w:tab w:val="left" w:pos="284"/>
        </w:tabs>
        <w:spacing w:line="360" w:lineRule="auto"/>
        <w:ind w:left="284" w:hanging="284"/>
        <w:jc w:val="both"/>
        <w:rPr>
          <w:sz w:val="24"/>
          <w:szCs w:val="24"/>
        </w:rPr>
      </w:pPr>
      <w:r w:rsidRPr="00A00B73">
        <w:rPr>
          <w:sz w:val="24"/>
          <w:szCs w:val="24"/>
        </w:rPr>
        <w:t>euro 24.037.423,00, per effetto del venir meno dei presupposti previsti dall</w:t>
      </w:r>
      <w:r w:rsidR="00877AAF">
        <w:rPr>
          <w:sz w:val="24"/>
          <w:szCs w:val="24"/>
        </w:rPr>
        <w:t>’</w:t>
      </w:r>
      <w:r w:rsidRPr="00A00B73">
        <w:rPr>
          <w:sz w:val="24"/>
          <w:szCs w:val="24"/>
        </w:rPr>
        <w:t>articolo 1, commi da 179 a 183, della legge 30 dicembre 2018, n. 145, che ha disposto l</w:t>
      </w:r>
      <w:r w:rsidR="00877AAF">
        <w:rPr>
          <w:sz w:val="24"/>
          <w:szCs w:val="24"/>
        </w:rPr>
        <w:t>’</w:t>
      </w:r>
      <w:r w:rsidRPr="00A00B73">
        <w:rPr>
          <w:sz w:val="24"/>
          <w:szCs w:val="24"/>
        </w:rPr>
        <w:t xml:space="preserve">istituzione presso la Presidenza del Consiglio dei ministri della Struttura di </w:t>
      </w:r>
      <w:r w:rsidR="00B412B9">
        <w:rPr>
          <w:sz w:val="24"/>
          <w:szCs w:val="24"/>
        </w:rPr>
        <w:t>m</w:t>
      </w:r>
      <w:r w:rsidRPr="00A00B73">
        <w:rPr>
          <w:sz w:val="24"/>
          <w:szCs w:val="24"/>
        </w:rPr>
        <w:t>issione denominata “</w:t>
      </w:r>
      <w:proofErr w:type="spellStart"/>
      <w:r w:rsidRPr="00A00B73">
        <w:rPr>
          <w:sz w:val="24"/>
          <w:szCs w:val="24"/>
        </w:rPr>
        <w:t>InvestItalia</w:t>
      </w:r>
      <w:proofErr w:type="spellEnd"/>
      <w:r w:rsidRPr="00A00B73">
        <w:rPr>
          <w:sz w:val="24"/>
          <w:szCs w:val="24"/>
        </w:rPr>
        <w:t xml:space="preserve">”, cessata in data 15 settembre 2021. La predetta riduzione è applicata sul capitolo MEF 2107 </w:t>
      </w:r>
      <w:r w:rsidRPr="00A00B73">
        <w:rPr>
          <w:rFonts w:eastAsia="Calibri"/>
          <w:sz w:val="24"/>
          <w:szCs w:val="24"/>
        </w:rPr>
        <w:t>“</w:t>
      </w:r>
      <w:r w:rsidRPr="00A00B73">
        <w:rPr>
          <w:rFonts w:eastAsia="Calibri"/>
          <w:i/>
          <w:sz w:val="24"/>
          <w:szCs w:val="24"/>
        </w:rPr>
        <w:t xml:space="preserve">Somma da trasferire alla Presidenza del Consiglio dei ministri per la struttura di missione denominata </w:t>
      </w:r>
      <w:proofErr w:type="spellStart"/>
      <w:r w:rsidRPr="00A00B73">
        <w:rPr>
          <w:rFonts w:eastAsia="Calibri"/>
          <w:i/>
          <w:sz w:val="24"/>
          <w:szCs w:val="24"/>
        </w:rPr>
        <w:t>InvestItalia</w:t>
      </w:r>
      <w:proofErr w:type="spellEnd"/>
      <w:r w:rsidRPr="00A00B73">
        <w:rPr>
          <w:rFonts w:eastAsia="Calibri"/>
          <w:i/>
          <w:sz w:val="24"/>
          <w:szCs w:val="24"/>
        </w:rPr>
        <w:t>, per il coordinamento delle politiche di governo e dell</w:t>
      </w:r>
      <w:r w:rsidR="00877AAF">
        <w:rPr>
          <w:rFonts w:eastAsia="Calibri"/>
          <w:i/>
          <w:sz w:val="24"/>
          <w:szCs w:val="24"/>
        </w:rPr>
        <w:t>’</w:t>
      </w:r>
      <w:r w:rsidRPr="00A00B73">
        <w:rPr>
          <w:rFonts w:eastAsia="Calibri"/>
          <w:i/>
          <w:sz w:val="24"/>
          <w:szCs w:val="24"/>
        </w:rPr>
        <w:t>indirizzo politico e amministrativo in materia di investimenti pubblici e privati</w:t>
      </w:r>
      <w:proofErr w:type="gramStart"/>
      <w:r w:rsidRPr="00A00B73">
        <w:rPr>
          <w:rFonts w:eastAsia="Calibri"/>
          <w:sz w:val="24"/>
          <w:szCs w:val="24"/>
        </w:rPr>
        <w:t xml:space="preserve">”, </w:t>
      </w:r>
      <w:r w:rsidRPr="00A00B73">
        <w:rPr>
          <w:rFonts w:asciiTheme="minorHAnsi" w:eastAsiaTheme="minorHAnsi" w:hAnsiTheme="minorHAnsi" w:cstheme="minorBidi"/>
          <w:sz w:val="24"/>
          <w:szCs w:val="24"/>
          <w:lang w:eastAsia="en-US"/>
        </w:rPr>
        <w:t xml:space="preserve"> </w:t>
      </w:r>
      <w:r w:rsidRPr="00A00B73">
        <w:rPr>
          <w:rFonts w:eastAsia="Calibri"/>
          <w:sz w:val="24"/>
          <w:szCs w:val="24"/>
        </w:rPr>
        <w:t>iscritto</w:t>
      </w:r>
      <w:proofErr w:type="gramEnd"/>
      <w:r w:rsidRPr="00A00B73">
        <w:rPr>
          <w:rFonts w:eastAsia="Calibri"/>
          <w:sz w:val="24"/>
          <w:szCs w:val="24"/>
        </w:rPr>
        <w:t xml:space="preserve"> nello stato di previsione del Ministero dell</w:t>
      </w:r>
      <w:r w:rsidR="00877AAF">
        <w:rPr>
          <w:rFonts w:eastAsia="Calibri"/>
          <w:sz w:val="24"/>
          <w:szCs w:val="24"/>
        </w:rPr>
        <w:t>’</w:t>
      </w:r>
      <w:r w:rsidRPr="00A00B73">
        <w:rPr>
          <w:rFonts w:eastAsia="Calibri"/>
          <w:sz w:val="24"/>
          <w:szCs w:val="24"/>
        </w:rPr>
        <w:t>economia e delle finanze.</w:t>
      </w:r>
      <w:r w:rsidRPr="00A00B73">
        <w:rPr>
          <w:rFonts w:asciiTheme="minorHAnsi" w:eastAsiaTheme="minorHAnsi" w:hAnsiTheme="minorHAnsi" w:cstheme="minorBidi"/>
          <w:sz w:val="24"/>
          <w:szCs w:val="24"/>
          <w:lang w:eastAsia="en-US"/>
        </w:rPr>
        <w:t xml:space="preserve"> </w:t>
      </w:r>
      <w:r w:rsidRPr="00A00B73">
        <w:rPr>
          <w:rFonts w:eastAsia="Calibri"/>
          <w:sz w:val="24"/>
          <w:szCs w:val="24"/>
        </w:rPr>
        <w:t>Con decreto del Presidente del Consiglio dei ministri n. 713/</w:t>
      </w:r>
      <w:proofErr w:type="spellStart"/>
      <w:r w:rsidRPr="00A00B73">
        <w:rPr>
          <w:rFonts w:eastAsia="Calibri"/>
          <w:sz w:val="24"/>
          <w:szCs w:val="24"/>
        </w:rPr>
        <w:t>Bil</w:t>
      </w:r>
      <w:proofErr w:type="spellEnd"/>
      <w:r w:rsidRPr="00A00B73">
        <w:rPr>
          <w:rFonts w:eastAsia="Calibri"/>
          <w:sz w:val="24"/>
          <w:szCs w:val="24"/>
        </w:rPr>
        <w:t xml:space="preserve"> del 30 dicembre 2022 si è provveduto ad adeguare gli stanziamenti dei corrispondenti capitoli di entrata 851 e di spesa 205 del bilancio della Presidenza del Consiglio dei ministri.</w:t>
      </w:r>
    </w:p>
    <w:p w14:paraId="213E51E7" w14:textId="77777777" w:rsidR="00004D9E" w:rsidRDefault="00004D9E" w:rsidP="00D407C4">
      <w:pPr>
        <w:tabs>
          <w:tab w:val="left" w:pos="9180"/>
        </w:tabs>
        <w:spacing w:after="120" w:line="360" w:lineRule="auto"/>
        <w:jc w:val="both"/>
        <w:rPr>
          <w:rFonts w:ascii="Times New Roman" w:eastAsia="Times New Roman" w:hAnsi="Times New Roman" w:cs="Times New Roman"/>
          <w:sz w:val="24"/>
          <w:szCs w:val="24"/>
          <w:lang w:eastAsia="it-IT"/>
        </w:rPr>
      </w:pPr>
    </w:p>
    <w:p w14:paraId="6AC6B845" w14:textId="25DD6D17" w:rsidR="00CE6817" w:rsidRPr="00855707" w:rsidRDefault="00CE6817" w:rsidP="00D407C4">
      <w:pPr>
        <w:tabs>
          <w:tab w:val="left" w:pos="9180"/>
        </w:tabs>
        <w:spacing w:after="120" w:line="360" w:lineRule="auto"/>
        <w:jc w:val="both"/>
        <w:rPr>
          <w:rFonts w:ascii="Times New Roman" w:eastAsia="Times New Roman" w:hAnsi="Times New Roman" w:cs="Times New Roman"/>
          <w:sz w:val="24"/>
          <w:szCs w:val="24"/>
          <w:lang w:eastAsia="it-IT"/>
        </w:rPr>
      </w:pPr>
      <w:r w:rsidRPr="002D7CDE">
        <w:rPr>
          <w:rFonts w:ascii="Times New Roman" w:eastAsia="Times New Roman" w:hAnsi="Times New Roman" w:cs="Times New Roman"/>
          <w:sz w:val="24"/>
          <w:szCs w:val="24"/>
          <w:lang w:eastAsia="it-IT"/>
        </w:rPr>
        <w:t xml:space="preserve">Si espongono, inoltre, </w:t>
      </w:r>
      <w:r w:rsidR="00D407C4">
        <w:rPr>
          <w:rFonts w:ascii="Times New Roman" w:eastAsia="Times New Roman" w:hAnsi="Times New Roman" w:cs="Times New Roman"/>
          <w:sz w:val="24"/>
          <w:szCs w:val="24"/>
          <w:lang w:eastAsia="it-IT"/>
        </w:rPr>
        <w:t xml:space="preserve">nella seguente </w:t>
      </w:r>
      <w:r w:rsidR="0023445E" w:rsidRPr="00AA24BB">
        <w:rPr>
          <w:rFonts w:ascii="Times New Roman" w:eastAsia="Times New Roman" w:hAnsi="Times New Roman" w:cs="Times New Roman"/>
          <w:sz w:val="24"/>
          <w:szCs w:val="24"/>
          <w:lang w:eastAsia="it-IT"/>
        </w:rPr>
        <w:t>T</w:t>
      </w:r>
      <w:r w:rsidR="00D407C4" w:rsidRPr="00AA24BB">
        <w:rPr>
          <w:rFonts w:ascii="Times New Roman" w:eastAsia="Times New Roman" w:hAnsi="Times New Roman" w:cs="Times New Roman"/>
          <w:sz w:val="24"/>
          <w:szCs w:val="24"/>
          <w:lang w:eastAsia="it-IT"/>
        </w:rPr>
        <w:t xml:space="preserve">abella </w:t>
      </w:r>
      <w:r w:rsidR="00680918" w:rsidRPr="00AA24BB">
        <w:rPr>
          <w:rFonts w:ascii="Times New Roman" w:eastAsia="Times New Roman" w:hAnsi="Times New Roman" w:cs="Times New Roman"/>
          <w:sz w:val="24"/>
          <w:szCs w:val="24"/>
          <w:lang w:eastAsia="it-IT"/>
        </w:rPr>
        <w:t>6</w:t>
      </w:r>
      <w:r w:rsidRPr="00AA24BB">
        <w:rPr>
          <w:rFonts w:ascii="Times New Roman" w:eastAsia="Times New Roman" w:hAnsi="Times New Roman" w:cs="Times New Roman"/>
          <w:sz w:val="24"/>
          <w:szCs w:val="24"/>
          <w:lang w:eastAsia="it-IT"/>
        </w:rPr>
        <w:t>,</w:t>
      </w:r>
      <w:r w:rsidRPr="002D7CDE">
        <w:rPr>
          <w:rFonts w:ascii="Times New Roman" w:eastAsia="Times New Roman" w:hAnsi="Times New Roman" w:cs="Times New Roman"/>
          <w:sz w:val="24"/>
          <w:szCs w:val="24"/>
          <w:lang w:eastAsia="it-IT"/>
        </w:rPr>
        <w:t xml:space="preserve"> le disposizioni di legge che hanno comportato nel corso del 2022 </w:t>
      </w:r>
      <w:r w:rsidR="00D407C4">
        <w:rPr>
          <w:rFonts w:ascii="Times New Roman" w:eastAsia="Times New Roman" w:hAnsi="Times New Roman" w:cs="Times New Roman"/>
          <w:sz w:val="24"/>
          <w:szCs w:val="24"/>
          <w:lang w:eastAsia="it-IT"/>
        </w:rPr>
        <w:t xml:space="preserve">riduzioni della spesa e i conseguenti </w:t>
      </w:r>
      <w:r w:rsidRPr="002D7CDE">
        <w:rPr>
          <w:rFonts w:ascii="Times New Roman" w:eastAsia="Times New Roman" w:hAnsi="Times New Roman" w:cs="Times New Roman"/>
          <w:sz w:val="24"/>
          <w:szCs w:val="24"/>
          <w:lang w:eastAsia="it-IT"/>
        </w:rPr>
        <w:t>versamenti all</w:t>
      </w:r>
      <w:r w:rsidR="00877AAF">
        <w:rPr>
          <w:rFonts w:ascii="Times New Roman" w:eastAsia="Times New Roman" w:hAnsi="Times New Roman" w:cs="Times New Roman"/>
          <w:sz w:val="24"/>
          <w:szCs w:val="24"/>
          <w:lang w:eastAsia="it-IT"/>
        </w:rPr>
        <w:t>’</w:t>
      </w:r>
      <w:r w:rsidRPr="002D7CDE">
        <w:rPr>
          <w:rFonts w:ascii="Times New Roman" w:eastAsia="Times New Roman" w:hAnsi="Times New Roman" w:cs="Times New Roman"/>
          <w:sz w:val="24"/>
          <w:szCs w:val="24"/>
          <w:lang w:eastAsia="it-IT"/>
        </w:rPr>
        <w:t xml:space="preserve">entrata del bilancio dello Stato e ad altri enti. </w:t>
      </w:r>
    </w:p>
    <w:p w14:paraId="3A3B1FC4" w14:textId="0D87479E" w:rsidR="00CE6817" w:rsidRDefault="00004D9E" w:rsidP="00CE6817">
      <w:pPr>
        <w:tabs>
          <w:tab w:val="left" w:pos="9180"/>
        </w:tabs>
        <w:spacing w:after="120" w:line="360" w:lineRule="auto"/>
        <w:ind w:right="-318"/>
        <w:jc w:val="both"/>
        <w:rPr>
          <w:rFonts w:ascii="Times New Roman" w:eastAsia="Times New Roman" w:hAnsi="Times New Roman" w:cs="Times New Roman"/>
          <w:sz w:val="24"/>
          <w:szCs w:val="24"/>
          <w:lang w:eastAsia="it-IT"/>
        </w:rPr>
      </w:pPr>
      <w:r w:rsidRPr="00004D9E">
        <w:rPr>
          <w:noProof/>
          <w:lang w:eastAsia="it-IT"/>
        </w:rPr>
        <w:drawing>
          <wp:inline distT="0" distB="0" distL="0" distR="0" wp14:anchorId="29823AB1" wp14:editId="7F625733">
            <wp:extent cx="6210300" cy="2224454"/>
            <wp:effectExtent l="0" t="0" r="0" b="444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326" cy="2233776"/>
                    </a:xfrm>
                    <a:prstGeom prst="rect">
                      <a:avLst/>
                    </a:prstGeom>
                    <a:noFill/>
                    <a:ln>
                      <a:noFill/>
                    </a:ln>
                  </pic:spPr>
                </pic:pic>
              </a:graphicData>
            </a:graphic>
          </wp:inline>
        </w:drawing>
      </w:r>
    </w:p>
    <w:p w14:paraId="2A69A8D2" w14:textId="77777777" w:rsidR="00D407C4" w:rsidRPr="002D7CDE" w:rsidRDefault="00D407C4" w:rsidP="00D407C4">
      <w:pPr>
        <w:tabs>
          <w:tab w:val="left" w:pos="9180"/>
        </w:tabs>
        <w:spacing w:after="120" w:line="360" w:lineRule="auto"/>
        <w:jc w:val="both"/>
        <w:rPr>
          <w:rFonts w:ascii="Times New Roman" w:eastAsia="Times New Roman" w:hAnsi="Times New Roman" w:cs="Times New Roman"/>
          <w:sz w:val="24"/>
          <w:szCs w:val="24"/>
          <w:lang w:eastAsia="it-IT"/>
        </w:rPr>
      </w:pPr>
      <w:r w:rsidRPr="002D7CDE">
        <w:rPr>
          <w:rFonts w:ascii="Times New Roman" w:eastAsia="Times New Roman" w:hAnsi="Times New Roman" w:cs="Times New Roman"/>
          <w:sz w:val="24"/>
          <w:szCs w:val="24"/>
          <w:lang w:eastAsia="it-IT"/>
        </w:rPr>
        <w:lastRenderedPageBreak/>
        <w:t>In particolare:</w:t>
      </w:r>
    </w:p>
    <w:p w14:paraId="327E58DB" w14:textId="6B62A71A" w:rsidR="00D407C4" w:rsidRPr="00104CAA" w:rsidRDefault="00D407C4" w:rsidP="00446B9A">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2D7CDE">
        <w:rPr>
          <w:rFonts w:ascii="Times New Roman" w:eastAsia="Times New Roman" w:hAnsi="Times New Roman" w:cs="Times New Roman"/>
          <w:sz w:val="24"/>
          <w:szCs w:val="24"/>
          <w:lang w:eastAsia="it-IT"/>
        </w:rPr>
        <w:t xml:space="preserve">a) </w:t>
      </w:r>
      <w:r>
        <w:rPr>
          <w:rFonts w:ascii="Times New Roman" w:eastAsia="Times New Roman" w:hAnsi="Times New Roman" w:cs="Times New Roman"/>
          <w:sz w:val="24"/>
          <w:szCs w:val="24"/>
          <w:lang w:eastAsia="it-IT"/>
        </w:rPr>
        <w:t>l’</w:t>
      </w:r>
      <w:r w:rsidRPr="002D7CDE">
        <w:rPr>
          <w:rFonts w:ascii="Times New Roman" w:eastAsia="Times New Roman" w:hAnsi="Times New Roman" w:cs="Times New Roman"/>
          <w:sz w:val="24"/>
          <w:szCs w:val="24"/>
          <w:lang w:eastAsia="it-IT"/>
        </w:rPr>
        <w:t>articolo 7, comma 1, lettera b) e comma 2</w:t>
      </w:r>
      <w:r>
        <w:rPr>
          <w:rFonts w:ascii="Times New Roman" w:eastAsia="Times New Roman" w:hAnsi="Times New Roman" w:cs="Times New Roman"/>
          <w:sz w:val="24"/>
          <w:szCs w:val="24"/>
          <w:lang w:eastAsia="it-IT"/>
        </w:rPr>
        <w:t>,</w:t>
      </w:r>
      <w:r w:rsidRPr="002D7CDE">
        <w:rPr>
          <w:rFonts w:ascii="Times New Roman" w:eastAsia="Times New Roman" w:hAnsi="Times New Roman" w:cs="Times New Roman"/>
          <w:sz w:val="24"/>
          <w:szCs w:val="24"/>
          <w:lang w:eastAsia="it-IT"/>
        </w:rPr>
        <w:t xml:space="preserve"> del decreto-legge 6 luglio 2012, n. 95, convertito, con modificazioni, dalla legge 7 agosto 2012, n. 135,</w:t>
      </w:r>
      <w:r>
        <w:rPr>
          <w:rFonts w:ascii="Times New Roman" w:eastAsia="Times New Roman" w:hAnsi="Times New Roman" w:cs="Times New Roman"/>
          <w:sz w:val="24"/>
          <w:szCs w:val="24"/>
          <w:lang w:eastAsia="it-IT"/>
        </w:rPr>
        <w:t xml:space="preserve"> e </w:t>
      </w:r>
      <w:r w:rsidRPr="002D7CDE">
        <w:rPr>
          <w:rFonts w:ascii="Times New Roman" w:eastAsia="Times New Roman" w:hAnsi="Times New Roman" w:cs="Times New Roman"/>
          <w:sz w:val="24"/>
          <w:szCs w:val="24"/>
          <w:lang w:eastAsia="it-IT"/>
        </w:rPr>
        <w:t xml:space="preserve">articolo 1, comma 291, della legge 23 dicembre 2014, n. 190 </w:t>
      </w:r>
      <w:r>
        <w:rPr>
          <w:rFonts w:ascii="Times New Roman" w:eastAsia="Times New Roman" w:hAnsi="Times New Roman" w:cs="Times New Roman"/>
          <w:sz w:val="24"/>
          <w:szCs w:val="24"/>
          <w:lang w:eastAsia="it-IT"/>
        </w:rPr>
        <w:t>(cfr</w:t>
      </w:r>
      <w:r w:rsidR="0053032C">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par. 4) con il versamento dell</w:t>
      </w:r>
      <w:r w:rsidRPr="00104CAA">
        <w:rPr>
          <w:rFonts w:ascii="Times New Roman" w:eastAsia="Times New Roman" w:hAnsi="Times New Roman" w:cs="Times New Roman"/>
          <w:sz w:val="24"/>
          <w:szCs w:val="24"/>
          <w:lang w:eastAsia="it-IT"/>
        </w:rPr>
        <w:t>a somma complessiva di euro 50.871.422,00 a titolo di risparmio di spesa per il 2022;</w:t>
      </w:r>
    </w:p>
    <w:p w14:paraId="412E5B19" w14:textId="0232AC46" w:rsidR="00D407C4" w:rsidRPr="00855707" w:rsidRDefault="00D407C4" w:rsidP="00446B9A">
      <w:pPr>
        <w:tabs>
          <w:tab w:val="left" w:pos="9180"/>
        </w:tabs>
        <w:spacing w:after="120" w:line="360" w:lineRule="auto"/>
        <w:ind w:left="284" w:hanging="284"/>
        <w:jc w:val="both"/>
        <w:rPr>
          <w:rFonts w:ascii="Times New Roman" w:eastAsia="Times New Roman" w:hAnsi="Times New Roman" w:cs="Times New Roman"/>
          <w:sz w:val="24"/>
          <w:szCs w:val="24"/>
          <w:lang w:eastAsia="it-IT"/>
        </w:rPr>
      </w:pPr>
      <w:r w:rsidRPr="00855707">
        <w:rPr>
          <w:rFonts w:ascii="Times New Roman" w:eastAsia="Times New Roman" w:hAnsi="Times New Roman" w:cs="Times New Roman"/>
          <w:sz w:val="24"/>
          <w:szCs w:val="24"/>
          <w:lang w:eastAsia="it-IT"/>
        </w:rPr>
        <w:t>b) l</w:t>
      </w:r>
      <w:r>
        <w:rPr>
          <w:rFonts w:ascii="Times New Roman" w:eastAsia="Times New Roman" w:hAnsi="Times New Roman" w:cs="Times New Roman"/>
          <w:sz w:val="24"/>
          <w:szCs w:val="24"/>
          <w:lang w:eastAsia="it-IT"/>
        </w:rPr>
        <w:t>’</w:t>
      </w:r>
      <w:r w:rsidRPr="00855707">
        <w:rPr>
          <w:rFonts w:ascii="Times New Roman" w:eastAsia="Times New Roman" w:hAnsi="Times New Roman" w:cs="Times New Roman"/>
          <w:sz w:val="24"/>
          <w:szCs w:val="24"/>
          <w:lang w:eastAsia="it-IT"/>
        </w:rPr>
        <w:t>articolo 67, commi 5 e 6</w:t>
      </w:r>
      <w:r>
        <w:rPr>
          <w:rFonts w:ascii="Times New Roman" w:eastAsia="Times New Roman" w:hAnsi="Times New Roman" w:cs="Times New Roman"/>
          <w:sz w:val="24"/>
          <w:szCs w:val="24"/>
          <w:lang w:eastAsia="it-IT"/>
        </w:rPr>
        <w:t>,</w:t>
      </w:r>
      <w:r w:rsidRPr="00855707">
        <w:rPr>
          <w:rFonts w:ascii="Times New Roman" w:eastAsia="Times New Roman" w:hAnsi="Times New Roman" w:cs="Times New Roman"/>
          <w:sz w:val="24"/>
          <w:szCs w:val="24"/>
          <w:lang w:eastAsia="it-IT"/>
        </w:rPr>
        <w:t xml:space="preserve"> del decreto-legge 25 giugno 2008, n. 112, convertito, con modificazioni, dalla legge 6 agosto 2008, n. 133, che prevede a regime la riduzione del 10 per cento dei fondi per il finanziamento della contrattazione integrativa, pari </w:t>
      </w:r>
      <w:r>
        <w:rPr>
          <w:rFonts w:ascii="Times New Roman" w:eastAsia="Times New Roman" w:hAnsi="Times New Roman" w:cs="Times New Roman"/>
          <w:sz w:val="24"/>
          <w:szCs w:val="24"/>
          <w:lang w:eastAsia="it-IT"/>
        </w:rPr>
        <w:t>a euro</w:t>
      </w:r>
      <w:r w:rsidRPr="00855707">
        <w:rPr>
          <w:rFonts w:ascii="Times New Roman" w:eastAsia="Times New Roman" w:hAnsi="Times New Roman" w:cs="Times New Roman"/>
          <w:sz w:val="24"/>
          <w:szCs w:val="24"/>
          <w:lang w:eastAsia="it-IT"/>
        </w:rPr>
        <w:t xml:space="preserve"> 1.956.389,00</w:t>
      </w:r>
      <w:r w:rsidRPr="004F3768">
        <w:rPr>
          <w:rFonts w:ascii="Times New Roman" w:eastAsia="Times New Roman" w:hAnsi="Times New Roman" w:cs="Times New Roman"/>
          <w:sz w:val="24"/>
          <w:szCs w:val="24"/>
          <w:lang w:eastAsia="it-IT"/>
        </w:rPr>
        <w:t>.</w:t>
      </w:r>
    </w:p>
    <w:p w14:paraId="0B04D258" w14:textId="77777777" w:rsidR="002E5773" w:rsidRDefault="002E5773" w:rsidP="002C7A85">
      <w:pPr>
        <w:tabs>
          <w:tab w:val="left" w:pos="9180"/>
        </w:tabs>
        <w:spacing w:after="120" w:line="360" w:lineRule="auto"/>
        <w:ind w:right="-318"/>
        <w:rPr>
          <w:rFonts w:ascii="Times New Roman" w:eastAsia="Times New Roman" w:hAnsi="Times New Roman" w:cs="Times New Roman"/>
          <w:b/>
          <w:bCs/>
          <w:sz w:val="24"/>
          <w:szCs w:val="24"/>
          <w:lang w:eastAsia="it-IT"/>
        </w:rPr>
      </w:pPr>
    </w:p>
    <w:p w14:paraId="5D53887C" w14:textId="374FC9FD" w:rsidR="002C7A85" w:rsidRDefault="002C7A85" w:rsidP="002C7A85">
      <w:pPr>
        <w:tabs>
          <w:tab w:val="left" w:pos="9180"/>
        </w:tabs>
        <w:spacing w:after="120" w:line="360" w:lineRule="auto"/>
        <w:ind w:right="-318"/>
        <w:rPr>
          <w:rFonts w:ascii="Times New Roman" w:eastAsia="Times New Roman" w:hAnsi="Times New Roman" w:cs="Times New Roman"/>
          <w:b/>
          <w:bCs/>
          <w:sz w:val="24"/>
          <w:szCs w:val="24"/>
          <w:lang w:eastAsia="it-IT"/>
        </w:rPr>
      </w:pPr>
      <w:r w:rsidRPr="006A21FF">
        <w:rPr>
          <w:rFonts w:ascii="Times New Roman" w:eastAsia="Times New Roman" w:hAnsi="Times New Roman" w:cs="Times New Roman"/>
          <w:b/>
          <w:bCs/>
          <w:sz w:val="24"/>
          <w:szCs w:val="24"/>
          <w:lang w:eastAsia="it-IT"/>
        </w:rPr>
        <w:t>7. SPESE</w:t>
      </w:r>
    </w:p>
    <w:p w14:paraId="68A7D29D" w14:textId="77777777" w:rsidR="002C7A85" w:rsidRPr="006A21FF" w:rsidRDefault="002C7A85" w:rsidP="002C7A85">
      <w:pPr>
        <w:tabs>
          <w:tab w:val="left" w:pos="9180"/>
        </w:tabs>
        <w:spacing w:after="120" w:line="360" w:lineRule="auto"/>
        <w:ind w:right="-318"/>
        <w:rPr>
          <w:rFonts w:ascii="Times New Roman" w:eastAsia="Times New Roman" w:hAnsi="Times New Roman" w:cs="Times New Roman"/>
          <w:b/>
          <w:bCs/>
          <w:sz w:val="24"/>
          <w:szCs w:val="24"/>
          <w:lang w:eastAsia="it-IT"/>
        </w:rPr>
      </w:pPr>
      <w:r w:rsidRPr="006A21FF">
        <w:rPr>
          <w:rFonts w:ascii="Times New Roman" w:eastAsia="Times New Roman" w:hAnsi="Times New Roman" w:cs="Times New Roman"/>
          <w:b/>
          <w:bCs/>
          <w:sz w:val="24"/>
          <w:szCs w:val="24"/>
          <w:lang w:eastAsia="it-IT"/>
        </w:rPr>
        <w:t>7.1 Risultanze gestionali e indicatori finanziari</w:t>
      </w:r>
    </w:p>
    <w:p w14:paraId="0947BB83" w14:textId="00798C81" w:rsidR="002C7A85" w:rsidRPr="00126AF4" w:rsidRDefault="002C7A85" w:rsidP="00CE5339">
      <w:pPr>
        <w:tabs>
          <w:tab w:val="left" w:pos="9180"/>
        </w:tabs>
        <w:spacing w:after="120" w:line="360" w:lineRule="auto"/>
        <w:jc w:val="both"/>
        <w:rPr>
          <w:rFonts w:ascii="Times New Roman" w:eastAsia="Times New Roman" w:hAnsi="Times New Roman" w:cs="Times New Roman"/>
          <w:bCs/>
          <w:sz w:val="24"/>
          <w:szCs w:val="24"/>
          <w:lang w:eastAsia="it-IT"/>
        </w:rPr>
      </w:pPr>
      <w:r w:rsidRPr="00126AF4">
        <w:rPr>
          <w:rFonts w:ascii="Times New Roman" w:eastAsia="Times New Roman" w:hAnsi="Times New Roman" w:cs="Times New Roman"/>
          <w:bCs/>
          <w:sz w:val="24"/>
          <w:szCs w:val="24"/>
          <w:lang w:eastAsia="it-IT"/>
        </w:rPr>
        <w:t>Nell</w:t>
      </w:r>
      <w:r w:rsidR="00877AAF">
        <w:rPr>
          <w:rFonts w:ascii="Times New Roman" w:eastAsia="Times New Roman" w:hAnsi="Times New Roman" w:cs="Times New Roman"/>
          <w:bCs/>
          <w:sz w:val="24"/>
          <w:szCs w:val="24"/>
          <w:lang w:eastAsia="it-IT"/>
        </w:rPr>
        <w:t>’</w:t>
      </w:r>
      <w:r w:rsidRPr="00126AF4">
        <w:rPr>
          <w:rFonts w:ascii="Times New Roman" w:eastAsia="Times New Roman" w:hAnsi="Times New Roman" w:cs="Times New Roman"/>
          <w:bCs/>
          <w:sz w:val="24"/>
          <w:szCs w:val="24"/>
          <w:lang w:eastAsia="it-IT"/>
        </w:rPr>
        <w:t xml:space="preserve">esercizio 2022, a fronte degli stanziamenti finali di spesa pari </w:t>
      </w:r>
      <w:r w:rsidR="009F77D1">
        <w:rPr>
          <w:rFonts w:ascii="Times New Roman" w:eastAsia="Times New Roman" w:hAnsi="Times New Roman" w:cs="Times New Roman"/>
          <w:bCs/>
          <w:sz w:val="24"/>
          <w:szCs w:val="24"/>
          <w:lang w:eastAsia="it-IT"/>
        </w:rPr>
        <w:t>a euro</w:t>
      </w:r>
      <w:r w:rsidRPr="00126AF4">
        <w:rPr>
          <w:rFonts w:ascii="Times New Roman" w:eastAsia="Times New Roman" w:hAnsi="Times New Roman" w:cs="Times New Roman"/>
          <w:bCs/>
          <w:sz w:val="24"/>
          <w:szCs w:val="24"/>
          <w:lang w:eastAsia="it-IT"/>
        </w:rPr>
        <w:t xml:space="preserve"> </w:t>
      </w:r>
      <w:r w:rsidRPr="006F6AF3">
        <w:rPr>
          <w:rFonts w:ascii="Times New Roman" w:eastAsia="Times New Roman" w:hAnsi="Times New Roman" w:cs="Times New Roman"/>
          <w:sz w:val="24"/>
          <w:szCs w:val="24"/>
          <w:lang w:eastAsia="it-IT"/>
        </w:rPr>
        <w:t>14.093.832.048,82</w:t>
      </w:r>
      <w:r w:rsidRPr="00126AF4">
        <w:rPr>
          <w:rFonts w:ascii="Times New Roman" w:eastAsia="Times New Roman" w:hAnsi="Times New Roman" w:cs="Times New Roman"/>
          <w:bCs/>
          <w:sz w:val="24"/>
          <w:szCs w:val="24"/>
          <w:lang w:eastAsia="it-IT"/>
        </w:rPr>
        <w:t xml:space="preserve"> risultano assunti impegni per euro </w:t>
      </w:r>
      <w:r>
        <w:rPr>
          <w:rFonts w:ascii="Times New Roman" w:eastAsia="Times New Roman" w:hAnsi="Times New Roman" w:cs="Times New Roman"/>
          <w:bCs/>
          <w:sz w:val="24"/>
          <w:szCs w:val="24"/>
          <w:lang w:eastAsia="it-IT"/>
        </w:rPr>
        <w:t>6</w:t>
      </w:r>
      <w:r w:rsidRPr="00126AF4">
        <w:rPr>
          <w:rFonts w:ascii="Times New Roman" w:eastAsia="Times New Roman" w:hAnsi="Times New Roman" w:cs="Times New Roman"/>
          <w:bCs/>
          <w:sz w:val="24"/>
          <w:szCs w:val="24"/>
          <w:lang w:eastAsia="it-IT"/>
        </w:rPr>
        <w:t>.</w:t>
      </w:r>
      <w:r>
        <w:rPr>
          <w:rFonts w:ascii="Times New Roman" w:eastAsia="Times New Roman" w:hAnsi="Times New Roman" w:cs="Times New Roman"/>
          <w:bCs/>
          <w:sz w:val="24"/>
          <w:szCs w:val="24"/>
          <w:lang w:eastAsia="it-IT"/>
        </w:rPr>
        <w:t>72</w:t>
      </w:r>
      <w:r w:rsidRPr="00126AF4">
        <w:rPr>
          <w:rFonts w:ascii="Times New Roman" w:eastAsia="Times New Roman" w:hAnsi="Times New Roman" w:cs="Times New Roman"/>
          <w:bCs/>
          <w:sz w:val="24"/>
          <w:szCs w:val="24"/>
          <w:lang w:eastAsia="it-IT"/>
        </w:rPr>
        <w:t>6.</w:t>
      </w:r>
      <w:r w:rsidR="00AF547B">
        <w:rPr>
          <w:rFonts w:ascii="Times New Roman" w:eastAsia="Times New Roman" w:hAnsi="Times New Roman" w:cs="Times New Roman"/>
          <w:bCs/>
          <w:sz w:val="24"/>
          <w:szCs w:val="24"/>
          <w:lang w:eastAsia="it-IT"/>
        </w:rPr>
        <w:t>052.395,98</w:t>
      </w:r>
      <w:r w:rsidRPr="00126AF4">
        <w:rPr>
          <w:rFonts w:ascii="Times New Roman" w:eastAsia="Times New Roman" w:hAnsi="Times New Roman" w:cs="Times New Roman"/>
          <w:bCs/>
          <w:sz w:val="24"/>
          <w:szCs w:val="24"/>
          <w:lang w:eastAsia="it-IT"/>
        </w:rPr>
        <w:t xml:space="preserve"> ed effettuati pagamenti per euro </w:t>
      </w:r>
      <w:r w:rsidR="00E5318B">
        <w:rPr>
          <w:rFonts w:ascii="Times New Roman" w:eastAsia="Times New Roman" w:hAnsi="Times New Roman" w:cs="Times New Roman"/>
          <w:bCs/>
          <w:sz w:val="24"/>
          <w:szCs w:val="24"/>
          <w:lang w:eastAsia="it-IT"/>
        </w:rPr>
        <w:t>4.345.</w:t>
      </w:r>
      <w:r w:rsidR="00AF547B">
        <w:rPr>
          <w:rFonts w:ascii="Times New Roman" w:eastAsia="Times New Roman" w:hAnsi="Times New Roman" w:cs="Times New Roman"/>
          <w:bCs/>
          <w:sz w:val="24"/>
          <w:szCs w:val="24"/>
          <w:lang w:eastAsia="it-IT"/>
        </w:rPr>
        <w:t>945.626,45</w:t>
      </w:r>
      <w:r w:rsidRPr="00126AF4">
        <w:rPr>
          <w:rFonts w:ascii="Times New Roman" w:eastAsia="Times New Roman" w:hAnsi="Times New Roman" w:cs="Times New Roman"/>
          <w:bCs/>
          <w:sz w:val="24"/>
          <w:szCs w:val="24"/>
          <w:lang w:eastAsia="it-IT"/>
        </w:rPr>
        <w:t xml:space="preserve">. Si determina, pertanto, un totale di somme rimaste da pagare pari </w:t>
      </w:r>
      <w:r w:rsidR="009F77D1">
        <w:rPr>
          <w:rFonts w:ascii="Times New Roman" w:eastAsia="Times New Roman" w:hAnsi="Times New Roman" w:cs="Times New Roman"/>
          <w:bCs/>
          <w:sz w:val="24"/>
          <w:szCs w:val="24"/>
          <w:lang w:eastAsia="it-IT"/>
        </w:rPr>
        <w:t>a euro</w:t>
      </w:r>
      <w:r w:rsidRPr="00126AF4">
        <w:rPr>
          <w:rFonts w:ascii="Times New Roman" w:eastAsia="Times New Roman" w:hAnsi="Times New Roman" w:cs="Times New Roman"/>
          <w:bCs/>
          <w:sz w:val="24"/>
          <w:szCs w:val="24"/>
          <w:lang w:eastAsia="it-IT"/>
        </w:rPr>
        <w:t xml:space="preserve"> </w:t>
      </w:r>
      <w:r w:rsidR="00E5318B">
        <w:rPr>
          <w:rFonts w:ascii="Times New Roman" w:eastAsia="Times New Roman" w:hAnsi="Times New Roman" w:cs="Times New Roman"/>
          <w:bCs/>
          <w:sz w:val="24"/>
          <w:szCs w:val="24"/>
          <w:lang w:eastAsia="it-IT"/>
        </w:rPr>
        <w:t xml:space="preserve">2.380.106.769,53 </w:t>
      </w:r>
      <w:r w:rsidRPr="00126AF4">
        <w:rPr>
          <w:rFonts w:ascii="Times New Roman" w:eastAsia="Times New Roman" w:hAnsi="Times New Roman" w:cs="Times New Roman"/>
          <w:bCs/>
          <w:sz w:val="24"/>
          <w:szCs w:val="24"/>
          <w:lang w:eastAsia="it-IT"/>
        </w:rPr>
        <w:t>mentre l</w:t>
      </w:r>
      <w:r w:rsidR="00877AAF">
        <w:rPr>
          <w:rFonts w:ascii="Times New Roman" w:eastAsia="Times New Roman" w:hAnsi="Times New Roman" w:cs="Times New Roman"/>
          <w:bCs/>
          <w:sz w:val="24"/>
          <w:szCs w:val="24"/>
          <w:lang w:eastAsia="it-IT"/>
        </w:rPr>
        <w:t>’</w:t>
      </w:r>
      <w:r w:rsidRPr="00126AF4">
        <w:rPr>
          <w:rFonts w:ascii="Times New Roman" w:eastAsia="Times New Roman" w:hAnsi="Times New Roman" w:cs="Times New Roman"/>
          <w:bCs/>
          <w:sz w:val="24"/>
          <w:szCs w:val="24"/>
          <w:lang w:eastAsia="it-IT"/>
        </w:rPr>
        <w:t>importo complessivo delle economie (disponibilità residuali non impegnate) al 31 dicembre 202</w:t>
      </w:r>
      <w:r>
        <w:rPr>
          <w:rFonts w:ascii="Times New Roman" w:eastAsia="Times New Roman" w:hAnsi="Times New Roman" w:cs="Times New Roman"/>
          <w:bCs/>
          <w:sz w:val="24"/>
          <w:szCs w:val="24"/>
          <w:lang w:eastAsia="it-IT"/>
        </w:rPr>
        <w:t>2</w:t>
      </w:r>
      <w:r w:rsidRPr="00126AF4">
        <w:rPr>
          <w:rFonts w:ascii="Times New Roman" w:eastAsia="Times New Roman" w:hAnsi="Times New Roman" w:cs="Times New Roman"/>
          <w:bCs/>
          <w:sz w:val="24"/>
          <w:szCs w:val="24"/>
          <w:lang w:eastAsia="it-IT"/>
        </w:rPr>
        <w:t xml:space="preserve"> è pari </w:t>
      </w:r>
      <w:r w:rsidR="009F77D1">
        <w:rPr>
          <w:rFonts w:ascii="Times New Roman" w:eastAsia="Times New Roman" w:hAnsi="Times New Roman" w:cs="Times New Roman"/>
          <w:bCs/>
          <w:sz w:val="24"/>
          <w:szCs w:val="24"/>
          <w:lang w:eastAsia="it-IT"/>
        </w:rPr>
        <w:t>a euro</w:t>
      </w:r>
      <w:r w:rsidRPr="00126AF4">
        <w:rPr>
          <w:rFonts w:ascii="Times New Roman" w:eastAsia="Times New Roman" w:hAnsi="Times New Roman" w:cs="Times New Roman"/>
          <w:bCs/>
          <w:sz w:val="24"/>
          <w:szCs w:val="24"/>
          <w:lang w:eastAsia="it-IT"/>
        </w:rPr>
        <w:t xml:space="preserve"> </w:t>
      </w:r>
      <w:r w:rsidRPr="0053470F">
        <w:rPr>
          <w:rFonts w:ascii="Times New Roman" w:eastAsia="Times New Roman" w:hAnsi="Times New Roman" w:cs="Times New Roman"/>
          <w:bCs/>
          <w:sz w:val="24"/>
          <w:szCs w:val="24"/>
          <w:lang w:eastAsia="it-IT"/>
        </w:rPr>
        <w:t>7</w:t>
      </w:r>
      <w:r>
        <w:rPr>
          <w:rFonts w:ascii="Times New Roman" w:eastAsia="Times New Roman" w:hAnsi="Times New Roman" w:cs="Times New Roman"/>
          <w:bCs/>
          <w:sz w:val="24"/>
          <w:szCs w:val="24"/>
          <w:lang w:eastAsia="it-IT"/>
        </w:rPr>
        <w:t>.</w:t>
      </w:r>
      <w:r w:rsidRPr="0053470F">
        <w:rPr>
          <w:rFonts w:ascii="Times New Roman" w:eastAsia="Times New Roman" w:hAnsi="Times New Roman" w:cs="Times New Roman"/>
          <w:bCs/>
          <w:sz w:val="24"/>
          <w:szCs w:val="24"/>
          <w:lang w:eastAsia="it-IT"/>
        </w:rPr>
        <w:t>367</w:t>
      </w:r>
      <w:r>
        <w:rPr>
          <w:rFonts w:ascii="Times New Roman" w:eastAsia="Times New Roman" w:hAnsi="Times New Roman" w:cs="Times New Roman"/>
          <w:bCs/>
          <w:sz w:val="24"/>
          <w:szCs w:val="24"/>
          <w:lang w:eastAsia="it-IT"/>
        </w:rPr>
        <w:t>.</w:t>
      </w:r>
      <w:r w:rsidR="00AF547B">
        <w:rPr>
          <w:rFonts w:ascii="Times New Roman" w:eastAsia="Times New Roman" w:hAnsi="Times New Roman" w:cs="Times New Roman"/>
          <w:bCs/>
          <w:sz w:val="24"/>
          <w:szCs w:val="24"/>
          <w:lang w:eastAsia="it-IT"/>
        </w:rPr>
        <w:t>779.652,84</w:t>
      </w:r>
      <w:r w:rsidRPr="00126AF4">
        <w:rPr>
          <w:rFonts w:ascii="Times New Roman" w:eastAsia="Times New Roman" w:hAnsi="Times New Roman" w:cs="Times New Roman"/>
          <w:bCs/>
          <w:sz w:val="24"/>
          <w:szCs w:val="24"/>
          <w:lang w:eastAsia="it-IT"/>
        </w:rPr>
        <w:t>.</w:t>
      </w:r>
    </w:p>
    <w:p w14:paraId="0A93074E" w14:textId="77777777" w:rsidR="009802BE" w:rsidRDefault="009802BE" w:rsidP="002C7A85">
      <w:pPr>
        <w:spacing w:after="0" w:line="360" w:lineRule="auto"/>
        <w:ind w:right="98"/>
        <w:jc w:val="both"/>
        <w:rPr>
          <w:rFonts w:ascii="Times New Roman" w:eastAsia="Times New Roman" w:hAnsi="Times New Roman" w:cs="Times New Roman"/>
          <w:b/>
          <w:bCs/>
          <w:sz w:val="24"/>
          <w:szCs w:val="24"/>
          <w:lang w:eastAsia="it-IT"/>
        </w:rPr>
      </w:pPr>
    </w:p>
    <w:p w14:paraId="0670EA7B" w14:textId="21AC6051" w:rsidR="002C7A85" w:rsidRDefault="002C7A85" w:rsidP="002C7A85">
      <w:pPr>
        <w:spacing w:after="0" w:line="360" w:lineRule="auto"/>
        <w:ind w:right="98"/>
        <w:jc w:val="both"/>
        <w:rPr>
          <w:rFonts w:ascii="Times New Roman" w:eastAsia="Times New Roman" w:hAnsi="Times New Roman" w:cs="Times New Roman"/>
          <w:b/>
          <w:bCs/>
          <w:sz w:val="24"/>
          <w:szCs w:val="24"/>
          <w:lang w:eastAsia="it-IT"/>
        </w:rPr>
      </w:pPr>
      <w:r w:rsidRPr="006A21FF">
        <w:rPr>
          <w:rFonts w:ascii="Times New Roman" w:eastAsia="Times New Roman" w:hAnsi="Times New Roman" w:cs="Times New Roman"/>
          <w:b/>
          <w:bCs/>
          <w:sz w:val="24"/>
          <w:szCs w:val="24"/>
          <w:lang w:eastAsia="it-IT"/>
        </w:rPr>
        <w:t>7.2 Capacità di impegno</w:t>
      </w:r>
    </w:p>
    <w:p w14:paraId="34E01EFE" w14:textId="7E99803B" w:rsidR="002C7A85" w:rsidRDefault="002C7A85" w:rsidP="002C7A85">
      <w:pPr>
        <w:spacing w:after="0" w:line="360" w:lineRule="auto"/>
        <w:ind w:right="98"/>
        <w:jc w:val="both"/>
        <w:rPr>
          <w:rFonts w:ascii="Times New Roman" w:eastAsia="Times New Roman" w:hAnsi="Times New Roman" w:cs="Times New Roman"/>
          <w:bCs/>
          <w:sz w:val="24"/>
          <w:szCs w:val="24"/>
          <w:lang w:eastAsia="it-IT"/>
        </w:rPr>
      </w:pPr>
      <w:r w:rsidRPr="00FE2C14">
        <w:rPr>
          <w:rFonts w:ascii="Times New Roman" w:eastAsia="Times New Roman" w:hAnsi="Times New Roman" w:cs="Times New Roman"/>
          <w:bCs/>
          <w:sz w:val="24"/>
          <w:szCs w:val="24"/>
          <w:lang w:eastAsia="it-IT"/>
        </w:rPr>
        <w:t>La complessiva capacità di impegno</w:t>
      </w:r>
      <w:r w:rsidRPr="00C45B63">
        <w:rPr>
          <w:rFonts w:ascii="Times New Roman" w:eastAsia="Times New Roman" w:hAnsi="Times New Roman" w:cs="Times New Roman"/>
          <w:bCs/>
          <w:vertAlign w:val="superscript"/>
          <w:lang w:eastAsia="it-IT"/>
        </w:rPr>
        <w:footnoteReference w:id="3"/>
      </w:r>
      <w:r w:rsidRPr="00FE2C14">
        <w:rPr>
          <w:rFonts w:ascii="Times New Roman" w:eastAsia="Times New Roman" w:hAnsi="Times New Roman" w:cs="Times New Roman"/>
          <w:bCs/>
          <w:sz w:val="24"/>
          <w:szCs w:val="24"/>
          <w:lang w:eastAsia="it-IT"/>
        </w:rPr>
        <w:t xml:space="preserve"> (cfr. </w:t>
      </w:r>
      <w:proofErr w:type="spellStart"/>
      <w:r w:rsidRPr="00FE2C14">
        <w:rPr>
          <w:rFonts w:ascii="Times New Roman" w:eastAsia="Times New Roman" w:hAnsi="Times New Roman" w:cs="Times New Roman"/>
          <w:bCs/>
          <w:sz w:val="24"/>
          <w:szCs w:val="24"/>
          <w:lang w:eastAsia="it-IT"/>
        </w:rPr>
        <w:t>Tab</w:t>
      </w:r>
      <w:proofErr w:type="spellEnd"/>
      <w:r w:rsidRPr="00FE2C14">
        <w:rPr>
          <w:rFonts w:ascii="Times New Roman" w:eastAsia="Times New Roman" w:hAnsi="Times New Roman" w:cs="Times New Roman"/>
          <w:bCs/>
          <w:sz w:val="24"/>
          <w:szCs w:val="24"/>
          <w:lang w:eastAsia="it-IT"/>
        </w:rPr>
        <w:t>. 7), cioè il rapporto tra l</w:t>
      </w:r>
      <w:r w:rsidR="00877AAF">
        <w:rPr>
          <w:rFonts w:ascii="Times New Roman" w:eastAsia="Times New Roman" w:hAnsi="Times New Roman" w:cs="Times New Roman"/>
          <w:bCs/>
          <w:sz w:val="24"/>
          <w:szCs w:val="24"/>
          <w:lang w:eastAsia="it-IT"/>
        </w:rPr>
        <w:t>’</w:t>
      </w:r>
      <w:r w:rsidRPr="00FE2C14">
        <w:rPr>
          <w:rFonts w:ascii="Times New Roman" w:eastAsia="Times New Roman" w:hAnsi="Times New Roman" w:cs="Times New Roman"/>
          <w:bCs/>
          <w:sz w:val="24"/>
          <w:szCs w:val="24"/>
          <w:lang w:eastAsia="it-IT"/>
        </w:rPr>
        <w:t xml:space="preserve">ammontare complessivo degli impegni assunti ed il totale degli stanziamenti definitivi, risulta in diminuzione passando dal </w:t>
      </w:r>
      <w:r>
        <w:rPr>
          <w:rFonts w:ascii="Times New Roman" w:eastAsia="Times New Roman" w:hAnsi="Times New Roman" w:cs="Times New Roman"/>
          <w:bCs/>
          <w:sz w:val="24"/>
          <w:szCs w:val="24"/>
          <w:lang w:eastAsia="it-IT"/>
        </w:rPr>
        <w:t>57,25</w:t>
      </w:r>
      <w:r w:rsidRPr="00FE2C14">
        <w:rPr>
          <w:rFonts w:ascii="Times New Roman" w:eastAsia="Times New Roman" w:hAnsi="Times New Roman" w:cs="Times New Roman"/>
          <w:bCs/>
          <w:sz w:val="24"/>
          <w:szCs w:val="24"/>
          <w:lang w:eastAsia="it-IT"/>
        </w:rPr>
        <w:t xml:space="preserve"> per cento del 202</w:t>
      </w:r>
      <w:r>
        <w:rPr>
          <w:rFonts w:ascii="Times New Roman" w:eastAsia="Times New Roman" w:hAnsi="Times New Roman" w:cs="Times New Roman"/>
          <w:bCs/>
          <w:sz w:val="24"/>
          <w:szCs w:val="24"/>
          <w:lang w:eastAsia="it-IT"/>
        </w:rPr>
        <w:t>1</w:t>
      </w:r>
      <w:r w:rsidRPr="00FE2C14">
        <w:rPr>
          <w:rFonts w:ascii="Times New Roman" w:eastAsia="Times New Roman" w:hAnsi="Times New Roman" w:cs="Times New Roman"/>
          <w:bCs/>
          <w:sz w:val="24"/>
          <w:szCs w:val="24"/>
          <w:lang w:eastAsia="it-IT"/>
        </w:rPr>
        <w:t xml:space="preserve"> al </w:t>
      </w:r>
      <w:r>
        <w:rPr>
          <w:rFonts w:ascii="Times New Roman" w:eastAsia="Times New Roman" w:hAnsi="Times New Roman" w:cs="Times New Roman"/>
          <w:bCs/>
          <w:sz w:val="24"/>
          <w:szCs w:val="24"/>
          <w:lang w:eastAsia="it-IT"/>
        </w:rPr>
        <w:t>54,99</w:t>
      </w:r>
      <w:r w:rsidRPr="00FE2C14">
        <w:rPr>
          <w:rFonts w:ascii="Times New Roman" w:eastAsia="Times New Roman" w:hAnsi="Times New Roman" w:cs="Times New Roman"/>
          <w:bCs/>
          <w:sz w:val="24"/>
          <w:szCs w:val="24"/>
          <w:lang w:eastAsia="it-IT"/>
        </w:rPr>
        <w:t xml:space="preserve"> per cento del 202</w:t>
      </w:r>
      <w:r>
        <w:rPr>
          <w:rFonts w:ascii="Times New Roman" w:eastAsia="Times New Roman" w:hAnsi="Times New Roman" w:cs="Times New Roman"/>
          <w:bCs/>
          <w:sz w:val="24"/>
          <w:szCs w:val="24"/>
          <w:lang w:eastAsia="it-IT"/>
        </w:rPr>
        <w:t>2</w:t>
      </w:r>
      <w:r w:rsidRPr="00FE2C14">
        <w:rPr>
          <w:rFonts w:ascii="Times New Roman" w:eastAsia="Times New Roman" w:hAnsi="Times New Roman" w:cs="Times New Roman"/>
          <w:bCs/>
          <w:sz w:val="24"/>
          <w:szCs w:val="24"/>
          <w:lang w:eastAsia="it-IT"/>
        </w:rPr>
        <w:t xml:space="preserve">, con un decremento del </w:t>
      </w:r>
      <w:r>
        <w:rPr>
          <w:rFonts w:ascii="Times New Roman" w:eastAsia="Times New Roman" w:hAnsi="Times New Roman" w:cs="Times New Roman"/>
          <w:bCs/>
          <w:sz w:val="24"/>
          <w:szCs w:val="24"/>
          <w:lang w:eastAsia="it-IT"/>
        </w:rPr>
        <w:t>2</w:t>
      </w:r>
      <w:r w:rsidRPr="00FE2C14">
        <w:rPr>
          <w:rFonts w:ascii="Times New Roman" w:eastAsia="Times New Roman" w:hAnsi="Times New Roman" w:cs="Times New Roman"/>
          <w:bCs/>
          <w:sz w:val="24"/>
          <w:szCs w:val="24"/>
          <w:lang w:eastAsia="it-IT"/>
        </w:rPr>
        <w:t>,</w:t>
      </w:r>
      <w:r>
        <w:rPr>
          <w:rFonts w:ascii="Times New Roman" w:eastAsia="Times New Roman" w:hAnsi="Times New Roman" w:cs="Times New Roman"/>
          <w:bCs/>
          <w:sz w:val="24"/>
          <w:szCs w:val="24"/>
          <w:lang w:eastAsia="it-IT"/>
        </w:rPr>
        <w:t>26</w:t>
      </w:r>
      <w:r w:rsidRPr="00FE2C14">
        <w:rPr>
          <w:rFonts w:ascii="Times New Roman" w:eastAsia="Times New Roman" w:hAnsi="Times New Roman" w:cs="Times New Roman"/>
          <w:bCs/>
          <w:sz w:val="24"/>
          <w:szCs w:val="24"/>
          <w:lang w:eastAsia="it-IT"/>
        </w:rPr>
        <w:t xml:space="preserve"> per cento. </w:t>
      </w:r>
    </w:p>
    <w:p w14:paraId="61D95C5B" w14:textId="77777777" w:rsidR="009802BE" w:rsidRPr="007D5554" w:rsidRDefault="009802BE" w:rsidP="002C7A85">
      <w:pPr>
        <w:spacing w:after="0" w:line="360" w:lineRule="auto"/>
        <w:ind w:right="98"/>
        <w:jc w:val="both"/>
        <w:rPr>
          <w:rFonts w:ascii="Times New Roman" w:eastAsia="Times New Roman" w:hAnsi="Times New Roman" w:cs="Times New Roman"/>
          <w:bCs/>
          <w:sz w:val="14"/>
          <w:szCs w:val="24"/>
          <w:lang w:eastAsia="it-IT"/>
        </w:rPr>
      </w:pPr>
    </w:p>
    <w:p w14:paraId="631FAB9C" w14:textId="3B44851D" w:rsidR="00C6318E" w:rsidRDefault="002C7A85" w:rsidP="002C7A85">
      <w:pPr>
        <w:spacing w:after="0" w:line="360" w:lineRule="auto"/>
        <w:ind w:right="98"/>
        <w:jc w:val="center"/>
        <w:rPr>
          <w:rFonts w:ascii="Times New Roman" w:eastAsia="Times New Roman" w:hAnsi="Times New Roman" w:cs="Times New Roman"/>
          <w:b/>
          <w:bCs/>
          <w:sz w:val="24"/>
          <w:szCs w:val="24"/>
          <w:lang w:eastAsia="it-IT"/>
        </w:rPr>
      </w:pPr>
      <w:proofErr w:type="spellStart"/>
      <w:r>
        <w:rPr>
          <w:rFonts w:ascii="Times New Roman" w:eastAsia="Times New Roman" w:hAnsi="Times New Roman" w:cs="Times New Roman"/>
          <w:b/>
          <w:bCs/>
          <w:sz w:val="24"/>
          <w:szCs w:val="24"/>
          <w:lang w:eastAsia="it-IT"/>
        </w:rPr>
        <w:t>Tab</w:t>
      </w:r>
      <w:proofErr w:type="spellEnd"/>
      <w:r>
        <w:rPr>
          <w:rFonts w:ascii="Times New Roman" w:eastAsia="Times New Roman" w:hAnsi="Times New Roman" w:cs="Times New Roman"/>
          <w:b/>
          <w:bCs/>
          <w:sz w:val="24"/>
          <w:szCs w:val="24"/>
          <w:lang w:eastAsia="it-IT"/>
        </w:rPr>
        <w:t>. 7 - Capacità di impegno</w:t>
      </w:r>
    </w:p>
    <w:p w14:paraId="4E795030" w14:textId="221E010B" w:rsidR="002C7A85" w:rsidRPr="00C6318E" w:rsidRDefault="00472250" w:rsidP="00472250">
      <w:pPr>
        <w:spacing w:after="0" w:line="360" w:lineRule="auto"/>
        <w:ind w:right="98"/>
        <w:jc w:val="center"/>
        <w:rPr>
          <w:rFonts w:ascii="Times New Roman" w:eastAsia="Times New Roman" w:hAnsi="Times New Roman" w:cs="Times New Roman"/>
          <w:sz w:val="24"/>
          <w:szCs w:val="24"/>
          <w:lang w:eastAsia="it-IT"/>
        </w:rPr>
      </w:pPr>
      <w:r w:rsidRPr="00472250">
        <w:rPr>
          <w:noProof/>
          <w:lang w:eastAsia="it-IT"/>
        </w:rPr>
        <w:drawing>
          <wp:inline distT="0" distB="0" distL="0" distR="0" wp14:anchorId="2A467D9E" wp14:editId="0409BB65">
            <wp:extent cx="3557964" cy="812879"/>
            <wp:effectExtent l="0" t="0" r="4445"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734" cy="821280"/>
                    </a:xfrm>
                    <a:prstGeom prst="rect">
                      <a:avLst/>
                    </a:prstGeom>
                    <a:noFill/>
                    <a:ln>
                      <a:noFill/>
                    </a:ln>
                  </pic:spPr>
                </pic:pic>
              </a:graphicData>
            </a:graphic>
          </wp:inline>
        </w:drawing>
      </w:r>
    </w:p>
    <w:p w14:paraId="222446B6" w14:textId="4E8FC725" w:rsidR="002C7A85" w:rsidRPr="00A5595D" w:rsidRDefault="00472250" w:rsidP="002C7A85">
      <w:pPr>
        <w:spacing w:after="0" w:line="360" w:lineRule="auto"/>
        <w:ind w:right="98"/>
        <w:jc w:val="center"/>
        <w:rPr>
          <w:rFonts w:ascii="Times New Roman" w:eastAsia="Times New Roman" w:hAnsi="Times New Roman" w:cs="Times New Roman"/>
          <w:b/>
          <w:bCs/>
          <w:sz w:val="24"/>
          <w:szCs w:val="24"/>
          <w:highlight w:val="cyan"/>
          <w:lang w:eastAsia="it-IT"/>
        </w:rPr>
      </w:pPr>
      <w:r w:rsidRPr="00472250">
        <w:rPr>
          <w:rFonts w:ascii="Times New Roman" w:eastAsia="Times New Roman" w:hAnsi="Times New Roman" w:cs="Times New Roman"/>
          <w:b/>
          <w:bCs/>
          <w:noProof/>
          <w:sz w:val="24"/>
          <w:szCs w:val="24"/>
          <w:lang w:eastAsia="it-IT"/>
        </w:rPr>
        <w:lastRenderedPageBreak/>
        <w:drawing>
          <wp:inline distT="0" distB="0" distL="0" distR="0" wp14:anchorId="581D0295" wp14:editId="3BBA31FA">
            <wp:extent cx="3685925" cy="2279805"/>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7885" cy="2287203"/>
                    </a:xfrm>
                    <a:prstGeom prst="rect">
                      <a:avLst/>
                    </a:prstGeom>
                    <a:noFill/>
                  </pic:spPr>
                </pic:pic>
              </a:graphicData>
            </a:graphic>
          </wp:inline>
        </w:drawing>
      </w:r>
    </w:p>
    <w:p w14:paraId="76ACFDDA" w14:textId="07653C8B" w:rsidR="00C6318E" w:rsidRDefault="00C6318E" w:rsidP="002C7A85">
      <w:pPr>
        <w:spacing w:after="0" w:line="360" w:lineRule="auto"/>
        <w:ind w:right="98"/>
        <w:jc w:val="both"/>
        <w:rPr>
          <w:rFonts w:ascii="Times New Roman" w:eastAsia="Times New Roman" w:hAnsi="Times New Roman" w:cs="Times New Roman"/>
          <w:b/>
          <w:bCs/>
          <w:sz w:val="24"/>
          <w:szCs w:val="24"/>
          <w:lang w:eastAsia="it-IT"/>
        </w:rPr>
      </w:pPr>
    </w:p>
    <w:p w14:paraId="51D059AA" w14:textId="762463C5" w:rsidR="009802BE" w:rsidRDefault="009802BE" w:rsidP="002C7A85">
      <w:pPr>
        <w:spacing w:after="0" w:line="360" w:lineRule="auto"/>
        <w:ind w:right="98"/>
        <w:jc w:val="both"/>
        <w:rPr>
          <w:rFonts w:ascii="Times New Roman" w:eastAsia="Times New Roman" w:hAnsi="Times New Roman" w:cs="Times New Roman"/>
          <w:b/>
          <w:bCs/>
          <w:sz w:val="24"/>
          <w:szCs w:val="24"/>
          <w:lang w:eastAsia="it-IT"/>
        </w:rPr>
      </w:pPr>
    </w:p>
    <w:p w14:paraId="6D14793F" w14:textId="5951B3BD" w:rsidR="009802BE" w:rsidRDefault="009802BE" w:rsidP="002C7A85">
      <w:pPr>
        <w:spacing w:after="0" w:line="360" w:lineRule="auto"/>
        <w:ind w:right="98"/>
        <w:jc w:val="both"/>
        <w:rPr>
          <w:rFonts w:ascii="Times New Roman" w:eastAsia="Times New Roman" w:hAnsi="Times New Roman" w:cs="Times New Roman"/>
          <w:b/>
          <w:bCs/>
          <w:sz w:val="24"/>
          <w:szCs w:val="24"/>
          <w:lang w:eastAsia="it-IT"/>
        </w:rPr>
      </w:pPr>
    </w:p>
    <w:p w14:paraId="64B9826A" w14:textId="451FF955" w:rsidR="002C7A85" w:rsidRDefault="002C7A85" w:rsidP="002C7A85">
      <w:pPr>
        <w:spacing w:after="0" w:line="360" w:lineRule="auto"/>
        <w:ind w:right="98"/>
        <w:jc w:val="both"/>
        <w:rPr>
          <w:rFonts w:ascii="Times New Roman" w:eastAsia="Times New Roman" w:hAnsi="Times New Roman" w:cs="Times New Roman"/>
          <w:b/>
          <w:bCs/>
          <w:sz w:val="24"/>
          <w:szCs w:val="24"/>
          <w:lang w:eastAsia="it-IT"/>
        </w:rPr>
      </w:pPr>
      <w:r w:rsidRPr="006A21FF">
        <w:rPr>
          <w:rFonts w:ascii="Times New Roman" w:eastAsia="Times New Roman" w:hAnsi="Times New Roman" w:cs="Times New Roman"/>
          <w:b/>
          <w:bCs/>
          <w:sz w:val="24"/>
          <w:szCs w:val="24"/>
          <w:lang w:eastAsia="it-IT"/>
        </w:rPr>
        <w:t>7.3 Capacità di pagamento</w:t>
      </w:r>
    </w:p>
    <w:p w14:paraId="3BCD1598" w14:textId="0AB9F240" w:rsidR="002C7A85" w:rsidRDefault="002C7A85" w:rsidP="003D6803">
      <w:pPr>
        <w:spacing w:after="0" w:line="360" w:lineRule="auto"/>
        <w:ind w:right="98"/>
        <w:jc w:val="both"/>
        <w:rPr>
          <w:rFonts w:ascii="Times New Roman" w:eastAsia="Times New Roman" w:hAnsi="Times New Roman" w:cs="Times New Roman"/>
          <w:b/>
          <w:bCs/>
          <w:sz w:val="24"/>
          <w:szCs w:val="24"/>
          <w:lang w:eastAsia="it-IT"/>
        </w:rPr>
      </w:pPr>
      <w:r w:rsidRPr="00E129AF">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E129AF">
        <w:rPr>
          <w:rFonts w:ascii="Times New Roman" w:eastAsia="Times New Roman" w:hAnsi="Times New Roman" w:cs="Times New Roman"/>
          <w:sz w:val="24"/>
          <w:szCs w:val="24"/>
          <w:lang w:eastAsia="it-IT"/>
        </w:rPr>
        <w:t xml:space="preserve">indice di capacità di pagamento (cfr. </w:t>
      </w:r>
      <w:proofErr w:type="spellStart"/>
      <w:r w:rsidRPr="00E129AF">
        <w:rPr>
          <w:rFonts w:ascii="Times New Roman" w:eastAsia="Times New Roman" w:hAnsi="Times New Roman" w:cs="Times New Roman"/>
          <w:sz w:val="24"/>
          <w:szCs w:val="24"/>
          <w:lang w:eastAsia="it-IT"/>
        </w:rPr>
        <w:t>Tab</w:t>
      </w:r>
      <w:proofErr w:type="spellEnd"/>
      <w:r w:rsidRPr="00E129AF">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8</w:t>
      </w:r>
      <w:r w:rsidRPr="00E129AF">
        <w:rPr>
          <w:rFonts w:ascii="Times New Roman" w:eastAsia="Times New Roman" w:hAnsi="Times New Roman" w:cs="Times New Roman"/>
          <w:sz w:val="24"/>
          <w:szCs w:val="24"/>
          <w:lang w:eastAsia="it-IT"/>
        </w:rPr>
        <w:t>), ovvero il rapporto tra le risorse effettivamente erogate nell</w:t>
      </w:r>
      <w:r w:rsidR="00877AAF">
        <w:rPr>
          <w:rFonts w:ascii="Times New Roman" w:eastAsia="Times New Roman" w:hAnsi="Times New Roman" w:cs="Times New Roman"/>
          <w:sz w:val="24"/>
          <w:szCs w:val="24"/>
          <w:lang w:eastAsia="it-IT"/>
        </w:rPr>
        <w:t>’</w:t>
      </w:r>
      <w:r w:rsidRPr="00E129AF">
        <w:rPr>
          <w:rFonts w:ascii="Times New Roman" w:eastAsia="Times New Roman" w:hAnsi="Times New Roman" w:cs="Times New Roman"/>
          <w:sz w:val="24"/>
          <w:szCs w:val="24"/>
          <w:lang w:eastAsia="it-IT"/>
        </w:rPr>
        <w:t xml:space="preserve">esercizio e la massa impegnata, è pari </w:t>
      </w:r>
      <w:r>
        <w:rPr>
          <w:rFonts w:ascii="Times New Roman" w:eastAsia="Times New Roman" w:hAnsi="Times New Roman" w:cs="Times New Roman"/>
          <w:sz w:val="24"/>
          <w:szCs w:val="24"/>
          <w:lang w:eastAsia="it-IT"/>
        </w:rPr>
        <w:t xml:space="preserve">al </w:t>
      </w:r>
      <w:r w:rsidR="00624524">
        <w:rPr>
          <w:rFonts w:ascii="Times New Roman" w:eastAsia="Times New Roman" w:hAnsi="Times New Roman" w:cs="Times New Roman"/>
          <w:sz w:val="24"/>
          <w:szCs w:val="24"/>
          <w:lang w:eastAsia="it-IT"/>
        </w:rPr>
        <w:t>64,61</w:t>
      </w:r>
      <w:r w:rsidRPr="00E129AF">
        <w:rPr>
          <w:rFonts w:ascii="Times New Roman" w:eastAsia="Times New Roman" w:hAnsi="Times New Roman" w:cs="Times New Roman"/>
          <w:sz w:val="24"/>
          <w:szCs w:val="24"/>
          <w:lang w:eastAsia="it-IT"/>
        </w:rPr>
        <w:t xml:space="preserve"> per cento, con una diminuzione del</w:t>
      </w:r>
      <w:r w:rsidR="00E9408F">
        <w:rPr>
          <w:rFonts w:ascii="Times New Roman" w:eastAsia="Times New Roman" w:hAnsi="Times New Roman" w:cs="Times New Roman"/>
          <w:sz w:val="24"/>
          <w:szCs w:val="24"/>
          <w:lang w:eastAsia="it-IT"/>
        </w:rPr>
        <w:t xml:space="preserve"> 1</w:t>
      </w:r>
      <w:r w:rsidR="00624524">
        <w:rPr>
          <w:rFonts w:ascii="Times New Roman" w:eastAsia="Times New Roman" w:hAnsi="Times New Roman" w:cs="Times New Roman"/>
          <w:sz w:val="24"/>
          <w:szCs w:val="24"/>
          <w:lang w:eastAsia="it-IT"/>
        </w:rPr>
        <w:t>8,9</w:t>
      </w:r>
      <w:r w:rsidR="00653670">
        <w:rPr>
          <w:rFonts w:ascii="Times New Roman" w:eastAsia="Times New Roman" w:hAnsi="Times New Roman" w:cs="Times New Roman"/>
          <w:sz w:val="24"/>
          <w:szCs w:val="24"/>
          <w:lang w:eastAsia="it-IT"/>
        </w:rPr>
        <w:t>1</w:t>
      </w:r>
      <w:r w:rsidRPr="00E129AF">
        <w:rPr>
          <w:rFonts w:ascii="Times New Roman" w:eastAsia="Times New Roman" w:hAnsi="Times New Roman" w:cs="Times New Roman"/>
          <w:sz w:val="24"/>
          <w:szCs w:val="24"/>
          <w:lang w:eastAsia="it-IT"/>
        </w:rPr>
        <w:t xml:space="preserve"> per cento rispetto al 20</w:t>
      </w:r>
      <w:r>
        <w:rPr>
          <w:rFonts w:ascii="Times New Roman" w:eastAsia="Times New Roman" w:hAnsi="Times New Roman" w:cs="Times New Roman"/>
          <w:sz w:val="24"/>
          <w:szCs w:val="24"/>
          <w:lang w:eastAsia="it-IT"/>
        </w:rPr>
        <w:t>21</w:t>
      </w:r>
      <w:r w:rsidRPr="00E129AF">
        <w:rPr>
          <w:rFonts w:ascii="Times New Roman" w:eastAsia="Times New Roman" w:hAnsi="Times New Roman" w:cs="Times New Roman"/>
          <w:sz w:val="24"/>
          <w:szCs w:val="24"/>
          <w:lang w:eastAsia="it-IT"/>
        </w:rPr>
        <w:t>.</w:t>
      </w:r>
      <w:r w:rsidRPr="00CA05CA">
        <w:rPr>
          <w:rFonts w:ascii="Times New Roman" w:eastAsia="Times New Roman" w:hAnsi="Times New Roman" w:cs="Times New Roman"/>
          <w:sz w:val="24"/>
          <w:szCs w:val="24"/>
          <w:lang w:eastAsia="it-IT"/>
        </w:rPr>
        <w:t xml:space="preserve">  </w:t>
      </w:r>
    </w:p>
    <w:p w14:paraId="45BB2A29" w14:textId="77777777" w:rsidR="002C7A85" w:rsidRDefault="002C7A85" w:rsidP="002C7A85">
      <w:pPr>
        <w:spacing w:after="0" w:line="360" w:lineRule="auto"/>
        <w:ind w:right="98"/>
        <w:jc w:val="center"/>
        <w:rPr>
          <w:rFonts w:ascii="Times New Roman" w:eastAsia="Times New Roman" w:hAnsi="Times New Roman" w:cs="Times New Roman"/>
          <w:b/>
          <w:bCs/>
          <w:sz w:val="24"/>
          <w:szCs w:val="24"/>
          <w:lang w:eastAsia="it-IT"/>
        </w:rPr>
      </w:pPr>
      <w:proofErr w:type="spellStart"/>
      <w:r>
        <w:rPr>
          <w:rFonts w:ascii="Times New Roman" w:eastAsia="Times New Roman" w:hAnsi="Times New Roman" w:cs="Times New Roman"/>
          <w:b/>
          <w:bCs/>
          <w:sz w:val="24"/>
          <w:szCs w:val="24"/>
          <w:lang w:eastAsia="it-IT"/>
        </w:rPr>
        <w:t>Tab</w:t>
      </w:r>
      <w:proofErr w:type="spellEnd"/>
      <w:r>
        <w:rPr>
          <w:rFonts w:ascii="Times New Roman" w:eastAsia="Times New Roman" w:hAnsi="Times New Roman" w:cs="Times New Roman"/>
          <w:b/>
          <w:bCs/>
          <w:sz w:val="24"/>
          <w:szCs w:val="24"/>
          <w:lang w:eastAsia="it-IT"/>
        </w:rPr>
        <w:t>. 8 - Capacità di pagamento</w:t>
      </w:r>
    </w:p>
    <w:p w14:paraId="384D37E5" w14:textId="57FD3774" w:rsidR="00624524" w:rsidRDefault="00472250" w:rsidP="002C7A85">
      <w:pPr>
        <w:spacing w:after="0" w:line="360" w:lineRule="auto"/>
        <w:ind w:right="98"/>
        <w:jc w:val="center"/>
        <w:rPr>
          <w:rFonts w:ascii="Times New Roman" w:eastAsia="Times New Roman" w:hAnsi="Times New Roman" w:cs="Times New Roman"/>
          <w:b/>
          <w:bCs/>
          <w:sz w:val="24"/>
          <w:szCs w:val="24"/>
          <w:lang w:eastAsia="it-IT"/>
        </w:rPr>
      </w:pPr>
      <w:r w:rsidRPr="00472250">
        <w:rPr>
          <w:noProof/>
          <w:lang w:eastAsia="it-IT"/>
        </w:rPr>
        <w:drawing>
          <wp:inline distT="0" distB="0" distL="0" distR="0" wp14:anchorId="44CB89A0" wp14:editId="3828F752">
            <wp:extent cx="3618188" cy="691563"/>
            <wp:effectExtent l="0" t="0" r="190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8171" cy="703028"/>
                    </a:xfrm>
                    <a:prstGeom prst="rect">
                      <a:avLst/>
                    </a:prstGeom>
                    <a:noFill/>
                    <a:ln>
                      <a:noFill/>
                    </a:ln>
                  </pic:spPr>
                </pic:pic>
              </a:graphicData>
            </a:graphic>
          </wp:inline>
        </w:drawing>
      </w:r>
    </w:p>
    <w:p w14:paraId="05660D3C" w14:textId="316369CA" w:rsidR="00624524" w:rsidRDefault="00472250" w:rsidP="002C7A85">
      <w:pPr>
        <w:spacing w:after="0" w:line="360" w:lineRule="auto"/>
        <w:ind w:right="98"/>
        <w:jc w:val="center"/>
        <w:rPr>
          <w:rFonts w:ascii="Times New Roman" w:eastAsia="Times New Roman" w:hAnsi="Times New Roman" w:cs="Times New Roman"/>
          <w:b/>
          <w:bCs/>
          <w:sz w:val="24"/>
          <w:szCs w:val="24"/>
          <w:lang w:eastAsia="it-IT"/>
        </w:rPr>
      </w:pPr>
      <w:r>
        <w:rPr>
          <w:rFonts w:ascii="Times New Roman" w:eastAsia="Times New Roman" w:hAnsi="Times New Roman" w:cs="Times New Roman"/>
          <w:b/>
          <w:bCs/>
          <w:noProof/>
          <w:sz w:val="24"/>
          <w:szCs w:val="24"/>
          <w:lang w:eastAsia="it-IT"/>
        </w:rPr>
        <w:drawing>
          <wp:inline distT="0" distB="0" distL="0" distR="0" wp14:anchorId="0154DEF1" wp14:editId="532CA3DA">
            <wp:extent cx="3699025" cy="219564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802" cy="2209160"/>
                    </a:xfrm>
                    <a:prstGeom prst="rect">
                      <a:avLst/>
                    </a:prstGeom>
                    <a:noFill/>
                  </pic:spPr>
                </pic:pic>
              </a:graphicData>
            </a:graphic>
          </wp:inline>
        </w:drawing>
      </w:r>
    </w:p>
    <w:p w14:paraId="66B53D32" w14:textId="69C0D247" w:rsidR="009802BE" w:rsidRDefault="009802BE" w:rsidP="002C7A85">
      <w:pPr>
        <w:spacing w:after="0" w:line="360" w:lineRule="auto"/>
        <w:jc w:val="both"/>
        <w:rPr>
          <w:rFonts w:ascii="Times New Roman" w:eastAsia="Times New Roman" w:hAnsi="Times New Roman" w:cs="Times New Roman"/>
          <w:sz w:val="24"/>
          <w:szCs w:val="24"/>
          <w:lang w:eastAsia="it-IT"/>
        </w:rPr>
      </w:pPr>
    </w:p>
    <w:p w14:paraId="254FD040" w14:textId="2210182C" w:rsidR="00FB36E6" w:rsidRDefault="00FB36E6" w:rsidP="002C7A85">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L</w:t>
      </w:r>
      <w:r w:rsidR="005835E2">
        <w:rPr>
          <w:rFonts w:ascii="Times New Roman" w:eastAsia="Times New Roman" w:hAnsi="Times New Roman" w:cs="Times New Roman"/>
          <w:sz w:val="24"/>
          <w:szCs w:val="24"/>
          <w:lang w:eastAsia="it-IT"/>
        </w:rPr>
        <w:t>e</w:t>
      </w:r>
      <w:r>
        <w:rPr>
          <w:rFonts w:ascii="Times New Roman" w:eastAsia="Times New Roman" w:hAnsi="Times New Roman" w:cs="Times New Roman"/>
          <w:sz w:val="24"/>
          <w:szCs w:val="24"/>
          <w:lang w:eastAsia="it-IT"/>
        </w:rPr>
        <w:t xml:space="preserve"> riduzion</w:t>
      </w:r>
      <w:r w:rsidR="00172499">
        <w:rPr>
          <w:rFonts w:ascii="Times New Roman" w:eastAsia="Times New Roman" w:hAnsi="Times New Roman" w:cs="Times New Roman"/>
          <w:sz w:val="24"/>
          <w:szCs w:val="24"/>
          <w:lang w:eastAsia="it-IT"/>
        </w:rPr>
        <w:t>i</w:t>
      </w:r>
      <w:r>
        <w:rPr>
          <w:rFonts w:ascii="Times New Roman" w:eastAsia="Times New Roman" w:hAnsi="Times New Roman" w:cs="Times New Roman"/>
          <w:sz w:val="24"/>
          <w:szCs w:val="24"/>
          <w:lang w:eastAsia="it-IT"/>
        </w:rPr>
        <w:t xml:space="preserve"> delle capacità di impegno e di pagamento sono state generate dalla fine del mandato del precedente Governo</w:t>
      </w:r>
      <w:r w:rsidR="00494941">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ma già nel primo trimestre del 2023 si osserva un decisivo rafforzamento delle dette capacità.</w:t>
      </w:r>
    </w:p>
    <w:p w14:paraId="7DA901B3" w14:textId="77777777" w:rsidR="002B276D" w:rsidRPr="00FB36E6" w:rsidRDefault="002B276D" w:rsidP="002C7A85">
      <w:pPr>
        <w:spacing w:after="0" w:line="360" w:lineRule="auto"/>
        <w:jc w:val="both"/>
        <w:rPr>
          <w:rFonts w:ascii="Times New Roman" w:eastAsia="Times New Roman" w:hAnsi="Times New Roman" w:cs="Times New Roman"/>
          <w:sz w:val="24"/>
          <w:szCs w:val="24"/>
          <w:lang w:eastAsia="it-IT"/>
        </w:rPr>
      </w:pPr>
    </w:p>
    <w:p w14:paraId="1F5EC99D" w14:textId="77777777" w:rsidR="00FB36E6" w:rsidRDefault="00FB36E6" w:rsidP="002C7A85">
      <w:pPr>
        <w:spacing w:after="0" w:line="360" w:lineRule="auto"/>
        <w:jc w:val="both"/>
        <w:rPr>
          <w:rFonts w:ascii="Times New Roman" w:eastAsia="Times New Roman" w:hAnsi="Times New Roman" w:cs="Times New Roman"/>
          <w:b/>
          <w:sz w:val="24"/>
          <w:szCs w:val="24"/>
          <w:lang w:eastAsia="it-IT"/>
        </w:rPr>
      </w:pPr>
    </w:p>
    <w:p w14:paraId="15101C2B" w14:textId="5BCE9609" w:rsidR="002C7A85" w:rsidRDefault="002C7A85" w:rsidP="002C7A85">
      <w:pPr>
        <w:spacing w:after="0" w:line="360" w:lineRule="auto"/>
        <w:jc w:val="both"/>
        <w:rPr>
          <w:rFonts w:ascii="Times New Roman" w:eastAsia="Times New Roman" w:hAnsi="Times New Roman" w:cs="Times New Roman"/>
          <w:b/>
          <w:bCs/>
          <w:sz w:val="24"/>
          <w:szCs w:val="24"/>
          <w:lang w:eastAsia="it-IT"/>
        </w:rPr>
      </w:pPr>
      <w:r w:rsidRPr="006A21FF">
        <w:rPr>
          <w:rFonts w:ascii="Times New Roman" w:eastAsia="Times New Roman" w:hAnsi="Times New Roman" w:cs="Times New Roman"/>
          <w:b/>
          <w:sz w:val="24"/>
          <w:szCs w:val="24"/>
          <w:lang w:eastAsia="it-IT"/>
        </w:rPr>
        <w:lastRenderedPageBreak/>
        <w:t>7.4 Scomposizione delle somme impegnate nell</w:t>
      </w:r>
      <w:r w:rsidR="00877AAF">
        <w:rPr>
          <w:rFonts w:ascii="Times New Roman" w:eastAsia="Times New Roman" w:hAnsi="Times New Roman" w:cs="Times New Roman"/>
          <w:b/>
          <w:sz w:val="24"/>
          <w:szCs w:val="24"/>
          <w:lang w:eastAsia="it-IT"/>
        </w:rPr>
        <w:t>’</w:t>
      </w:r>
      <w:r w:rsidRPr="006A21FF">
        <w:rPr>
          <w:rFonts w:ascii="Times New Roman" w:eastAsia="Times New Roman" w:hAnsi="Times New Roman" w:cs="Times New Roman"/>
          <w:b/>
          <w:sz w:val="24"/>
          <w:szCs w:val="24"/>
          <w:lang w:eastAsia="it-IT"/>
        </w:rPr>
        <w:t xml:space="preserve">esercizio 2022 per </w:t>
      </w:r>
      <w:proofErr w:type="spellStart"/>
      <w:r w:rsidRPr="006A21FF">
        <w:rPr>
          <w:rFonts w:ascii="Times New Roman" w:eastAsia="Times New Roman" w:hAnsi="Times New Roman" w:cs="Times New Roman"/>
          <w:b/>
          <w:sz w:val="24"/>
          <w:szCs w:val="24"/>
          <w:lang w:eastAsia="it-IT"/>
        </w:rPr>
        <w:t>macroaggregati</w:t>
      </w:r>
      <w:proofErr w:type="spellEnd"/>
      <w:r w:rsidRPr="006A21FF">
        <w:rPr>
          <w:rFonts w:ascii="Times New Roman" w:eastAsia="Times New Roman" w:hAnsi="Times New Roman" w:cs="Times New Roman"/>
          <w:b/>
          <w:bCs/>
          <w:sz w:val="24"/>
          <w:szCs w:val="24"/>
          <w:lang w:eastAsia="it-IT"/>
        </w:rPr>
        <w:tab/>
      </w:r>
    </w:p>
    <w:p w14:paraId="26156840" w14:textId="71896A6A" w:rsidR="002C7A85" w:rsidRPr="00F9063B" w:rsidRDefault="002C7A85" w:rsidP="002C7A85">
      <w:pPr>
        <w:spacing w:after="0" w:line="360" w:lineRule="auto"/>
        <w:jc w:val="both"/>
        <w:rPr>
          <w:rFonts w:ascii="Times New Roman" w:eastAsia="Times New Roman" w:hAnsi="Times New Roman" w:cs="Times New Roman"/>
          <w:bCs/>
          <w:sz w:val="24"/>
          <w:szCs w:val="24"/>
          <w:lang w:eastAsia="it-IT"/>
        </w:rPr>
      </w:pPr>
      <w:r w:rsidRPr="00F9063B">
        <w:rPr>
          <w:rFonts w:ascii="Times New Roman" w:eastAsia="Times New Roman" w:hAnsi="Times New Roman" w:cs="Times New Roman"/>
          <w:bCs/>
          <w:sz w:val="24"/>
          <w:szCs w:val="24"/>
          <w:lang w:eastAsia="it-IT"/>
        </w:rPr>
        <w:t>Il complesso degli impegni assunti nell</w:t>
      </w:r>
      <w:r w:rsidR="00877AAF">
        <w:rPr>
          <w:rFonts w:ascii="Times New Roman" w:eastAsia="Times New Roman" w:hAnsi="Times New Roman" w:cs="Times New Roman"/>
          <w:bCs/>
          <w:sz w:val="24"/>
          <w:szCs w:val="24"/>
          <w:lang w:eastAsia="it-IT"/>
        </w:rPr>
        <w:t>’</w:t>
      </w:r>
      <w:r w:rsidRPr="00F9063B">
        <w:rPr>
          <w:rFonts w:ascii="Times New Roman" w:eastAsia="Times New Roman" w:hAnsi="Times New Roman" w:cs="Times New Roman"/>
          <w:bCs/>
          <w:sz w:val="24"/>
          <w:szCs w:val="24"/>
          <w:lang w:eastAsia="it-IT"/>
        </w:rPr>
        <w:t>esercizio 202</w:t>
      </w:r>
      <w:r>
        <w:rPr>
          <w:rFonts w:ascii="Times New Roman" w:eastAsia="Times New Roman" w:hAnsi="Times New Roman" w:cs="Times New Roman"/>
          <w:bCs/>
          <w:sz w:val="24"/>
          <w:szCs w:val="24"/>
          <w:lang w:eastAsia="it-IT"/>
        </w:rPr>
        <w:t>2</w:t>
      </w:r>
      <w:r w:rsidRPr="00F9063B">
        <w:rPr>
          <w:rFonts w:ascii="Times New Roman" w:eastAsia="Times New Roman" w:hAnsi="Times New Roman" w:cs="Times New Roman"/>
          <w:bCs/>
          <w:sz w:val="24"/>
          <w:szCs w:val="24"/>
          <w:lang w:eastAsia="it-IT"/>
        </w:rPr>
        <w:t xml:space="preserve"> è scomposto nei distinti </w:t>
      </w:r>
      <w:proofErr w:type="spellStart"/>
      <w:r w:rsidRPr="00F9063B">
        <w:rPr>
          <w:rFonts w:ascii="Times New Roman" w:eastAsia="Times New Roman" w:hAnsi="Times New Roman" w:cs="Times New Roman"/>
          <w:bCs/>
          <w:sz w:val="24"/>
          <w:szCs w:val="24"/>
          <w:lang w:eastAsia="it-IT"/>
        </w:rPr>
        <w:t>macroaggregati</w:t>
      </w:r>
      <w:proofErr w:type="spellEnd"/>
      <w:r w:rsidRPr="00F9063B">
        <w:rPr>
          <w:rFonts w:ascii="Times New Roman" w:eastAsia="Times New Roman" w:hAnsi="Times New Roman" w:cs="Times New Roman"/>
          <w:bCs/>
          <w:sz w:val="24"/>
          <w:szCs w:val="24"/>
          <w:lang w:eastAsia="it-IT"/>
        </w:rPr>
        <w:t xml:space="preserve"> per tipologia di spesa: funzionamento (personale</w:t>
      </w:r>
      <w:r w:rsidR="002E21F8">
        <w:rPr>
          <w:rFonts w:ascii="Times New Roman" w:eastAsia="Times New Roman" w:hAnsi="Times New Roman" w:cs="Times New Roman"/>
          <w:bCs/>
          <w:sz w:val="24"/>
          <w:szCs w:val="24"/>
          <w:lang w:eastAsia="it-IT"/>
        </w:rPr>
        <w:t>,</w:t>
      </w:r>
      <w:r w:rsidRPr="00F9063B">
        <w:rPr>
          <w:rFonts w:ascii="Times New Roman" w:eastAsia="Times New Roman" w:hAnsi="Times New Roman" w:cs="Times New Roman"/>
          <w:bCs/>
          <w:sz w:val="24"/>
          <w:szCs w:val="24"/>
          <w:lang w:eastAsia="it-IT"/>
        </w:rPr>
        <w:t xml:space="preserve"> beni e servizi), interventi, spese in conto capitale e oneri comuni (versamenti all</w:t>
      </w:r>
      <w:r w:rsidR="00877AAF">
        <w:rPr>
          <w:rFonts w:ascii="Times New Roman" w:eastAsia="Times New Roman" w:hAnsi="Times New Roman" w:cs="Times New Roman"/>
          <w:bCs/>
          <w:sz w:val="24"/>
          <w:szCs w:val="24"/>
          <w:lang w:eastAsia="it-IT"/>
        </w:rPr>
        <w:t>’</w:t>
      </w:r>
      <w:r w:rsidRPr="00F9063B">
        <w:rPr>
          <w:rFonts w:ascii="Times New Roman" w:eastAsia="Times New Roman" w:hAnsi="Times New Roman" w:cs="Times New Roman"/>
          <w:bCs/>
          <w:sz w:val="24"/>
          <w:szCs w:val="24"/>
          <w:lang w:eastAsia="it-IT"/>
        </w:rPr>
        <w:t>entrata del bilancio dello Stato e ad altri enti).</w:t>
      </w:r>
    </w:p>
    <w:p w14:paraId="1E4D35CB" w14:textId="1821D30B" w:rsidR="002C7A85" w:rsidRPr="00F9063B" w:rsidRDefault="002C7A85" w:rsidP="002C7A85">
      <w:pPr>
        <w:spacing w:after="0" w:line="360" w:lineRule="auto"/>
        <w:jc w:val="both"/>
        <w:rPr>
          <w:rFonts w:ascii="Times New Roman" w:eastAsia="Times New Roman" w:hAnsi="Times New Roman" w:cs="Times New Roman"/>
          <w:bCs/>
          <w:sz w:val="24"/>
          <w:szCs w:val="24"/>
          <w:lang w:eastAsia="it-IT"/>
        </w:rPr>
      </w:pPr>
      <w:r w:rsidRPr="00F9063B">
        <w:rPr>
          <w:rFonts w:ascii="Times New Roman" w:eastAsia="Times New Roman" w:hAnsi="Times New Roman" w:cs="Times New Roman"/>
          <w:bCs/>
          <w:sz w:val="24"/>
          <w:szCs w:val="24"/>
          <w:lang w:eastAsia="it-IT"/>
        </w:rPr>
        <w:t>Gli interventi e le spese in conto capitale si attestano al 9</w:t>
      </w:r>
      <w:r>
        <w:rPr>
          <w:rFonts w:ascii="Times New Roman" w:eastAsia="Times New Roman" w:hAnsi="Times New Roman" w:cs="Times New Roman"/>
          <w:bCs/>
          <w:sz w:val="24"/>
          <w:szCs w:val="24"/>
          <w:lang w:eastAsia="it-IT"/>
        </w:rPr>
        <w:t>3</w:t>
      </w:r>
      <w:r w:rsidRPr="00F9063B">
        <w:rPr>
          <w:rFonts w:ascii="Times New Roman" w:eastAsia="Times New Roman" w:hAnsi="Times New Roman" w:cs="Times New Roman"/>
          <w:bCs/>
          <w:sz w:val="24"/>
          <w:szCs w:val="24"/>
          <w:lang w:eastAsia="it-IT"/>
        </w:rPr>
        <w:t>,</w:t>
      </w:r>
      <w:r>
        <w:rPr>
          <w:rFonts w:ascii="Times New Roman" w:eastAsia="Times New Roman" w:hAnsi="Times New Roman" w:cs="Times New Roman"/>
          <w:bCs/>
          <w:sz w:val="24"/>
          <w:szCs w:val="24"/>
          <w:lang w:eastAsia="it-IT"/>
        </w:rPr>
        <w:t>28</w:t>
      </w:r>
      <w:r w:rsidRPr="00F9063B">
        <w:rPr>
          <w:rFonts w:ascii="Times New Roman" w:eastAsia="Times New Roman" w:hAnsi="Times New Roman" w:cs="Times New Roman"/>
          <w:bCs/>
          <w:sz w:val="24"/>
          <w:szCs w:val="24"/>
          <w:lang w:eastAsia="it-IT"/>
        </w:rPr>
        <w:t xml:space="preserve"> per cento del totale delle risorse impegnate mentre quelle riguardanti il funzionamento (personale, beni e servizi) interessano il 5,</w:t>
      </w:r>
      <w:r>
        <w:rPr>
          <w:rFonts w:ascii="Times New Roman" w:eastAsia="Times New Roman" w:hAnsi="Times New Roman" w:cs="Times New Roman"/>
          <w:bCs/>
          <w:sz w:val="24"/>
          <w:szCs w:val="24"/>
          <w:lang w:eastAsia="it-IT"/>
        </w:rPr>
        <w:t>93</w:t>
      </w:r>
      <w:r w:rsidRPr="00F9063B">
        <w:rPr>
          <w:rFonts w:ascii="Times New Roman" w:eastAsia="Times New Roman" w:hAnsi="Times New Roman" w:cs="Times New Roman"/>
          <w:bCs/>
          <w:sz w:val="24"/>
          <w:szCs w:val="24"/>
          <w:lang w:eastAsia="it-IT"/>
        </w:rPr>
        <w:t xml:space="preserve"> per cento dell</w:t>
      </w:r>
      <w:r w:rsidR="00877AAF">
        <w:rPr>
          <w:rFonts w:ascii="Times New Roman" w:eastAsia="Times New Roman" w:hAnsi="Times New Roman" w:cs="Times New Roman"/>
          <w:bCs/>
          <w:sz w:val="24"/>
          <w:szCs w:val="24"/>
          <w:lang w:eastAsia="it-IT"/>
        </w:rPr>
        <w:t>’</w:t>
      </w:r>
      <w:r w:rsidRPr="00F9063B">
        <w:rPr>
          <w:rFonts w:ascii="Times New Roman" w:eastAsia="Times New Roman" w:hAnsi="Times New Roman" w:cs="Times New Roman"/>
          <w:bCs/>
          <w:sz w:val="24"/>
          <w:szCs w:val="24"/>
          <w:lang w:eastAsia="it-IT"/>
        </w:rPr>
        <w:t xml:space="preserve">impegnato (cfr. </w:t>
      </w:r>
      <w:proofErr w:type="spellStart"/>
      <w:r w:rsidRPr="00F9063B">
        <w:rPr>
          <w:rFonts w:ascii="Times New Roman" w:eastAsia="Times New Roman" w:hAnsi="Times New Roman" w:cs="Times New Roman"/>
          <w:bCs/>
          <w:sz w:val="24"/>
          <w:szCs w:val="24"/>
          <w:lang w:eastAsia="it-IT"/>
        </w:rPr>
        <w:t>Tab</w:t>
      </w:r>
      <w:proofErr w:type="spellEnd"/>
      <w:r w:rsidRPr="00F9063B">
        <w:rPr>
          <w:rFonts w:ascii="Times New Roman" w:eastAsia="Times New Roman" w:hAnsi="Times New Roman" w:cs="Times New Roman"/>
          <w:bCs/>
          <w:sz w:val="24"/>
          <w:szCs w:val="24"/>
          <w:lang w:eastAsia="it-IT"/>
        </w:rPr>
        <w:t>. 9).</w:t>
      </w:r>
    </w:p>
    <w:p w14:paraId="183851EB" w14:textId="77777777" w:rsidR="009802BE" w:rsidRDefault="009802BE" w:rsidP="002C7A85">
      <w:pPr>
        <w:spacing w:after="0" w:line="360" w:lineRule="auto"/>
        <w:jc w:val="center"/>
        <w:rPr>
          <w:rFonts w:ascii="Times New Roman" w:eastAsia="Times New Roman" w:hAnsi="Times New Roman" w:cs="Times New Roman"/>
          <w:b/>
          <w:bCs/>
          <w:sz w:val="24"/>
          <w:szCs w:val="24"/>
          <w:lang w:eastAsia="it-IT"/>
        </w:rPr>
      </w:pPr>
    </w:p>
    <w:p w14:paraId="3AAB27BE" w14:textId="5CB7F4D4" w:rsidR="002C7A85" w:rsidRPr="00F9063B" w:rsidRDefault="002C7A85" w:rsidP="002C7A85">
      <w:pPr>
        <w:spacing w:after="0" w:line="360" w:lineRule="auto"/>
        <w:jc w:val="center"/>
        <w:rPr>
          <w:rFonts w:ascii="Times New Roman" w:eastAsia="Times New Roman" w:hAnsi="Times New Roman" w:cs="Times New Roman"/>
          <w:b/>
          <w:bCs/>
          <w:sz w:val="24"/>
          <w:szCs w:val="24"/>
          <w:lang w:eastAsia="it-IT"/>
        </w:rPr>
      </w:pPr>
      <w:proofErr w:type="spellStart"/>
      <w:r w:rsidRPr="00F9063B">
        <w:rPr>
          <w:rFonts w:ascii="Times New Roman" w:eastAsia="Times New Roman" w:hAnsi="Times New Roman" w:cs="Times New Roman"/>
          <w:b/>
          <w:bCs/>
          <w:sz w:val="24"/>
          <w:szCs w:val="24"/>
          <w:lang w:eastAsia="it-IT"/>
        </w:rPr>
        <w:t>Tab</w:t>
      </w:r>
      <w:proofErr w:type="spellEnd"/>
      <w:r w:rsidRPr="00F9063B">
        <w:rPr>
          <w:rFonts w:ascii="Times New Roman" w:eastAsia="Times New Roman" w:hAnsi="Times New Roman" w:cs="Times New Roman"/>
          <w:b/>
          <w:bCs/>
          <w:sz w:val="24"/>
          <w:szCs w:val="24"/>
          <w:lang w:eastAsia="it-IT"/>
        </w:rPr>
        <w:t xml:space="preserve">. 9 </w:t>
      </w:r>
      <w:r>
        <w:rPr>
          <w:rFonts w:ascii="Times New Roman" w:eastAsia="Times New Roman" w:hAnsi="Times New Roman" w:cs="Times New Roman"/>
          <w:b/>
          <w:bCs/>
          <w:sz w:val="24"/>
          <w:szCs w:val="24"/>
          <w:lang w:eastAsia="it-IT"/>
        </w:rPr>
        <w:t xml:space="preserve">- </w:t>
      </w:r>
      <w:r w:rsidRPr="00F9063B">
        <w:rPr>
          <w:rFonts w:ascii="Times New Roman" w:eastAsia="Times New Roman" w:hAnsi="Times New Roman" w:cs="Times New Roman"/>
          <w:b/>
          <w:bCs/>
          <w:sz w:val="24"/>
          <w:szCs w:val="24"/>
          <w:lang w:eastAsia="it-IT"/>
        </w:rPr>
        <w:t xml:space="preserve">Scomposizione per </w:t>
      </w:r>
      <w:proofErr w:type="spellStart"/>
      <w:r w:rsidRPr="00F9063B">
        <w:rPr>
          <w:rFonts w:ascii="Times New Roman" w:eastAsia="Times New Roman" w:hAnsi="Times New Roman" w:cs="Times New Roman"/>
          <w:b/>
          <w:bCs/>
          <w:sz w:val="24"/>
          <w:szCs w:val="24"/>
          <w:lang w:eastAsia="it-IT"/>
        </w:rPr>
        <w:t>macroaggregati</w:t>
      </w:r>
      <w:proofErr w:type="spellEnd"/>
    </w:p>
    <w:p w14:paraId="53208820" w14:textId="2378EEB4" w:rsidR="002C7A85" w:rsidRDefault="00472250" w:rsidP="002C7A85">
      <w:pPr>
        <w:spacing w:after="0" w:line="360" w:lineRule="auto"/>
        <w:jc w:val="center"/>
        <w:rPr>
          <w:rFonts w:ascii="Times New Roman" w:eastAsia="Times New Roman" w:hAnsi="Times New Roman" w:cs="Times New Roman"/>
          <w:b/>
          <w:bCs/>
          <w:sz w:val="24"/>
          <w:szCs w:val="24"/>
          <w:highlight w:val="cyan"/>
          <w:lang w:eastAsia="it-IT"/>
        </w:rPr>
      </w:pPr>
      <w:r w:rsidRPr="00472250">
        <w:rPr>
          <w:noProof/>
          <w:lang w:eastAsia="it-IT"/>
        </w:rPr>
        <w:drawing>
          <wp:inline distT="0" distB="0" distL="0" distR="0" wp14:anchorId="7C40B7C3" wp14:editId="0EC12A1A">
            <wp:extent cx="2743200" cy="2036445"/>
            <wp:effectExtent l="0" t="0" r="0" b="190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036445"/>
                    </a:xfrm>
                    <a:prstGeom prst="rect">
                      <a:avLst/>
                    </a:prstGeom>
                    <a:noFill/>
                    <a:ln>
                      <a:noFill/>
                    </a:ln>
                  </pic:spPr>
                </pic:pic>
              </a:graphicData>
            </a:graphic>
          </wp:inline>
        </w:drawing>
      </w:r>
    </w:p>
    <w:p w14:paraId="2213273E" w14:textId="0EF6EB81" w:rsidR="002C7A85" w:rsidRDefault="00472250" w:rsidP="002C7A85">
      <w:pPr>
        <w:spacing w:after="0" w:line="360" w:lineRule="auto"/>
        <w:jc w:val="center"/>
        <w:rPr>
          <w:rFonts w:ascii="Times New Roman" w:eastAsia="Times New Roman" w:hAnsi="Times New Roman" w:cs="Times New Roman"/>
          <w:b/>
          <w:bCs/>
          <w:sz w:val="24"/>
          <w:szCs w:val="24"/>
          <w:highlight w:val="cyan"/>
          <w:lang w:eastAsia="it-IT"/>
        </w:rPr>
      </w:pPr>
      <w:r w:rsidRPr="00472250">
        <w:rPr>
          <w:rFonts w:ascii="Times New Roman" w:eastAsia="Times New Roman" w:hAnsi="Times New Roman" w:cs="Times New Roman"/>
          <w:b/>
          <w:bCs/>
          <w:noProof/>
          <w:sz w:val="24"/>
          <w:szCs w:val="24"/>
          <w:lang w:eastAsia="it-IT"/>
        </w:rPr>
        <w:drawing>
          <wp:inline distT="0" distB="0" distL="0" distR="0" wp14:anchorId="03298D22" wp14:editId="734C2975">
            <wp:extent cx="3928510" cy="243872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369" cy="2447328"/>
                    </a:xfrm>
                    <a:prstGeom prst="rect">
                      <a:avLst/>
                    </a:prstGeom>
                    <a:noFill/>
                  </pic:spPr>
                </pic:pic>
              </a:graphicData>
            </a:graphic>
          </wp:inline>
        </w:drawing>
      </w:r>
    </w:p>
    <w:p w14:paraId="53D5336A" w14:textId="77777777" w:rsidR="002C7A85" w:rsidRDefault="002C7A85" w:rsidP="002C7A85">
      <w:pPr>
        <w:spacing w:after="0" w:line="360" w:lineRule="auto"/>
        <w:jc w:val="center"/>
        <w:rPr>
          <w:rFonts w:ascii="Times New Roman" w:eastAsia="Times New Roman" w:hAnsi="Times New Roman" w:cs="Times New Roman"/>
          <w:b/>
          <w:bCs/>
          <w:sz w:val="24"/>
          <w:szCs w:val="24"/>
          <w:highlight w:val="cyan"/>
          <w:lang w:eastAsia="it-IT"/>
        </w:rPr>
      </w:pPr>
    </w:p>
    <w:p w14:paraId="352244B2" w14:textId="77777777" w:rsidR="002C7A85" w:rsidRPr="00F10828" w:rsidRDefault="002C7A85" w:rsidP="002C7A85">
      <w:pPr>
        <w:spacing w:after="0" w:line="360" w:lineRule="auto"/>
        <w:jc w:val="both"/>
        <w:rPr>
          <w:rFonts w:ascii="Times New Roman" w:eastAsia="Times New Roman" w:hAnsi="Times New Roman" w:cs="Times New Roman"/>
          <w:b/>
          <w:bCs/>
          <w:sz w:val="24"/>
          <w:szCs w:val="24"/>
          <w:lang w:eastAsia="it-IT"/>
        </w:rPr>
      </w:pPr>
      <w:r w:rsidRPr="00CA05CA">
        <w:rPr>
          <w:rFonts w:ascii="Times New Roman" w:eastAsia="Times New Roman" w:hAnsi="Times New Roman" w:cs="Times New Roman"/>
          <w:bCs/>
          <w:sz w:val="24"/>
          <w:szCs w:val="24"/>
          <w:lang w:eastAsia="it-IT"/>
        </w:rPr>
        <w:t xml:space="preserve">Tale scomposizione per </w:t>
      </w:r>
      <w:proofErr w:type="spellStart"/>
      <w:r w:rsidRPr="00CA05CA">
        <w:rPr>
          <w:rFonts w:ascii="Times New Roman" w:eastAsia="Times New Roman" w:hAnsi="Times New Roman" w:cs="Times New Roman"/>
          <w:bCs/>
          <w:sz w:val="24"/>
          <w:szCs w:val="24"/>
          <w:lang w:eastAsia="it-IT"/>
        </w:rPr>
        <w:t>macroaggregati</w:t>
      </w:r>
      <w:proofErr w:type="spellEnd"/>
      <w:r w:rsidRPr="00CA05CA">
        <w:rPr>
          <w:rFonts w:ascii="Times New Roman" w:eastAsia="Times New Roman" w:hAnsi="Times New Roman" w:cs="Times New Roman"/>
          <w:bCs/>
          <w:sz w:val="24"/>
          <w:szCs w:val="24"/>
          <w:lang w:eastAsia="it-IT"/>
        </w:rPr>
        <w:t xml:space="preserve"> è analizzata nel dettaglio nei successivi paragrafi.</w:t>
      </w:r>
    </w:p>
    <w:p w14:paraId="7EB23CAC" w14:textId="77777777" w:rsidR="004E7535" w:rsidRPr="00A5595D" w:rsidRDefault="004E7535" w:rsidP="004E7535">
      <w:pPr>
        <w:spacing w:after="0" w:line="360" w:lineRule="auto"/>
        <w:jc w:val="center"/>
        <w:rPr>
          <w:rFonts w:ascii="Times New Roman" w:eastAsia="Times New Roman" w:hAnsi="Times New Roman" w:cs="Times New Roman"/>
          <w:b/>
          <w:bCs/>
          <w:sz w:val="24"/>
          <w:szCs w:val="24"/>
          <w:highlight w:val="cyan"/>
          <w:lang w:eastAsia="it-IT"/>
        </w:rPr>
      </w:pPr>
    </w:p>
    <w:p w14:paraId="16CE94CA" w14:textId="77777777" w:rsidR="00A5595D" w:rsidRPr="006A21FF" w:rsidRDefault="00A5595D" w:rsidP="00A5595D">
      <w:pPr>
        <w:spacing w:after="0" w:line="360" w:lineRule="auto"/>
        <w:jc w:val="both"/>
        <w:rPr>
          <w:rFonts w:ascii="Times New Roman" w:eastAsia="Times New Roman" w:hAnsi="Times New Roman" w:cs="Times New Roman"/>
          <w:b/>
          <w:sz w:val="24"/>
          <w:szCs w:val="24"/>
          <w:lang w:eastAsia="it-IT"/>
        </w:rPr>
      </w:pPr>
      <w:r w:rsidRPr="006A21FF">
        <w:rPr>
          <w:rFonts w:ascii="Times New Roman" w:eastAsia="Times New Roman" w:hAnsi="Times New Roman" w:cs="Times New Roman"/>
          <w:b/>
          <w:sz w:val="24"/>
          <w:szCs w:val="24"/>
          <w:lang w:eastAsia="it-IT"/>
        </w:rPr>
        <w:t>7.4.1</w:t>
      </w:r>
      <w:r w:rsidRPr="006A21FF">
        <w:t xml:space="preserve"> </w:t>
      </w:r>
      <w:r w:rsidRPr="006A21FF">
        <w:rPr>
          <w:rFonts w:ascii="Times New Roman" w:hAnsi="Times New Roman" w:cs="Times New Roman"/>
          <w:b/>
        </w:rPr>
        <w:t>P</w:t>
      </w:r>
      <w:r w:rsidRPr="006A21FF">
        <w:rPr>
          <w:rFonts w:ascii="Times New Roman" w:eastAsia="Times New Roman" w:hAnsi="Times New Roman" w:cs="Times New Roman"/>
          <w:b/>
          <w:sz w:val="24"/>
          <w:szCs w:val="24"/>
          <w:lang w:eastAsia="it-IT"/>
        </w:rPr>
        <w:t xml:space="preserve">ersonale </w:t>
      </w:r>
    </w:p>
    <w:p w14:paraId="0E2EB811" w14:textId="7A8AF5EA" w:rsidR="006F3F73" w:rsidRDefault="006F3F73" w:rsidP="001B5784">
      <w:pPr>
        <w:spacing w:after="0" w:line="360" w:lineRule="auto"/>
        <w:jc w:val="both"/>
        <w:rPr>
          <w:rFonts w:ascii="Times New Roman" w:eastAsia="Times New Roman" w:hAnsi="Times New Roman" w:cs="Times New Roman"/>
          <w:sz w:val="24"/>
          <w:szCs w:val="24"/>
          <w:lang w:eastAsia="it-IT"/>
        </w:rPr>
      </w:pPr>
      <w:r w:rsidRPr="006A21FF">
        <w:rPr>
          <w:rFonts w:ascii="Times New Roman" w:eastAsia="Times New Roman" w:hAnsi="Times New Roman" w:cs="Times New Roman"/>
          <w:sz w:val="24"/>
          <w:szCs w:val="24"/>
          <w:lang w:eastAsia="it-IT"/>
        </w:rPr>
        <w:t xml:space="preserve">Per il </w:t>
      </w:r>
      <w:r w:rsidRPr="001B5784">
        <w:rPr>
          <w:rFonts w:ascii="Times New Roman" w:eastAsia="Times New Roman" w:hAnsi="Times New Roman" w:cs="Times New Roman"/>
          <w:sz w:val="24"/>
          <w:szCs w:val="24"/>
          <w:lang w:eastAsia="it-IT"/>
        </w:rPr>
        <w:t>personale,</w:t>
      </w:r>
      <w:r w:rsidRPr="006A21FF">
        <w:rPr>
          <w:rFonts w:ascii="Times New Roman" w:eastAsia="Times New Roman" w:hAnsi="Times New Roman" w:cs="Times New Roman"/>
          <w:sz w:val="24"/>
          <w:szCs w:val="24"/>
          <w:lang w:eastAsia="it-IT"/>
        </w:rPr>
        <w:t xml:space="preserve"> nell</w:t>
      </w:r>
      <w:r w:rsidR="00877AAF">
        <w:rPr>
          <w:rFonts w:ascii="Times New Roman" w:eastAsia="Times New Roman" w:hAnsi="Times New Roman" w:cs="Times New Roman"/>
          <w:sz w:val="24"/>
          <w:szCs w:val="24"/>
          <w:lang w:eastAsia="it-IT"/>
        </w:rPr>
        <w:t>’</w:t>
      </w:r>
      <w:r w:rsidRPr="006A21FF">
        <w:rPr>
          <w:rFonts w:ascii="Times New Roman" w:eastAsia="Times New Roman" w:hAnsi="Times New Roman" w:cs="Times New Roman"/>
          <w:sz w:val="24"/>
          <w:szCs w:val="24"/>
          <w:lang w:eastAsia="it-IT"/>
        </w:rPr>
        <w:t xml:space="preserve">esercizio 2022, è stata impegnata la complessiva somma di euro </w:t>
      </w:r>
      <w:r w:rsidR="00472250">
        <w:rPr>
          <w:rFonts w:ascii="Times New Roman" w:eastAsia="Times New Roman" w:hAnsi="Times New Roman" w:cs="Times New Roman"/>
          <w:sz w:val="24"/>
          <w:szCs w:val="24"/>
          <w:lang w:eastAsia="it-IT"/>
        </w:rPr>
        <w:t>312.834.999,05</w:t>
      </w:r>
      <w:r w:rsidRPr="001B5784">
        <w:rPr>
          <w:rFonts w:ascii="Times New Roman" w:eastAsia="Times New Roman" w:hAnsi="Times New Roman" w:cs="Times New Roman"/>
          <w:sz w:val="24"/>
          <w:szCs w:val="24"/>
          <w:lang w:eastAsia="it-IT"/>
        </w:rPr>
        <w:t xml:space="preserve"> </w:t>
      </w:r>
      <w:r w:rsidR="00446B9A">
        <w:rPr>
          <w:rFonts w:ascii="Times New Roman" w:eastAsia="Times New Roman" w:hAnsi="Times New Roman" w:cs="Times New Roman"/>
          <w:sz w:val="24"/>
          <w:szCs w:val="24"/>
          <w:lang w:eastAsia="it-IT"/>
        </w:rPr>
        <w:t xml:space="preserve">(cfr. </w:t>
      </w:r>
      <w:proofErr w:type="spellStart"/>
      <w:r w:rsidR="00446B9A">
        <w:rPr>
          <w:rFonts w:ascii="Times New Roman" w:eastAsia="Times New Roman" w:hAnsi="Times New Roman" w:cs="Times New Roman"/>
          <w:sz w:val="24"/>
          <w:szCs w:val="24"/>
          <w:lang w:eastAsia="it-IT"/>
        </w:rPr>
        <w:t>T</w:t>
      </w:r>
      <w:r w:rsidRPr="006A21FF">
        <w:rPr>
          <w:rFonts w:ascii="Times New Roman" w:eastAsia="Times New Roman" w:hAnsi="Times New Roman" w:cs="Times New Roman"/>
          <w:sz w:val="24"/>
          <w:szCs w:val="24"/>
          <w:lang w:eastAsia="it-IT"/>
        </w:rPr>
        <w:t>ab</w:t>
      </w:r>
      <w:proofErr w:type="spellEnd"/>
      <w:r w:rsidRPr="006A21FF">
        <w:rPr>
          <w:rFonts w:ascii="Times New Roman" w:eastAsia="Times New Roman" w:hAnsi="Times New Roman" w:cs="Times New Roman"/>
          <w:sz w:val="24"/>
          <w:szCs w:val="24"/>
          <w:lang w:eastAsia="it-IT"/>
        </w:rPr>
        <w:t xml:space="preserve">. 10), in aumento di euro </w:t>
      </w:r>
      <w:r w:rsidR="00472250" w:rsidRPr="00472250">
        <w:rPr>
          <w:rFonts w:ascii="Times New Roman" w:eastAsia="Times New Roman" w:hAnsi="Times New Roman" w:cs="Times New Roman"/>
          <w:sz w:val="24"/>
          <w:szCs w:val="24"/>
          <w:lang w:eastAsia="it-IT"/>
        </w:rPr>
        <w:t>59.973.425,15</w:t>
      </w:r>
      <w:r w:rsidR="001B5784">
        <w:rPr>
          <w:rFonts w:ascii="Times New Roman" w:eastAsia="Times New Roman" w:hAnsi="Times New Roman" w:cs="Times New Roman"/>
          <w:sz w:val="24"/>
          <w:szCs w:val="24"/>
          <w:lang w:eastAsia="it-IT"/>
        </w:rPr>
        <w:t xml:space="preserve"> </w:t>
      </w:r>
      <w:r w:rsidRPr="006A21FF">
        <w:rPr>
          <w:rFonts w:ascii="Times New Roman" w:eastAsia="Times New Roman" w:hAnsi="Times New Roman" w:cs="Times New Roman"/>
          <w:sz w:val="24"/>
          <w:szCs w:val="24"/>
          <w:lang w:eastAsia="it-IT"/>
        </w:rPr>
        <w:t>rispetto all</w:t>
      </w:r>
      <w:r w:rsidR="00877AAF">
        <w:rPr>
          <w:rFonts w:ascii="Times New Roman" w:eastAsia="Times New Roman" w:hAnsi="Times New Roman" w:cs="Times New Roman"/>
          <w:sz w:val="24"/>
          <w:szCs w:val="24"/>
          <w:lang w:eastAsia="it-IT"/>
        </w:rPr>
        <w:t>’</w:t>
      </w:r>
      <w:r w:rsidRPr="006A21FF">
        <w:rPr>
          <w:rFonts w:ascii="Times New Roman" w:eastAsia="Times New Roman" w:hAnsi="Times New Roman" w:cs="Times New Roman"/>
          <w:sz w:val="24"/>
          <w:szCs w:val="24"/>
          <w:lang w:eastAsia="it-IT"/>
        </w:rPr>
        <w:t xml:space="preserve">impegnato 2021, pari </w:t>
      </w:r>
      <w:r w:rsidR="009F77D1">
        <w:rPr>
          <w:rFonts w:ascii="Times New Roman" w:eastAsia="Times New Roman" w:hAnsi="Times New Roman" w:cs="Times New Roman"/>
          <w:sz w:val="24"/>
          <w:szCs w:val="24"/>
          <w:lang w:eastAsia="it-IT"/>
        </w:rPr>
        <w:t>a euro</w:t>
      </w:r>
      <w:r w:rsidRPr="006A21FF">
        <w:rPr>
          <w:rFonts w:ascii="Times New Roman" w:eastAsia="Times New Roman" w:hAnsi="Times New Roman" w:cs="Times New Roman"/>
          <w:sz w:val="24"/>
          <w:szCs w:val="24"/>
          <w:lang w:eastAsia="it-IT"/>
        </w:rPr>
        <w:t xml:space="preserve"> 252.861.573,90.</w:t>
      </w:r>
      <w:r w:rsidRPr="001B5784">
        <w:rPr>
          <w:rFonts w:ascii="Times New Roman" w:eastAsia="Times New Roman" w:hAnsi="Times New Roman" w:cs="Times New Roman"/>
          <w:sz w:val="24"/>
          <w:szCs w:val="24"/>
          <w:lang w:eastAsia="it-IT"/>
        </w:rPr>
        <w:t xml:space="preserve"> </w:t>
      </w:r>
      <w:r w:rsidRPr="003845E2">
        <w:rPr>
          <w:rFonts w:ascii="Times New Roman" w:eastAsia="Times New Roman" w:hAnsi="Times New Roman" w:cs="Times New Roman"/>
          <w:sz w:val="24"/>
          <w:szCs w:val="24"/>
          <w:lang w:eastAsia="it-IT"/>
        </w:rPr>
        <w:t xml:space="preserve">Tale incremento è rilevabile in corrispondenza della maggior parte delle tipologie di </w:t>
      </w:r>
      <w:r w:rsidRPr="003845E2">
        <w:rPr>
          <w:rFonts w:ascii="Times New Roman" w:eastAsia="Times New Roman" w:hAnsi="Times New Roman" w:cs="Times New Roman"/>
          <w:sz w:val="24"/>
          <w:szCs w:val="24"/>
          <w:lang w:eastAsia="it-IT"/>
        </w:rPr>
        <w:lastRenderedPageBreak/>
        <w:t xml:space="preserve">spesa, ad eccezione di quelle relative alle autorità politiche, </w:t>
      </w:r>
      <w:r w:rsidR="009563D2">
        <w:rPr>
          <w:rFonts w:ascii="Times New Roman" w:eastAsia="Times New Roman" w:hAnsi="Times New Roman" w:cs="Times New Roman"/>
          <w:sz w:val="24"/>
          <w:szCs w:val="24"/>
          <w:lang w:eastAsia="it-IT"/>
        </w:rPr>
        <w:t xml:space="preserve">al trattamento accessorio del </w:t>
      </w:r>
      <w:r w:rsidRPr="003845E2">
        <w:rPr>
          <w:rFonts w:ascii="Times New Roman" w:eastAsia="Times New Roman" w:hAnsi="Times New Roman" w:cs="Times New Roman"/>
          <w:sz w:val="24"/>
          <w:szCs w:val="24"/>
          <w:lang w:eastAsia="it-IT"/>
        </w:rPr>
        <w:t xml:space="preserve">personale della protezione civile e ai buoni pasto, nelle quali la spesa è stata rilevata in diminuzione. </w:t>
      </w:r>
    </w:p>
    <w:p w14:paraId="68CC9531" w14:textId="77777777" w:rsidR="00BA3BDB" w:rsidRDefault="00BA3BDB" w:rsidP="001B5784">
      <w:pPr>
        <w:spacing w:after="0" w:line="360" w:lineRule="auto"/>
        <w:jc w:val="both"/>
        <w:rPr>
          <w:rFonts w:ascii="Times New Roman" w:eastAsia="Times New Roman" w:hAnsi="Times New Roman" w:cs="Times New Roman"/>
          <w:sz w:val="24"/>
          <w:szCs w:val="24"/>
          <w:lang w:eastAsia="it-IT"/>
        </w:rPr>
      </w:pPr>
    </w:p>
    <w:p w14:paraId="30024F90" w14:textId="77777777" w:rsidR="00BA3BDB" w:rsidRDefault="00BA3BDB" w:rsidP="00BA3BDB">
      <w:pPr>
        <w:spacing w:after="0" w:line="360" w:lineRule="auto"/>
        <w:jc w:val="center"/>
        <w:rPr>
          <w:rFonts w:ascii="Times New Roman" w:eastAsia="Times New Roman" w:hAnsi="Times New Roman" w:cs="Times New Roman"/>
          <w:b/>
          <w:sz w:val="24"/>
          <w:szCs w:val="24"/>
          <w:lang w:eastAsia="it-IT"/>
        </w:rPr>
      </w:pPr>
      <w:proofErr w:type="spellStart"/>
      <w:r>
        <w:rPr>
          <w:rFonts w:ascii="Times New Roman" w:eastAsia="Times New Roman" w:hAnsi="Times New Roman" w:cs="Times New Roman"/>
          <w:b/>
          <w:sz w:val="24"/>
          <w:szCs w:val="24"/>
          <w:lang w:eastAsia="it-IT"/>
        </w:rPr>
        <w:t>Tab</w:t>
      </w:r>
      <w:proofErr w:type="spellEnd"/>
      <w:r>
        <w:rPr>
          <w:rFonts w:ascii="Times New Roman" w:eastAsia="Times New Roman" w:hAnsi="Times New Roman" w:cs="Times New Roman"/>
          <w:b/>
          <w:sz w:val="24"/>
          <w:szCs w:val="24"/>
          <w:lang w:eastAsia="it-IT"/>
        </w:rPr>
        <w:t xml:space="preserve">. 10 – Andamento </w:t>
      </w:r>
      <w:r w:rsidRPr="00A27D58">
        <w:rPr>
          <w:rFonts w:ascii="Times New Roman" w:eastAsia="Times New Roman" w:hAnsi="Times New Roman" w:cs="Times New Roman"/>
          <w:b/>
          <w:sz w:val="24"/>
          <w:szCs w:val="24"/>
          <w:lang w:eastAsia="it-IT"/>
        </w:rPr>
        <w:t xml:space="preserve">somme impegnate per il personale nel triennio </w:t>
      </w:r>
      <w:r>
        <w:rPr>
          <w:rFonts w:ascii="Times New Roman" w:eastAsia="Times New Roman" w:hAnsi="Times New Roman" w:cs="Times New Roman"/>
          <w:b/>
          <w:sz w:val="24"/>
          <w:szCs w:val="24"/>
          <w:lang w:eastAsia="it-IT"/>
        </w:rPr>
        <w:t>2020-2022</w:t>
      </w:r>
    </w:p>
    <w:p w14:paraId="21CF7D30" w14:textId="7017186B" w:rsidR="00BA3BDB" w:rsidRDefault="00BA3BDB" w:rsidP="00BA3BDB">
      <w:pPr>
        <w:spacing w:after="0" w:line="360" w:lineRule="auto"/>
        <w:jc w:val="center"/>
        <w:rPr>
          <w:rFonts w:ascii="Times New Roman" w:eastAsia="Times New Roman" w:hAnsi="Times New Roman" w:cs="Times New Roman"/>
          <w:sz w:val="24"/>
          <w:szCs w:val="24"/>
          <w:lang w:eastAsia="it-IT"/>
        </w:rPr>
      </w:pPr>
      <w:r w:rsidRPr="00472250">
        <w:rPr>
          <w:noProof/>
          <w:lang w:eastAsia="it-IT"/>
        </w:rPr>
        <w:drawing>
          <wp:inline distT="0" distB="0" distL="0" distR="0" wp14:anchorId="1590F425" wp14:editId="74F2E264">
            <wp:extent cx="3627120" cy="391795"/>
            <wp:effectExtent l="0" t="0" r="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9837" cy="395329"/>
                    </a:xfrm>
                    <a:prstGeom prst="rect">
                      <a:avLst/>
                    </a:prstGeom>
                    <a:noFill/>
                    <a:ln>
                      <a:noFill/>
                    </a:ln>
                  </pic:spPr>
                </pic:pic>
              </a:graphicData>
            </a:graphic>
          </wp:inline>
        </w:drawing>
      </w:r>
    </w:p>
    <w:p w14:paraId="4110B77C" w14:textId="543A8DBD" w:rsidR="00D06EAB" w:rsidRPr="003845E2" w:rsidRDefault="00D06EAB" w:rsidP="00BA3BDB">
      <w:pPr>
        <w:spacing w:after="0" w:line="360" w:lineRule="auto"/>
        <w:jc w:val="center"/>
        <w:rPr>
          <w:rFonts w:ascii="Times New Roman" w:eastAsia="Times New Roman" w:hAnsi="Times New Roman" w:cs="Times New Roman"/>
          <w:sz w:val="24"/>
          <w:szCs w:val="24"/>
          <w:lang w:eastAsia="it-IT"/>
        </w:rPr>
      </w:pPr>
      <w:r w:rsidRPr="00472250">
        <w:rPr>
          <w:rFonts w:ascii="Times New Roman" w:eastAsia="Times New Roman" w:hAnsi="Times New Roman" w:cs="Times New Roman"/>
          <w:b/>
          <w:noProof/>
          <w:sz w:val="24"/>
          <w:szCs w:val="24"/>
          <w:u w:val="single"/>
          <w:lang w:eastAsia="it-IT"/>
        </w:rPr>
        <w:drawing>
          <wp:inline distT="0" distB="0" distL="0" distR="0" wp14:anchorId="655C6712" wp14:editId="24EB0E75">
            <wp:extent cx="3736975" cy="257873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6975" cy="2578735"/>
                    </a:xfrm>
                    <a:prstGeom prst="rect">
                      <a:avLst/>
                    </a:prstGeom>
                    <a:noFill/>
                  </pic:spPr>
                </pic:pic>
              </a:graphicData>
            </a:graphic>
          </wp:inline>
        </w:drawing>
      </w:r>
    </w:p>
    <w:p w14:paraId="6E09CB5B" w14:textId="77777777" w:rsidR="00D06EAB" w:rsidRDefault="00D06EAB" w:rsidP="006F3F73">
      <w:pPr>
        <w:spacing w:after="0" w:line="360" w:lineRule="auto"/>
        <w:jc w:val="both"/>
        <w:rPr>
          <w:rFonts w:ascii="Times New Roman" w:eastAsia="Times New Roman" w:hAnsi="Times New Roman" w:cs="Times New Roman"/>
          <w:sz w:val="24"/>
          <w:szCs w:val="24"/>
          <w:lang w:eastAsia="it-IT"/>
        </w:rPr>
      </w:pPr>
    </w:p>
    <w:p w14:paraId="31581DDF" w14:textId="68966E13" w:rsidR="006F3F73" w:rsidRPr="003845E2" w:rsidRDefault="006F3F73" w:rsidP="006F3F73">
      <w:pPr>
        <w:spacing w:after="0" w:line="360" w:lineRule="auto"/>
        <w:jc w:val="both"/>
        <w:rPr>
          <w:rFonts w:ascii="Times New Roman" w:eastAsia="Times New Roman" w:hAnsi="Times New Roman" w:cs="Times New Roman"/>
          <w:sz w:val="24"/>
          <w:szCs w:val="24"/>
          <w:lang w:eastAsia="it-IT"/>
        </w:rPr>
      </w:pPr>
      <w:r w:rsidRPr="003845E2">
        <w:rPr>
          <w:rFonts w:ascii="Times New Roman" w:eastAsia="Times New Roman" w:hAnsi="Times New Roman" w:cs="Times New Roman"/>
          <w:sz w:val="24"/>
          <w:szCs w:val="24"/>
          <w:lang w:eastAsia="it-IT"/>
        </w:rPr>
        <w:t>Più in dettaglio, si osserva un sensibile aumento delle spese sostenute per il trattamento economico fondamentale del personale di ruolo riconducibile, innanzitutto</w:t>
      </w:r>
      <w:r>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 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erogazione degli incrementi contrattuali e degli arretrati, dal 2016 al 2022, a tutto il personale della Presidenza del Consiglio dei ministri (categorie e dirigenti di prima e di seconda fascia) derivanti dall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applicazione dei rispettivi Contratti collettivi nazionali di lavoro relativi al triennio 2016-2018, sottoscritti nel corso del 2022. Sono proseguite, inoltre</w:t>
      </w:r>
      <w:r w:rsidR="00BB0670">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 le assunzioni effettuate a seguito di concorso e di procedure di mobilità volontaria, al netto delle cessazioni che sono avvenute durante il 2022, con conseguente consolidamento della spesa. </w:t>
      </w:r>
    </w:p>
    <w:p w14:paraId="1C7EC89C" w14:textId="2231032C" w:rsidR="006F3F73" w:rsidRPr="003845E2" w:rsidRDefault="006F3F73" w:rsidP="006F3F73">
      <w:pPr>
        <w:spacing w:after="0" w:line="360" w:lineRule="auto"/>
        <w:jc w:val="both"/>
        <w:rPr>
          <w:rFonts w:ascii="Times New Roman" w:eastAsia="Times New Roman" w:hAnsi="Times New Roman" w:cs="Times New Roman"/>
          <w:strike/>
          <w:sz w:val="24"/>
          <w:szCs w:val="24"/>
          <w:lang w:eastAsia="it-IT"/>
        </w:rPr>
      </w:pPr>
      <w:r w:rsidRPr="003845E2">
        <w:rPr>
          <w:rFonts w:ascii="Times New Roman" w:eastAsia="Times New Roman" w:hAnsi="Times New Roman" w:cs="Times New Roman"/>
          <w:sz w:val="24"/>
          <w:szCs w:val="24"/>
          <w:lang w:eastAsia="it-IT"/>
        </w:rPr>
        <w:t>Rispetto 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anno 2021, si è registrato un aumento delle spese per il trattamento economico accessorio dovuto al parziale ripristino del contingente di personale di prestito</w:t>
      </w:r>
      <w:r w:rsidR="00037322">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 chiamato a conclusione delle predette procedure di mobilità volontaria, in ragione della necessità di rafforzare la partecipazione alle attività di indirizzo e coordinamento proprie della Presidenza del Consiglio dei ministri</w:t>
      </w:r>
      <w:r>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 soprattutto nella impegnativa fase di consolidamento delle attività connesse 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attuazione del PNRR. </w:t>
      </w:r>
    </w:p>
    <w:p w14:paraId="03C32AB2" w14:textId="469A80E9" w:rsidR="006F3F73" w:rsidRPr="00A27D58" w:rsidRDefault="006F3F73" w:rsidP="006F3F73">
      <w:pPr>
        <w:spacing w:after="0" w:line="360" w:lineRule="auto"/>
        <w:jc w:val="both"/>
        <w:rPr>
          <w:rFonts w:ascii="Times New Roman" w:eastAsia="Times New Roman" w:hAnsi="Times New Roman" w:cs="Times New Roman"/>
          <w:sz w:val="24"/>
          <w:szCs w:val="24"/>
          <w:lang w:eastAsia="it-IT"/>
        </w:rPr>
      </w:pPr>
      <w:r w:rsidRPr="003845E2">
        <w:rPr>
          <w:rFonts w:ascii="Times New Roman" w:eastAsia="Times New Roman" w:hAnsi="Times New Roman" w:cs="Times New Roman"/>
          <w:sz w:val="24"/>
          <w:szCs w:val="24"/>
          <w:lang w:eastAsia="it-IT"/>
        </w:rPr>
        <w:t>Nel corso del 2022 è entrata a pieno regime 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operatività delle strutture di missione e delle unità di missione previste dal decreto</w:t>
      </w:r>
      <w:r w:rsidR="00344F0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legge 31 maggio 2021, n. 77, recante </w:t>
      </w:r>
      <w:r w:rsidRPr="00344F0F">
        <w:rPr>
          <w:rFonts w:ascii="Times New Roman" w:eastAsia="Times New Roman" w:hAnsi="Times New Roman" w:cs="Times New Roman"/>
          <w:sz w:val="24"/>
          <w:szCs w:val="24"/>
          <w:lang w:eastAsia="it-IT"/>
        </w:rPr>
        <w:t>“</w:t>
      </w:r>
      <w:proofErr w:type="spellStart"/>
      <w:r w:rsidRPr="00344F0F">
        <w:rPr>
          <w:rFonts w:ascii="Times New Roman" w:eastAsia="Times New Roman" w:hAnsi="Times New Roman" w:cs="Times New Roman"/>
          <w:sz w:val="24"/>
          <w:szCs w:val="24"/>
          <w:lang w:eastAsia="it-IT"/>
        </w:rPr>
        <w:t>Governance</w:t>
      </w:r>
      <w:proofErr w:type="spellEnd"/>
      <w:r w:rsidRPr="00344F0F">
        <w:rPr>
          <w:rFonts w:ascii="Times New Roman" w:eastAsia="Times New Roman" w:hAnsi="Times New Roman" w:cs="Times New Roman"/>
          <w:sz w:val="24"/>
          <w:szCs w:val="24"/>
          <w:lang w:eastAsia="it-IT"/>
        </w:rPr>
        <w:t xml:space="preserve"> del Piano Nazionale di ripresa e resilienza e prime misure di rafforzamento delle strutture amministrative e di accelerazione e snellimento delle procedure”, </w:t>
      </w:r>
      <w:r w:rsidRPr="003845E2">
        <w:rPr>
          <w:rFonts w:ascii="Times New Roman" w:eastAsia="Times New Roman" w:hAnsi="Times New Roman" w:cs="Times New Roman"/>
          <w:sz w:val="24"/>
          <w:szCs w:val="24"/>
          <w:lang w:eastAsia="it-IT"/>
        </w:rPr>
        <w:t>convertito, con modificazioni, dalla legge 29 luglio 2021, n. 108, e dal decreto</w:t>
      </w:r>
      <w:r w:rsidR="00344F0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legge 9 giugno 2021, n. 80, recante </w:t>
      </w:r>
      <w:r w:rsidRPr="00344F0F">
        <w:rPr>
          <w:rFonts w:ascii="Times New Roman" w:eastAsia="Times New Roman" w:hAnsi="Times New Roman" w:cs="Times New Roman"/>
          <w:sz w:val="24"/>
          <w:szCs w:val="24"/>
          <w:lang w:eastAsia="it-IT"/>
        </w:rPr>
        <w:t xml:space="preserve">“Misure urgenti per il rafforzamento della capacità </w:t>
      </w:r>
      <w:r w:rsidRPr="00344F0F">
        <w:rPr>
          <w:rFonts w:ascii="Times New Roman" w:eastAsia="Times New Roman" w:hAnsi="Times New Roman" w:cs="Times New Roman"/>
          <w:sz w:val="24"/>
          <w:szCs w:val="24"/>
          <w:lang w:eastAsia="it-IT"/>
        </w:rPr>
        <w:lastRenderedPageBreak/>
        <w:t>amministrativa delle pubbliche amministrazioni funzionale all</w:t>
      </w:r>
      <w:r w:rsidR="00877AAF" w:rsidRPr="00344F0F">
        <w:rPr>
          <w:rFonts w:ascii="Times New Roman" w:eastAsia="Times New Roman" w:hAnsi="Times New Roman" w:cs="Times New Roman"/>
          <w:sz w:val="24"/>
          <w:szCs w:val="24"/>
          <w:lang w:eastAsia="it-IT"/>
        </w:rPr>
        <w:t>’</w:t>
      </w:r>
      <w:r w:rsidRPr="00344F0F">
        <w:rPr>
          <w:rFonts w:ascii="Times New Roman" w:eastAsia="Times New Roman" w:hAnsi="Times New Roman" w:cs="Times New Roman"/>
          <w:sz w:val="24"/>
          <w:szCs w:val="24"/>
          <w:lang w:eastAsia="it-IT"/>
        </w:rPr>
        <w:t>attuazione del Piano nazionale di ripresa e resilienza (PNRR) e per l</w:t>
      </w:r>
      <w:r w:rsidR="00877AAF" w:rsidRPr="00344F0F">
        <w:rPr>
          <w:rFonts w:ascii="Times New Roman" w:eastAsia="Times New Roman" w:hAnsi="Times New Roman" w:cs="Times New Roman"/>
          <w:sz w:val="24"/>
          <w:szCs w:val="24"/>
          <w:lang w:eastAsia="it-IT"/>
        </w:rPr>
        <w:t>’</w:t>
      </w:r>
      <w:r w:rsidRPr="00344F0F">
        <w:rPr>
          <w:rFonts w:ascii="Times New Roman" w:eastAsia="Times New Roman" w:hAnsi="Times New Roman" w:cs="Times New Roman"/>
          <w:sz w:val="24"/>
          <w:szCs w:val="24"/>
          <w:lang w:eastAsia="it-IT"/>
        </w:rPr>
        <w:t>efficienza della giustizia”,</w:t>
      </w:r>
      <w:r w:rsidRPr="003845E2">
        <w:rPr>
          <w:rFonts w:ascii="Times New Roman" w:eastAsia="Times New Roman" w:hAnsi="Times New Roman" w:cs="Times New Roman"/>
          <w:sz w:val="24"/>
          <w:szCs w:val="24"/>
          <w:lang w:eastAsia="it-IT"/>
        </w:rPr>
        <w:t xml:space="preserve"> convertito, con modificazioni, dall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art</w:t>
      </w:r>
      <w:r w:rsidR="00C333A2">
        <w:rPr>
          <w:rFonts w:ascii="Times New Roman" w:eastAsia="Times New Roman" w:hAnsi="Times New Roman" w:cs="Times New Roman"/>
          <w:sz w:val="24"/>
          <w:szCs w:val="24"/>
          <w:lang w:eastAsia="it-IT"/>
        </w:rPr>
        <w:t xml:space="preserve">icolo </w:t>
      </w:r>
      <w:r w:rsidRPr="003845E2">
        <w:rPr>
          <w:rFonts w:ascii="Times New Roman" w:eastAsia="Times New Roman" w:hAnsi="Times New Roman" w:cs="Times New Roman"/>
          <w:sz w:val="24"/>
          <w:szCs w:val="24"/>
          <w:lang w:eastAsia="it-IT"/>
        </w:rPr>
        <w:t>1, comma 1, della legge 6 agosto 2021, n</w:t>
      </w:r>
      <w:r w:rsidR="006A6DBB">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 113, con conseguente incremento delle spese relative al personale inserito nelle predette strutture. </w:t>
      </w:r>
    </w:p>
    <w:p w14:paraId="3BD2BC44" w14:textId="057D5CA6" w:rsidR="009802BE" w:rsidRPr="00D06EAB" w:rsidRDefault="006F3F73" w:rsidP="006F3F73">
      <w:pPr>
        <w:spacing w:after="0" w:line="360" w:lineRule="auto"/>
        <w:jc w:val="both"/>
        <w:rPr>
          <w:rFonts w:ascii="Times New Roman" w:eastAsia="Times New Roman" w:hAnsi="Times New Roman" w:cs="Times New Roman"/>
          <w:sz w:val="24"/>
          <w:szCs w:val="24"/>
          <w:lang w:eastAsia="it-IT"/>
        </w:rPr>
      </w:pPr>
      <w:r w:rsidRPr="003845E2">
        <w:rPr>
          <w:rFonts w:ascii="Times New Roman" w:eastAsia="Times New Roman" w:hAnsi="Times New Roman" w:cs="Times New Roman"/>
          <w:sz w:val="24"/>
          <w:szCs w:val="24"/>
          <w:lang w:eastAsia="it-IT"/>
        </w:rPr>
        <w:t xml:space="preserve">È stato invece registrato un decremento nelle spese </w:t>
      </w:r>
      <w:r w:rsidR="00486B3E">
        <w:rPr>
          <w:rFonts w:ascii="Times New Roman" w:eastAsia="Times New Roman" w:hAnsi="Times New Roman" w:cs="Times New Roman"/>
          <w:sz w:val="24"/>
          <w:szCs w:val="24"/>
          <w:lang w:eastAsia="it-IT"/>
        </w:rPr>
        <w:t xml:space="preserve">per le Autorità </w:t>
      </w:r>
      <w:r w:rsidR="00D06EAB">
        <w:rPr>
          <w:rFonts w:ascii="Times New Roman" w:eastAsia="Times New Roman" w:hAnsi="Times New Roman" w:cs="Times New Roman"/>
          <w:sz w:val="24"/>
          <w:szCs w:val="24"/>
          <w:lang w:eastAsia="it-IT"/>
        </w:rPr>
        <w:t>politiche</w:t>
      </w:r>
      <w:r w:rsidR="00486B3E">
        <w:rPr>
          <w:rFonts w:ascii="Times New Roman" w:eastAsia="Times New Roman" w:hAnsi="Times New Roman" w:cs="Times New Roman"/>
          <w:sz w:val="24"/>
          <w:szCs w:val="24"/>
          <w:lang w:eastAsia="it-IT"/>
        </w:rPr>
        <w:t xml:space="preserve"> </w:t>
      </w:r>
      <w:r w:rsidR="008D7E2F">
        <w:rPr>
          <w:rFonts w:ascii="Times New Roman" w:eastAsia="Times New Roman" w:hAnsi="Times New Roman" w:cs="Times New Roman"/>
          <w:sz w:val="24"/>
          <w:szCs w:val="24"/>
          <w:lang w:eastAsia="it-IT"/>
        </w:rPr>
        <w:t>e</w:t>
      </w:r>
      <w:r w:rsidR="00486B3E">
        <w:rPr>
          <w:rFonts w:ascii="Times New Roman" w:eastAsia="Times New Roman" w:hAnsi="Times New Roman" w:cs="Times New Roman"/>
          <w:sz w:val="24"/>
          <w:szCs w:val="24"/>
          <w:lang w:eastAsia="it-IT"/>
        </w:rPr>
        <w:t xml:space="preserve"> </w:t>
      </w:r>
      <w:r w:rsidR="004C3676">
        <w:rPr>
          <w:rFonts w:ascii="Times New Roman" w:eastAsia="Times New Roman" w:hAnsi="Times New Roman" w:cs="Times New Roman"/>
          <w:sz w:val="24"/>
          <w:szCs w:val="24"/>
          <w:lang w:eastAsia="it-IT"/>
        </w:rPr>
        <w:t xml:space="preserve">per </w:t>
      </w:r>
      <w:r w:rsidR="00486B3E">
        <w:rPr>
          <w:rFonts w:ascii="Times New Roman" w:eastAsia="Times New Roman" w:hAnsi="Times New Roman" w:cs="Times New Roman"/>
          <w:sz w:val="24"/>
          <w:szCs w:val="24"/>
          <w:lang w:eastAsia="it-IT"/>
        </w:rPr>
        <w:t>i Commissari straordinari.</w:t>
      </w:r>
    </w:p>
    <w:p w14:paraId="60AA1615" w14:textId="32308B33" w:rsidR="006F3F73" w:rsidRDefault="0023445E" w:rsidP="006F3F73">
      <w:pPr>
        <w:spacing w:after="0" w:line="360" w:lineRule="auto"/>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Nella T</w:t>
      </w:r>
      <w:r w:rsidR="006F3F73" w:rsidRPr="00A27D58">
        <w:rPr>
          <w:rFonts w:ascii="Times New Roman" w:eastAsia="Times New Roman" w:hAnsi="Times New Roman" w:cs="Times New Roman"/>
          <w:bCs/>
          <w:sz w:val="24"/>
          <w:szCs w:val="24"/>
          <w:lang w:eastAsia="it-IT"/>
        </w:rPr>
        <w:t>abella 1</w:t>
      </w:r>
      <w:r w:rsidR="006F3F73">
        <w:rPr>
          <w:rFonts w:ascii="Times New Roman" w:eastAsia="Times New Roman" w:hAnsi="Times New Roman" w:cs="Times New Roman"/>
          <w:bCs/>
          <w:sz w:val="24"/>
          <w:szCs w:val="24"/>
          <w:lang w:eastAsia="it-IT"/>
        </w:rPr>
        <w:t>1</w:t>
      </w:r>
      <w:r w:rsidR="006F3F73" w:rsidRPr="00A27D58">
        <w:rPr>
          <w:rFonts w:ascii="Times New Roman" w:eastAsia="Times New Roman" w:hAnsi="Times New Roman" w:cs="Times New Roman"/>
          <w:bCs/>
          <w:sz w:val="24"/>
          <w:szCs w:val="24"/>
          <w:lang w:eastAsia="it-IT"/>
        </w:rPr>
        <w:t xml:space="preserve"> è evidenziata la composizione delle somme impegnate per il personale nel </w:t>
      </w:r>
      <w:r w:rsidR="006F3F73">
        <w:rPr>
          <w:rFonts w:ascii="Times New Roman" w:eastAsia="Times New Roman" w:hAnsi="Times New Roman" w:cs="Times New Roman"/>
          <w:bCs/>
          <w:sz w:val="24"/>
          <w:szCs w:val="24"/>
          <w:lang w:eastAsia="it-IT"/>
        </w:rPr>
        <w:t>2022</w:t>
      </w:r>
      <w:r w:rsidR="006F3F73" w:rsidRPr="00A27D58">
        <w:rPr>
          <w:rFonts w:ascii="Times New Roman" w:eastAsia="Times New Roman" w:hAnsi="Times New Roman" w:cs="Times New Roman"/>
          <w:bCs/>
          <w:sz w:val="24"/>
          <w:szCs w:val="24"/>
          <w:lang w:eastAsia="it-IT"/>
        </w:rPr>
        <w:t xml:space="preserve">, confrontate con quelle impegnate nel </w:t>
      </w:r>
      <w:r w:rsidR="006F3F73">
        <w:rPr>
          <w:rFonts w:ascii="Times New Roman" w:eastAsia="Times New Roman" w:hAnsi="Times New Roman" w:cs="Times New Roman"/>
          <w:bCs/>
          <w:sz w:val="24"/>
          <w:szCs w:val="24"/>
          <w:lang w:eastAsia="it-IT"/>
        </w:rPr>
        <w:t>2021</w:t>
      </w:r>
      <w:r w:rsidR="00FC5F87" w:rsidRPr="00C45B63">
        <w:rPr>
          <w:rFonts w:ascii="Times New Roman" w:eastAsia="Times New Roman" w:hAnsi="Times New Roman" w:cs="Times New Roman"/>
          <w:bCs/>
          <w:vertAlign w:val="superscript"/>
          <w:lang w:eastAsia="it-IT"/>
        </w:rPr>
        <w:footnoteReference w:id="4"/>
      </w:r>
      <w:r w:rsidR="006F3F73" w:rsidRPr="00A27D58">
        <w:rPr>
          <w:rFonts w:ascii="Times New Roman" w:eastAsia="Times New Roman" w:hAnsi="Times New Roman" w:cs="Times New Roman"/>
          <w:bCs/>
          <w:sz w:val="24"/>
          <w:szCs w:val="24"/>
          <w:lang w:eastAsia="it-IT"/>
        </w:rPr>
        <w:t>.</w:t>
      </w:r>
    </w:p>
    <w:p w14:paraId="57A259BF" w14:textId="77777777" w:rsidR="009802BE" w:rsidRPr="007D5554" w:rsidRDefault="009802BE" w:rsidP="006F3F73">
      <w:pPr>
        <w:spacing w:after="0" w:line="360" w:lineRule="auto"/>
        <w:jc w:val="center"/>
        <w:rPr>
          <w:rFonts w:ascii="Times New Roman" w:eastAsia="Times New Roman" w:hAnsi="Times New Roman" w:cs="Times New Roman"/>
          <w:b/>
          <w:sz w:val="8"/>
          <w:szCs w:val="24"/>
          <w:lang w:eastAsia="it-IT"/>
        </w:rPr>
      </w:pPr>
    </w:p>
    <w:p w14:paraId="12E4C665" w14:textId="6C98DAE3" w:rsidR="009730D5" w:rsidRDefault="006F3F73" w:rsidP="006F3F73">
      <w:pPr>
        <w:spacing w:after="0" w:line="360" w:lineRule="auto"/>
        <w:jc w:val="center"/>
        <w:rPr>
          <w:rFonts w:ascii="Times New Roman" w:eastAsia="Times New Roman" w:hAnsi="Times New Roman" w:cs="Times New Roman"/>
          <w:b/>
          <w:sz w:val="24"/>
          <w:szCs w:val="24"/>
          <w:lang w:eastAsia="it-IT"/>
        </w:rPr>
      </w:pPr>
      <w:proofErr w:type="spellStart"/>
      <w:r w:rsidRPr="004A0CC8">
        <w:rPr>
          <w:rFonts w:ascii="Times New Roman" w:eastAsia="Times New Roman" w:hAnsi="Times New Roman" w:cs="Times New Roman"/>
          <w:b/>
          <w:sz w:val="24"/>
          <w:szCs w:val="24"/>
          <w:lang w:eastAsia="it-IT"/>
        </w:rPr>
        <w:t>Tab</w:t>
      </w:r>
      <w:proofErr w:type="spellEnd"/>
      <w:r w:rsidRPr="004A0CC8">
        <w:rPr>
          <w:rFonts w:ascii="Times New Roman" w:eastAsia="Times New Roman" w:hAnsi="Times New Roman" w:cs="Times New Roman"/>
          <w:b/>
          <w:sz w:val="24"/>
          <w:szCs w:val="24"/>
          <w:lang w:eastAsia="it-IT"/>
        </w:rPr>
        <w:t xml:space="preserve">. 11 </w:t>
      </w:r>
      <w:r w:rsidR="002C7A85">
        <w:rPr>
          <w:rFonts w:ascii="Times New Roman" w:eastAsia="Times New Roman" w:hAnsi="Times New Roman" w:cs="Times New Roman"/>
          <w:b/>
          <w:sz w:val="24"/>
          <w:szCs w:val="24"/>
          <w:lang w:eastAsia="it-IT"/>
        </w:rPr>
        <w:t xml:space="preserve">- </w:t>
      </w:r>
      <w:r w:rsidRPr="004A0CC8">
        <w:rPr>
          <w:rFonts w:ascii="Times New Roman" w:eastAsia="Times New Roman" w:hAnsi="Times New Roman" w:cs="Times New Roman"/>
          <w:b/>
          <w:sz w:val="24"/>
          <w:szCs w:val="24"/>
          <w:lang w:eastAsia="it-IT"/>
        </w:rPr>
        <w:t>Composizione impegnato per il personale</w:t>
      </w:r>
    </w:p>
    <w:p w14:paraId="3F122822" w14:textId="48A084B2" w:rsidR="00CD1DA4" w:rsidRDefault="00CD1DA4" w:rsidP="006F3F73">
      <w:pPr>
        <w:spacing w:after="0" w:line="360" w:lineRule="auto"/>
        <w:jc w:val="center"/>
        <w:rPr>
          <w:rFonts w:ascii="Times New Roman" w:eastAsia="Times New Roman" w:hAnsi="Times New Roman" w:cs="Times New Roman"/>
          <w:b/>
          <w:sz w:val="24"/>
          <w:szCs w:val="24"/>
          <w:lang w:eastAsia="it-IT"/>
        </w:rPr>
      </w:pPr>
      <w:r w:rsidRPr="00CD1DA4">
        <w:rPr>
          <w:noProof/>
          <w:lang w:eastAsia="it-IT"/>
        </w:rPr>
        <w:drawing>
          <wp:inline distT="0" distB="0" distL="0" distR="0" wp14:anchorId="1C7EDF4F" wp14:editId="25550481">
            <wp:extent cx="3975441" cy="3394942"/>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1934" cy="3409027"/>
                    </a:xfrm>
                    <a:prstGeom prst="rect">
                      <a:avLst/>
                    </a:prstGeom>
                    <a:noFill/>
                    <a:ln>
                      <a:noFill/>
                    </a:ln>
                  </pic:spPr>
                </pic:pic>
              </a:graphicData>
            </a:graphic>
          </wp:inline>
        </w:drawing>
      </w:r>
    </w:p>
    <w:p w14:paraId="09C96A2A" w14:textId="0BF202E1" w:rsidR="00F7665E" w:rsidRDefault="00F7665E" w:rsidP="006F3F73">
      <w:pPr>
        <w:spacing w:after="0" w:line="360" w:lineRule="auto"/>
        <w:jc w:val="center"/>
        <w:rPr>
          <w:rFonts w:ascii="Times New Roman" w:eastAsia="Times New Roman" w:hAnsi="Times New Roman" w:cs="Times New Roman"/>
          <w:b/>
          <w:sz w:val="24"/>
          <w:szCs w:val="24"/>
          <w:lang w:eastAsia="it-IT"/>
        </w:rPr>
      </w:pPr>
    </w:p>
    <w:p w14:paraId="2E32BAF1" w14:textId="2EB75790" w:rsidR="006F3F73" w:rsidRDefault="003C767F" w:rsidP="00472250">
      <w:pPr>
        <w:spacing w:after="0" w:line="36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5D617DD0" wp14:editId="34C6CA17">
            <wp:extent cx="4043947" cy="2357840"/>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5658" cy="2364668"/>
                    </a:xfrm>
                    <a:prstGeom prst="rect">
                      <a:avLst/>
                    </a:prstGeom>
                    <a:noFill/>
                  </pic:spPr>
                </pic:pic>
              </a:graphicData>
            </a:graphic>
          </wp:inline>
        </w:drawing>
      </w:r>
    </w:p>
    <w:p w14:paraId="3B09C8CD" w14:textId="3FB44C18" w:rsidR="006F3F73" w:rsidRPr="00CA05CA" w:rsidRDefault="006F3F73" w:rsidP="006F3F73">
      <w:pPr>
        <w:spacing w:after="0" w:line="360" w:lineRule="auto"/>
        <w:jc w:val="both"/>
        <w:rPr>
          <w:rFonts w:ascii="Times New Roman" w:eastAsia="Times New Roman" w:hAnsi="Times New Roman" w:cs="Times New Roman"/>
          <w:sz w:val="24"/>
          <w:szCs w:val="24"/>
          <w:lang w:eastAsia="it-IT"/>
        </w:rPr>
      </w:pPr>
      <w:r w:rsidRPr="00CA05CA">
        <w:rPr>
          <w:rFonts w:ascii="Times New Roman" w:eastAsia="Times New Roman" w:hAnsi="Times New Roman" w:cs="Times New Roman"/>
          <w:sz w:val="24"/>
          <w:szCs w:val="24"/>
          <w:lang w:eastAsia="it-IT"/>
        </w:rPr>
        <w:lastRenderedPageBreak/>
        <w:t>Analizzando</w:t>
      </w:r>
      <w:r w:rsidR="00651C8D">
        <w:rPr>
          <w:rFonts w:ascii="Times New Roman" w:eastAsia="Times New Roman" w:hAnsi="Times New Roman" w:cs="Times New Roman"/>
          <w:sz w:val="24"/>
          <w:szCs w:val="24"/>
          <w:lang w:eastAsia="it-IT"/>
        </w:rPr>
        <w:t xml:space="preserve"> nel dettaglio</w:t>
      </w:r>
      <w:r w:rsidR="0079571C">
        <w:rPr>
          <w:rFonts w:ascii="Times New Roman" w:eastAsia="Times New Roman" w:hAnsi="Times New Roman" w:cs="Times New Roman"/>
          <w:sz w:val="24"/>
          <w:szCs w:val="24"/>
          <w:lang w:eastAsia="it-IT"/>
        </w:rPr>
        <w:t xml:space="preserve"> le voci presenti in tabella, si riscontra </w:t>
      </w:r>
      <w:r w:rsidR="00651C8D">
        <w:rPr>
          <w:rFonts w:ascii="Times New Roman" w:eastAsia="Times New Roman" w:hAnsi="Times New Roman" w:cs="Times New Roman"/>
          <w:sz w:val="24"/>
          <w:szCs w:val="24"/>
          <w:lang w:eastAsia="it-IT"/>
        </w:rPr>
        <w:t>quanto segue</w:t>
      </w:r>
      <w:r w:rsidRPr="00CA05CA">
        <w:rPr>
          <w:rFonts w:ascii="Times New Roman" w:eastAsia="Times New Roman" w:hAnsi="Times New Roman" w:cs="Times New Roman"/>
          <w:sz w:val="24"/>
          <w:szCs w:val="24"/>
          <w:lang w:eastAsia="it-IT"/>
        </w:rPr>
        <w:t>:</w:t>
      </w:r>
    </w:p>
    <w:p w14:paraId="01692E07" w14:textId="77777777" w:rsidR="006F3F73" w:rsidRPr="00CA05CA" w:rsidRDefault="006F3F73" w:rsidP="006F3F73">
      <w:pPr>
        <w:spacing w:after="0" w:line="360" w:lineRule="auto"/>
        <w:jc w:val="both"/>
        <w:rPr>
          <w:rFonts w:ascii="Times New Roman" w:eastAsia="Times New Roman" w:hAnsi="Times New Roman" w:cs="Times New Roman"/>
          <w:b/>
          <w:sz w:val="24"/>
          <w:szCs w:val="24"/>
          <w:lang w:eastAsia="it-IT"/>
        </w:rPr>
      </w:pPr>
      <w:r w:rsidRPr="00CA05CA">
        <w:rPr>
          <w:rFonts w:ascii="Times New Roman" w:eastAsia="Times New Roman" w:hAnsi="Times New Roman" w:cs="Times New Roman"/>
          <w:sz w:val="24"/>
          <w:szCs w:val="24"/>
          <w:lang w:eastAsia="it-IT"/>
        </w:rPr>
        <w:t xml:space="preserve"> - </w:t>
      </w:r>
      <w:r w:rsidRPr="0079571C">
        <w:rPr>
          <w:rFonts w:ascii="Times New Roman" w:eastAsia="Times New Roman" w:hAnsi="Times New Roman" w:cs="Times New Roman"/>
          <w:sz w:val="24"/>
          <w:szCs w:val="24"/>
          <w:lang w:eastAsia="it-IT"/>
        </w:rPr>
        <w:t>Autorità di Governo e Commissari straordinari</w:t>
      </w:r>
    </w:p>
    <w:p w14:paraId="3B1775F2" w14:textId="4F086DE0" w:rsidR="006F3F73" w:rsidRPr="004556AF" w:rsidRDefault="006F3F73" w:rsidP="006F3F73">
      <w:pPr>
        <w:spacing w:after="0" w:line="360" w:lineRule="auto"/>
        <w:jc w:val="both"/>
        <w:rPr>
          <w:rFonts w:ascii="Times New Roman" w:eastAsia="Times New Roman" w:hAnsi="Times New Roman" w:cs="Times New Roman"/>
          <w:sz w:val="24"/>
          <w:szCs w:val="24"/>
          <w:lang w:eastAsia="it-IT"/>
        </w:rPr>
      </w:pPr>
      <w:r w:rsidRPr="004556AF">
        <w:rPr>
          <w:rFonts w:ascii="Times New Roman" w:eastAsia="Times New Roman" w:hAnsi="Times New Roman" w:cs="Times New Roman"/>
          <w:sz w:val="24"/>
          <w:szCs w:val="24"/>
          <w:lang w:eastAsia="it-IT"/>
        </w:rPr>
        <w:t>La somma impegnata per le Autorità di Governo e per i Commissari straordinari del Governo passa da euro 1.651.704,8</w:t>
      </w:r>
      <w:r w:rsidRPr="008C76EC">
        <w:rPr>
          <w:rFonts w:ascii="Times New Roman" w:eastAsia="Times New Roman" w:hAnsi="Times New Roman" w:cs="Times New Roman"/>
          <w:sz w:val="24"/>
          <w:szCs w:val="24"/>
          <w:lang w:eastAsia="it-IT"/>
        </w:rPr>
        <w:t xml:space="preserve">4 </w:t>
      </w:r>
      <w:r w:rsidR="009F77D1">
        <w:rPr>
          <w:rFonts w:ascii="Times New Roman" w:eastAsia="Times New Roman" w:hAnsi="Times New Roman" w:cs="Times New Roman"/>
          <w:sz w:val="24"/>
          <w:szCs w:val="24"/>
          <w:lang w:eastAsia="it-IT"/>
        </w:rPr>
        <w:t>a euro</w:t>
      </w:r>
      <w:r w:rsidRPr="004556AF">
        <w:rPr>
          <w:rFonts w:ascii="Times New Roman" w:eastAsia="Times New Roman" w:hAnsi="Times New Roman" w:cs="Times New Roman"/>
          <w:sz w:val="24"/>
          <w:szCs w:val="24"/>
          <w:lang w:eastAsia="it-IT"/>
        </w:rPr>
        <w:t xml:space="preserve"> 1.</w:t>
      </w:r>
      <w:r>
        <w:rPr>
          <w:rFonts w:ascii="Times New Roman" w:eastAsia="Times New Roman" w:hAnsi="Times New Roman" w:cs="Times New Roman"/>
          <w:sz w:val="24"/>
          <w:szCs w:val="24"/>
          <w:lang w:eastAsia="it-IT"/>
        </w:rPr>
        <w:t>227</w:t>
      </w:r>
      <w:r w:rsidRPr="004556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125</w:t>
      </w:r>
      <w:r w:rsidRPr="004556AF">
        <w:rPr>
          <w:rFonts w:ascii="Times New Roman" w:eastAsia="Times New Roman" w:hAnsi="Times New Roman" w:cs="Times New Roman"/>
          <w:sz w:val="24"/>
          <w:szCs w:val="24"/>
          <w:lang w:eastAsia="it-IT"/>
        </w:rPr>
        <w:t>,</w:t>
      </w:r>
      <w:r w:rsidRPr="008C76EC">
        <w:rPr>
          <w:rFonts w:ascii="Times New Roman" w:eastAsia="Times New Roman" w:hAnsi="Times New Roman" w:cs="Times New Roman"/>
          <w:sz w:val="24"/>
          <w:szCs w:val="24"/>
          <w:lang w:eastAsia="it-IT"/>
        </w:rPr>
        <w:t>4</w:t>
      </w:r>
      <w:r>
        <w:rPr>
          <w:rFonts w:ascii="Times New Roman" w:eastAsia="Times New Roman" w:hAnsi="Times New Roman" w:cs="Times New Roman"/>
          <w:sz w:val="24"/>
          <w:szCs w:val="24"/>
          <w:lang w:eastAsia="it-IT"/>
        </w:rPr>
        <w:t>6</w:t>
      </w:r>
      <w:r w:rsidR="00A50806">
        <w:rPr>
          <w:rFonts w:ascii="Times New Roman" w:eastAsia="Times New Roman" w:hAnsi="Times New Roman" w:cs="Times New Roman"/>
          <w:sz w:val="24"/>
          <w:szCs w:val="24"/>
          <w:lang w:eastAsia="it-IT"/>
        </w:rPr>
        <w:t>,</w:t>
      </w:r>
      <w:r w:rsidRPr="008C76EC">
        <w:rPr>
          <w:rFonts w:ascii="Times New Roman" w:eastAsia="Times New Roman" w:hAnsi="Times New Roman" w:cs="Times New Roman"/>
          <w:sz w:val="24"/>
          <w:szCs w:val="24"/>
          <w:lang w:eastAsia="it-IT"/>
        </w:rPr>
        <w:t xml:space="preserve"> con</w:t>
      </w:r>
      <w:r w:rsidRPr="004556AF">
        <w:rPr>
          <w:rFonts w:ascii="Times New Roman" w:eastAsia="Times New Roman" w:hAnsi="Times New Roman" w:cs="Times New Roman"/>
          <w:sz w:val="24"/>
          <w:szCs w:val="24"/>
          <w:lang w:eastAsia="it-IT"/>
        </w:rPr>
        <w:t xml:space="preserve"> un</w:t>
      </w:r>
      <w:r w:rsidR="0079571C">
        <w:rPr>
          <w:rFonts w:ascii="Times New Roman" w:eastAsia="Times New Roman" w:hAnsi="Times New Roman" w:cs="Times New Roman"/>
          <w:sz w:val="24"/>
          <w:szCs w:val="24"/>
          <w:lang w:eastAsia="it-IT"/>
        </w:rPr>
        <w:t>a diminuzione</w:t>
      </w:r>
      <w:r w:rsidRPr="004556AF">
        <w:rPr>
          <w:rFonts w:ascii="Times New Roman" w:eastAsia="Times New Roman" w:hAnsi="Times New Roman" w:cs="Times New Roman"/>
          <w:sz w:val="24"/>
          <w:szCs w:val="24"/>
          <w:lang w:eastAsia="it-IT"/>
        </w:rPr>
        <w:t xml:space="preserve"> di euro </w:t>
      </w:r>
      <w:r>
        <w:rPr>
          <w:rFonts w:ascii="Times New Roman" w:eastAsia="Times New Roman" w:hAnsi="Times New Roman" w:cs="Times New Roman"/>
          <w:sz w:val="24"/>
          <w:szCs w:val="24"/>
          <w:lang w:eastAsia="it-IT"/>
        </w:rPr>
        <w:t>424</w:t>
      </w:r>
      <w:r w:rsidRPr="004556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579,38</w:t>
      </w:r>
      <w:r w:rsidRPr="004556AF">
        <w:rPr>
          <w:rFonts w:ascii="Times New Roman" w:eastAsia="Times New Roman" w:hAnsi="Times New Roman" w:cs="Times New Roman"/>
          <w:sz w:val="24"/>
          <w:szCs w:val="24"/>
          <w:lang w:eastAsia="it-IT"/>
        </w:rPr>
        <w:t>.</w:t>
      </w:r>
    </w:p>
    <w:p w14:paraId="0E148F9F" w14:textId="506887D1" w:rsidR="006F3F73" w:rsidRPr="004556AF" w:rsidRDefault="006F3F73" w:rsidP="006F3F73">
      <w:pPr>
        <w:spacing w:after="0" w:line="360" w:lineRule="auto"/>
        <w:jc w:val="both"/>
        <w:rPr>
          <w:rFonts w:ascii="Times New Roman" w:eastAsia="Times New Roman" w:hAnsi="Times New Roman" w:cs="Times New Roman"/>
          <w:sz w:val="24"/>
          <w:szCs w:val="24"/>
          <w:lang w:eastAsia="it-IT"/>
        </w:rPr>
      </w:pPr>
      <w:r w:rsidRPr="004556AF">
        <w:rPr>
          <w:rFonts w:ascii="Times New Roman" w:eastAsia="Times New Roman" w:hAnsi="Times New Roman" w:cs="Times New Roman"/>
          <w:sz w:val="24"/>
          <w:szCs w:val="24"/>
          <w:lang w:eastAsia="it-IT"/>
        </w:rPr>
        <w:t>In particolare, si è avuta una</w:t>
      </w:r>
      <w:r w:rsidR="0079571C">
        <w:rPr>
          <w:rFonts w:ascii="Times New Roman" w:eastAsia="Times New Roman" w:hAnsi="Times New Roman" w:cs="Times New Roman"/>
          <w:sz w:val="24"/>
          <w:szCs w:val="24"/>
          <w:lang w:eastAsia="it-IT"/>
        </w:rPr>
        <w:t xml:space="preserve"> riduzione</w:t>
      </w:r>
      <w:r w:rsidRPr="004556AF">
        <w:rPr>
          <w:rFonts w:ascii="Times New Roman" w:eastAsia="Times New Roman" w:hAnsi="Times New Roman" w:cs="Times New Roman"/>
          <w:sz w:val="24"/>
          <w:szCs w:val="24"/>
          <w:lang w:eastAsia="it-IT"/>
        </w:rPr>
        <w:t xml:space="preserve"> di euro </w:t>
      </w:r>
      <w:r>
        <w:rPr>
          <w:rFonts w:ascii="Times New Roman" w:eastAsia="Times New Roman" w:hAnsi="Times New Roman" w:cs="Times New Roman"/>
          <w:sz w:val="24"/>
          <w:szCs w:val="24"/>
          <w:lang w:eastAsia="it-IT"/>
        </w:rPr>
        <w:t>69</w:t>
      </w:r>
      <w:r w:rsidRPr="004556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483,38</w:t>
      </w:r>
      <w:r w:rsidRPr="004556AF">
        <w:rPr>
          <w:rFonts w:ascii="Times New Roman" w:eastAsia="Times New Roman" w:hAnsi="Times New Roman" w:cs="Times New Roman"/>
          <w:sz w:val="24"/>
          <w:szCs w:val="24"/>
          <w:lang w:eastAsia="it-IT"/>
        </w:rPr>
        <w:t xml:space="preserve"> dell</w:t>
      </w:r>
      <w:r w:rsidR="00877AAF">
        <w:rPr>
          <w:rFonts w:ascii="Times New Roman" w:eastAsia="Times New Roman" w:hAnsi="Times New Roman" w:cs="Times New Roman"/>
          <w:sz w:val="24"/>
          <w:szCs w:val="24"/>
          <w:lang w:eastAsia="it-IT"/>
        </w:rPr>
        <w:t>’</w:t>
      </w:r>
      <w:r w:rsidRPr="004556AF">
        <w:rPr>
          <w:rFonts w:ascii="Times New Roman" w:eastAsia="Times New Roman" w:hAnsi="Times New Roman" w:cs="Times New Roman"/>
          <w:sz w:val="24"/>
          <w:szCs w:val="24"/>
          <w:lang w:eastAsia="it-IT"/>
        </w:rPr>
        <w:t>importo impegnato per il trattamento economico spettante alle Autorità di Governo</w:t>
      </w:r>
      <w:r w:rsidR="00DF65A0">
        <w:rPr>
          <w:rFonts w:ascii="Times New Roman" w:eastAsia="Times New Roman" w:hAnsi="Times New Roman" w:cs="Times New Roman"/>
          <w:sz w:val="24"/>
          <w:szCs w:val="24"/>
          <w:lang w:eastAsia="it-IT"/>
        </w:rPr>
        <w:t>.</w:t>
      </w:r>
    </w:p>
    <w:p w14:paraId="2C0EB2D4" w14:textId="3A8805D5" w:rsidR="0079571C" w:rsidRDefault="006F3F73" w:rsidP="006F3F73">
      <w:pPr>
        <w:spacing w:after="0" w:line="360" w:lineRule="auto"/>
        <w:jc w:val="both"/>
        <w:rPr>
          <w:rFonts w:ascii="Times New Roman" w:eastAsia="Times New Roman" w:hAnsi="Times New Roman" w:cs="Times New Roman"/>
          <w:sz w:val="24"/>
          <w:szCs w:val="24"/>
          <w:lang w:eastAsia="it-IT"/>
        </w:rPr>
      </w:pPr>
      <w:r w:rsidRPr="003845E2">
        <w:rPr>
          <w:rFonts w:ascii="Times New Roman" w:eastAsia="Times New Roman" w:hAnsi="Times New Roman" w:cs="Times New Roman"/>
          <w:sz w:val="24"/>
          <w:szCs w:val="24"/>
          <w:lang w:eastAsia="it-IT"/>
        </w:rPr>
        <w:t>Nel corso del 2022 il numero dei Commissari straordinari del Governo</w:t>
      </w:r>
      <w:r w:rsidRPr="00C45B63">
        <w:rPr>
          <w:rStyle w:val="Rimandonotaapidipagina"/>
          <w:rFonts w:ascii="Times New Roman" w:hAnsi="Times New Roman" w:cs="Times New Roman"/>
        </w:rPr>
        <w:footnoteReference w:id="5"/>
      </w:r>
      <w:r w:rsidRPr="003845E2">
        <w:rPr>
          <w:rFonts w:ascii="Times New Roman" w:eastAsia="Times New Roman" w:hAnsi="Times New Roman" w:cs="Times New Roman"/>
          <w:sz w:val="24"/>
          <w:szCs w:val="24"/>
          <w:lang w:eastAsia="it-IT"/>
        </w:rPr>
        <w:t xml:space="preserve"> è rimasto inalterato rispetto a quelli del 2021, ciò nonostante la spesa per tale tipologia di personale è diminuita di euro 355.096,00. Tale diminuzione è dovuta principalmente al disallineamento tra 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adozione dei provvedimenti di impegno delle somme e 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effettivo svolgimento dell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incarico. </w:t>
      </w:r>
    </w:p>
    <w:p w14:paraId="0F549672" w14:textId="77777777" w:rsidR="009C39CE" w:rsidRPr="007D5554" w:rsidRDefault="009C39CE" w:rsidP="006F3F73">
      <w:pPr>
        <w:spacing w:after="0" w:line="360" w:lineRule="auto"/>
        <w:jc w:val="both"/>
        <w:rPr>
          <w:rFonts w:ascii="Times New Roman" w:eastAsia="Times New Roman" w:hAnsi="Times New Roman" w:cs="Times New Roman"/>
          <w:sz w:val="8"/>
          <w:szCs w:val="24"/>
          <w:lang w:eastAsia="it-IT"/>
        </w:rPr>
      </w:pPr>
    </w:p>
    <w:p w14:paraId="5260EDB5" w14:textId="65ACEDD6" w:rsidR="006F3F73" w:rsidRPr="00871783" w:rsidRDefault="006F3F73" w:rsidP="006F3F73">
      <w:pPr>
        <w:spacing w:after="0" w:line="360" w:lineRule="auto"/>
        <w:jc w:val="both"/>
        <w:rPr>
          <w:rFonts w:ascii="Times New Roman" w:eastAsia="Times New Roman" w:hAnsi="Times New Roman" w:cs="Times New Roman"/>
          <w:b/>
          <w:sz w:val="24"/>
          <w:szCs w:val="24"/>
          <w:lang w:eastAsia="it-IT"/>
        </w:rPr>
      </w:pPr>
      <w:r w:rsidRPr="00871783">
        <w:rPr>
          <w:rFonts w:ascii="Times New Roman" w:eastAsia="Times New Roman" w:hAnsi="Times New Roman" w:cs="Times New Roman"/>
          <w:b/>
          <w:sz w:val="24"/>
          <w:szCs w:val="24"/>
          <w:lang w:eastAsia="it-IT"/>
        </w:rPr>
        <w:t xml:space="preserve">- </w:t>
      </w:r>
      <w:r w:rsidRPr="0079571C">
        <w:rPr>
          <w:rFonts w:ascii="Times New Roman" w:eastAsia="Times New Roman" w:hAnsi="Times New Roman" w:cs="Times New Roman"/>
          <w:sz w:val="24"/>
          <w:szCs w:val="24"/>
          <w:lang w:eastAsia="it-IT"/>
        </w:rPr>
        <w:t>Personale di ruolo dirigenziale e delle qualifiche e personale incaricato, ai sensi dell</w:t>
      </w:r>
      <w:r w:rsidR="00877AAF" w:rsidRPr="0079571C">
        <w:rPr>
          <w:rFonts w:ascii="Times New Roman" w:eastAsia="Times New Roman" w:hAnsi="Times New Roman" w:cs="Times New Roman"/>
          <w:sz w:val="24"/>
          <w:szCs w:val="24"/>
          <w:lang w:eastAsia="it-IT"/>
        </w:rPr>
        <w:t>’</w:t>
      </w:r>
      <w:r w:rsidRPr="0079571C">
        <w:rPr>
          <w:rFonts w:ascii="Times New Roman" w:eastAsia="Times New Roman" w:hAnsi="Times New Roman" w:cs="Times New Roman"/>
          <w:sz w:val="24"/>
          <w:szCs w:val="24"/>
          <w:lang w:eastAsia="it-IT"/>
        </w:rPr>
        <w:t>art. 19, comma 6, del decreto legislativo 30 marzo 2001, n. 165</w:t>
      </w:r>
      <w:r w:rsidRPr="00C45B63">
        <w:rPr>
          <w:rStyle w:val="Rimandonotaapidipagina"/>
          <w:rFonts w:ascii="Times New Roman" w:hAnsi="Times New Roman" w:cs="Times New Roman"/>
          <w:b/>
        </w:rPr>
        <w:footnoteReference w:id="6"/>
      </w:r>
      <w:r w:rsidRPr="00C45B63">
        <w:rPr>
          <w:rFonts w:ascii="Times New Roman" w:eastAsia="Times New Roman" w:hAnsi="Times New Roman" w:cs="Times New Roman"/>
          <w:b/>
          <w:lang w:eastAsia="it-IT"/>
        </w:rPr>
        <w:t xml:space="preserve"> </w:t>
      </w:r>
    </w:p>
    <w:p w14:paraId="6B8C1DAE" w14:textId="2D21B2E3" w:rsidR="006F3F73" w:rsidRPr="00871783" w:rsidRDefault="006F3F73" w:rsidP="006F3F73">
      <w:pPr>
        <w:spacing w:after="0" w:line="360" w:lineRule="auto"/>
        <w:jc w:val="both"/>
        <w:rPr>
          <w:rFonts w:ascii="Times New Roman" w:eastAsia="Times New Roman" w:hAnsi="Times New Roman" w:cs="Times New Roman"/>
          <w:sz w:val="24"/>
          <w:szCs w:val="24"/>
          <w:lang w:eastAsia="it-IT"/>
        </w:rPr>
      </w:pPr>
      <w:r w:rsidRPr="00871783">
        <w:rPr>
          <w:rFonts w:ascii="Times New Roman" w:eastAsia="Times New Roman" w:hAnsi="Times New Roman" w:cs="Times New Roman"/>
          <w:sz w:val="24"/>
          <w:szCs w:val="24"/>
          <w:lang w:eastAsia="it-IT"/>
        </w:rPr>
        <w:t>Le somme impegnate per il personale di ruolo</w:t>
      </w:r>
      <w:r w:rsidR="00F8667E">
        <w:rPr>
          <w:rFonts w:ascii="Times New Roman" w:eastAsia="Times New Roman" w:hAnsi="Times New Roman" w:cs="Times New Roman"/>
          <w:sz w:val="24"/>
          <w:szCs w:val="24"/>
          <w:lang w:eastAsia="it-IT"/>
        </w:rPr>
        <w:t>,</w:t>
      </w:r>
      <w:r w:rsidRPr="00871783">
        <w:rPr>
          <w:rFonts w:ascii="Times New Roman" w:eastAsia="Times New Roman" w:hAnsi="Times New Roman" w:cs="Times New Roman"/>
          <w:sz w:val="24"/>
          <w:szCs w:val="24"/>
          <w:lang w:eastAsia="it-IT"/>
        </w:rPr>
        <w:t xml:space="preserve"> dirigenziale</w:t>
      </w:r>
      <w:r w:rsidR="00F8667E">
        <w:rPr>
          <w:rFonts w:ascii="Times New Roman" w:eastAsia="Times New Roman" w:hAnsi="Times New Roman" w:cs="Times New Roman"/>
          <w:sz w:val="24"/>
          <w:szCs w:val="24"/>
          <w:lang w:eastAsia="it-IT"/>
        </w:rPr>
        <w:t xml:space="preserve"> e</w:t>
      </w:r>
      <w:r w:rsidRPr="00871783">
        <w:rPr>
          <w:rFonts w:ascii="Times New Roman" w:eastAsia="Times New Roman" w:hAnsi="Times New Roman" w:cs="Times New Roman"/>
          <w:sz w:val="24"/>
          <w:szCs w:val="24"/>
          <w:lang w:eastAsia="it-IT"/>
        </w:rPr>
        <w:t xml:space="preserve"> delle qualifiche e incaricato ai sensi dell</w:t>
      </w:r>
      <w:r w:rsidR="00877AAF">
        <w:rPr>
          <w:rFonts w:ascii="Times New Roman" w:eastAsia="Times New Roman" w:hAnsi="Times New Roman" w:cs="Times New Roman"/>
          <w:sz w:val="24"/>
          <w:szCs w:val="24"/>
          <w:lang w:eastAsia="it-IT"/>
        </w:rPr>
        <w:t>’</w:t>
      </w:r>
      <w:r w:rsidRPr="00871783">
        <w:rPr>
          <w:rFonts w:ascii="Times New Roman" w:eastAsia="Times New Roman" w:hAnsi="Times New Roman" w:cs="Times New Roman"/>
          <w:sz w:val="24"/>
          <w:szCs w:val="24"/>
          <w:lang w:eastAsia="it-IT"/>
        </w:rPr>
        <w:t>articolo 19, comma 6, del d</w:t>
      </w:r>
      <w:r w:rsidR="009C39CE">
        <w:rPr>
          <w:rFonts w:ascii="Times New Roman" w:eastAsia="Times New Roman" w:hAnsi="Times New Roman" w:cs="Times New Roman"/>
          <w:sz w:val="24"/>
          <w:szCs w:val="24"/>
          <w:lang w:eastAsia="it-IT"/>
        </w:rPr>
        <w:t>ecreto legislativo</w:t>
      </w:r>
      <w:r w:rsidRPr="00871783">
        <w:rPr>
          <w:rFonts w:ascii="Times New Roman" w:eastAsia="Times New Roman" w:hAnsi="Times New Roman" w:cs="Times New Roman"/>
          <w:sz w:val="24"/>
          <w:szCs w:val="24"/>
          <w:lang w:eastAsia="it-IT"/>
        </w:rPr>
        <w:t xml:space="preserve"> 30 marzo 2001, n. 165</w:t>
      </w:r>
      <w:r>
        <w:rPr>
          <w:rFonts w:ascii="Times New Roman" w:eastAsia="Times New Roman" w:hAnsi="Times New Roman" w:cs="Times New Roman"/>
          <w:sz w:val="24"/>
          <w:szCs w:val="24"/>
          <w:lang w:eastAsia="it-IT"/>
        </w:rPr>
        <w:t>,</w:t>
      </w:r>
      <w:r w:rsidRPr="00871783">
        <w:rPr>
          <w:rFonts w:ascii="Times New Roman" w:eastAsia="Times New Roman" w:hAnsi="Times New Roman" w:cs="Times New Roman"/>
          <w:sz w:val="24"/>
          <w:szCs w:val="24"/>
          <w:lang w:eastAsia="it-IT"/>
        </w:rPr>
        <w:t xml:space="preserve"> sono aumentate per un importo di euro </w:t>
      </w:r>
      <w:r w:rsidRPr="00E839DB">
        <w:rPr>
          <w:rFonts w:ascii="Times New Roman" w:eastAsia="Times New Roman" w:hAnsi="Times New Roman" w:cs="Times New Roman"/>
          <w:sz w:val="24"/>
          <w:szCs w:val="24"/>
          <w:lang w:eastAsia="it-IT"/>
        </w:rPr>
        <w:t xml:space="preserve">41.045.801,42, passando da euro 190.397.890,68 nel 2021 </w:t>
      </w:r>
      <w:r w:rsidR="009F77D1">
        <w:rPr>
          <w:rFonts w:ascii="Times New Roman" w:eastAsia="Times New Roman" w:hAnsi="Times New Roman" w:cs="Times New Roman"/>
          <w:sz w:val="24"/>
          <w:szCs w:val="24"/>
          <w:lang w:eastAsia="it-IT"/>
        </w:rPr>
        <w:t>a euro</w:t>
      </w:r>
      <w:r w:rsidRPr="00E839DB">
        <w:rPr>
          <w:rFonts w:ascii="Times New Roman" w:eastAsia="Times New Roman" w:hAnsi="Times New Roman" w:cs="Times New Roman"/>
          <w:sz w:val="24"/>
          <w:szCs w:val="24"/>
          <w:lang w:eastAsia="it-IT"/>
        </w:rPr>
        <w:t xml:space="preserve"> 231.443.692,10</w:t>
      </w:r>
      <w:r>
        <w:rPr>
          <w:rFonts w:ascii="Times New Roman" w:eastAsia="Times New Roman" w:hAnsi="Times New Roman" w:cs="Times New Roman"/>
          <w:sz w:val="24"/>
          <w:szCs w:val="24"/>
          <w:lang w:eastAsia="it-IT"/>
        </w:rPr>
        <w:t xml:space="preserve"> </w:t>
      </w:r>
      <w:r w:rsidRPr="00A61D4F">
        <w:rPr>
          <w:rFonts w:ascii="Times New Roman" w:eastAsia="Times New Roman" w:hAnsi="Times New Roman" w:cs="Times New Roman"/>
          <w:sz w:val="24"/>
          <w:szCs w:val="24"/>
          <w:lang w:eastAsia="it-IT"/>
        </w:rPr>
        <w:t>nel</w:t>
      </w:r>
      <w:r w:rsidRPr="00871783">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2022</w:t>
      </w:r>
      <w:r w:rsidRPr="00871783">
        <w:rPr>
          <w:rFonts w:ascii="Times New Roman" w:eastAsia="Times New Roman" w:hAnsi="Times New Roman" w:cs="Times New Roman"/>
          <w:sz w:val="24"/>
          <w:szCs w:val="24"/>
          <w:lang w:eastAsia="it-IT"/>
        </w:rPr>
        <w:t xml:space="preserve">. In particolare, il predetto andamento è caratterizzato da un aumento </w:t>
      </w:r>
      <w:r w:rsidR="00DC3951">
        <w:rPr>
          <w:rFonts w:ascii="Times New Roman" w:eastAsia="Times New Roman" w:hAnsi="Times New Roman" w:cs="Times New Roman"/>
          <w:sz w:val="24"/>
          <w:szCs w:val="24"/>
          <w:lang w:eastAsia="it-IT"/>
        </w:rPr>
        <w:t>d</w:t>
      </w:r>
      <w:r w:rsidRPr="00871783">
        <w:rPr>
          <w:rFonts w:ascii="Times New Roman" w:eastAsia="Times New Roman" w:hAnsi="Times New Roman" w:cs="Times New Roman"/>
          <w:sz w:val="24"/>
          <w:szCs w:val="24"/>
          <w:lang w:eastAsia="it-IT"/>
        </w:rPr>
        <w:t>elle spese sostenute per il trattamento economico fondamentale del personale, essenzialmente riconducibile</w:t>
      </w:r>
      <w:r>
        <w:rPr>
          <w:rFonts w:ascii="Times New Roman" w:eastAsia="Times New Roman" w:hAnsi="Times New Roman" w:cs="Times New Roman"/>
          <w:sz w:val="24"/>
          <w:szCs w:val="24"/>
          <w:lang w:eastAsia="it-IT"/>
        </w:rPr>
        <w:t xml:space="preserve"> </w:t>
      </w:r>
      <w:r w:rsidRPr="003845E2">
        <w:rPr>
          <w:rFonts w:ascii="Times New Roman" w:eastAsia="Times New Roman" w:hAnsi="Times New Roman" w:cs="Times New Roman"/>
          <w:sz w:val="24"/>
          <w:szCs w:val="24"/>
          <w:lang w:eastAsia="it-IT"/>
        </w:rPr>
        <w:t>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erogazione degli incrementi contrattuali e degli arretrati, dal 2016 al 2022, a tutto il personale della Presidenza del Consiglio dei ministri (categorie e dirigenti di prima e di seconda fascia)</w:t>
      </w:r>
      <w:r w:rsidR="00037322">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 derivanti dall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applicazione dei rispettivi Contratti collettivi nazionali di lavoro relativi al triennio 2016-2018, sottoscritti nel corso del 2022</w:t>
      </w:r>
      <w:r w:rsidRPr="00C20E69">
        <w:rPr>
          <w:rFonts w:ascii="Times New Roman" w:eastAsia="Times New Roman" w:hAnsi="Times New Roman" w:cs="Times New Roman"/>
          <w:sz w:val="24"/>
          <w:szCs w:val="24"/>
          <w:lang w:eastAsia="it-IT"/>
        </w:rPr>
        <w:t>. Sono proseguite</w:t>
      </w:r>
      <w:r w:rsidR="00037322" w:rsidRPr="00C20E69">
        <w:rPr>
          <w:rFonts w:ascii="Times New Roman" w:eastAsia="Times New Roman" w:hAnsi="Times New Roman" w:cs="Times New Roman"/>
          <w:sz w:val="24"/>
          <w:szCs w:val="24"/>
          <w:lang w:eastAsia="it-IT"/>
        </w:rPr>
        <w:t>,</w:t>
      </w:r>
      <w:r w:rsidRPr="00C20E69">
        <w:rPr>
          <w:rFonts w:ascii="Times New Roman" w:eastAsia="Times New Roman" w:hAnsi="Times New Roman" w:cs="Times New Roman"/>
          <w:sz w:val="24"/>
          <w:szCs w:val="24"/>
          <w:lang w:eastAsia="it-IT"/>
        </w:rPr>
        <w:t xml:space="preserve"> inoltre, le assunzioni di personale intervenute nel corso del 2022,</w:t>
      </w:r>
      <w:r w:rsidRPr="003845E2">
        <w:rPr>
          <w:rFonts w:ascii="Times New Roman" w:eastAsia="Times New Roman" w:hAnsi="Times New Roman" w:cs="Times New Roman"/>
          <w:sz w:val="24"/>
          <w:szCs w:val="24"/>
          <w:lang w:eastAsia="it-IT"/>
        </w:rPr>
        <w:t xml:space="preserve"> </w:t>
      </w:r>
      <w:r w:rsidRPr="00871783">
        <w:rPr>
          <w:rFonts w:ascii="Times New Roman" w:eastAsia="Times New Roman" w:hAnsi="Times New Roman" w:cs="Times New Roman"/>
          <w:sz w:val="24"/>
          <w:szCs w:val="24"/>
          <w:lang w:eastAsia="it-IT"/>
        </w:rPr>
        <w:t xml:space="preserve">al netto delle cessazioni che sono avvenute nel medesimo periodo. </w:t>
      </w:r>
    </w:p>
    <w:p w14:paraId="795B8FBF" w14:textId="71262525" w:rsidR="006F3F73" w:rsidRPr="00871783" w:rsidRDefault="006F3F73" w:rsidP="006F3F73">
      <w:pPr>
        <w:spacing w:after="0" w:line="360" w:lineRule="auto"/>
        <w:jc w:val="both"/>
        <w:rPr>
          <w:rFonts w:ascii="Times New Roman" w:eastAsia="Times New Roman" w:hAnsi="Times New Roman" w:cs="Times New Roman"/>
          <w:sz w:val="24"/>
          <w:szCs w:val="24"/>
          <w:lang w:eastAsia="it-IT"/>
        </w:rPr>
      </w:pPr>
      <w:r w:rsidRPr="00D13AA5">
        <w:rPr>
          <w:rFonts w:ascii="Times New Roman" w:eastAsia="Times New Roman" w:hAnsi="Times New Roman" w:cs="Times New Roman"/>
          <w:sz w:val="24"/>
          <w:szCs w:val="24"/>
          <w:lang w:eastAsia="it-IT"/>
        </w:rPr>
        <w:t xml:space="preserve">Con riferimento alle spese per il trattamento economico accessorio del personale di ruolo non dirigenziale, </w:t>
      </w:r>
      <w:r w:rsidR="0079571C">
        <w:rPr>
          <w:rFonts w:ascii="Times New Roman" w:eastAsia="Times New Roman" w:hAnsi="Times New Roman" w:cs="Times New Roman"/>
          <w:sz w:val="24"/>
          <w:szCs w:val="24"/>
          <w:lang w:eastAsia="it-IT"/>
        </w:rPr>
        <w:t xml:space="preserve">si rileva che </w:t>
      </w:r>
      <w:r w:rsidRPr="00D13AA5">
        <w:rPr>
          <w:rFonts w:ascii="Times New Roman" w:eastAsia="Times New Roman" w:hAnsi="Times New Roman" w:cs="Times New Roman"/>
          <w:sz w:val="24"/>
          <w:szCs w:val="24"/>
          <w:lang w:eastAsia="it-IT"/>
        </w:rPr>
        <w:t>parte dell</w:t>
      </w:r>
      <w:r w:rsidR="00877AAF">
        <w:rPr>
          <w:rFonts w:ascii="Times New Roman" w:eastAsia="Times New Roman" w:hAnsi="Times New Roman" w:cs="Times New Roman"/>
          <w:sz w:val="24"/>
          <w:szCs w:val="24"/>
          <w:lang w:eastAsia="it-IT"/>
        </w:rPr>
        <w:t>’</w:t>
      </w:r>
      <w:r w:rsidRPr="00D13AA5">
        <w:rPr>
          <w:rFonts w:ascii="Times New Roman" w:eastAsia="Times New Roman" w:hAnsi="Times New Roman" w:cs="Times New Roman"/>
          <w:sz w:val="24"/>
          <w:szCs w:val="24"/>
          <w:lang w:eastAsia="it-IT"/>
        </w:rPr>
        <w:t>incremento registrato nella consistenza delle risorse del FUP è dovuto all</w:t>
      </w:r>
      <w:r w:rsidR="00877AAF">
        <w:rPr>
          <w:rFonts w:ascii="Times New Roman" w:eastAsia="Times New Roman" w:hAnsi="Times New Roman" w:cs="Times New Roman"/>
          <w:sz w:val="24"/>
          <w:szCs w:val="24"/>
          <w:lang w:eastAsia="it-IT"/>
        </w:rPr>
        <w:t>’</w:t>
      </w:r>
      <w:r w:rsidRPr="00D13AA5">
        <w:rPr>
          <w:rFonts w:ascii="Times New Roman" w:eastAsia="Times New Roman" w:hAnsi="Times New Roman" w:cs="Times New Roman"/>
          <w:sz w:val="24"/>
          <w:szCs w:val="24"/>
          <w:lang w:eastAsia="it-IT"/>
        </w:rPr>
        <w:t>immissione in ruolo di nuovo personale assunto nel 2022. Inoltre, a valere sull</w:t>
      </w:r>
      <w:r w:rsidR="00877AAF">
        <w:rPr>
          <w:rFonts w:ascii="Times New Roman" w:eastAsia="Times New Roman" w:hAnsi="Times New Roman" w:cs="Times New Roman"/>
          <w:sz w:val="24"/>
          <w:szCs w:val="24"/>
          <w:lang w:eastAsia="it-IT"/>
        </w:rPr>
        <w:t>’</w:t>
      </w:r>
      <w:r w:rsidRPr="00D13AA5">
        <w:rPr>
          <w:rFonts w:ascii="Times New Roman" w:eastAsia="Times New Roman" w:hAnsi="Times New Roman" w:cs="Times New Roman"/>
          <w:sz w:val="24"/>
          <w:szCs w:val="24"/>
          <w:lang w:eastAsia="it-IT"/>
        </w:rPr>
        <w:t>esercizio finanziario 2022</w:t>
      </w:r>
      <w:r>
        <w:rPr>
          <w:rFonts w:ascii="Times New Roman" w:eastAsia="Times New Roman" w:hAnsi="Times New Roman" w:cs="Times New Roman"/>
          <w:sz w:val="24"/>
          <w:szCs w:val="24"/>
          <w:lang w:eastAsia="it-IT"/>
        </w:rPr>
        <w:t>,</w:t>
      </w:r>
      <w:r w:rsidRPr="00D13AA5">
        <w:rPr>
          <w:rFonts w:ascii="Times New Roman" w:eastAsia="Times New Roman" w:hAnsi="Times New Roman" w:cs="Times New Roman"/>
          <w:sz w:val="24"/>
          <w:szCs w:val="24"/>
          <w:lang w:eastAsia="it-IT"/>
        </w:rPr>
        <w:t xml:space="preserve"> sono stati liquidati gli emolumenti arretrati previsti dall</w:t>
      </w:r>
      <w:r w:rsidR="00877AAF">
        <w:rPr>
          <w:rFonts w:ascii="Times New Roman" w:eastAsia="Times New Roman" w:hAnsi="Times New Roman" w:cs="Times New Roman"/>
          <w:sz w:val="24"/>
          <w:szCs w:val="24"/>
          <w:lang w:eastAsia="it-IT"/>
        </w:rPr>
        <w:t>’</w:t>
      </w:r>
      <w:r w:rsidRPr="00D13AA5">
        <w:rPr>
          <w:rFonts w:ascii="Times New Roman" w:eastAsia="Times New Roman" w:hAnsi="Times New Roman" w:cs="Times New Roman"/>
          <w:sz w:val="24"/>
          <w:szCs w:val="24"/>
          <w:lang w:eastAsia="it-IT"/>
        </w:rPr>
        <w:t>articolo 1, comma 143, della legge 27 dicembre 2019, n. 160</w:t>
      </w:r>
      <w:r w:rsidR="001668C2">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relativi all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anno 2020</w:t>
      </w:r>
      <w:r w:rsidRPr="00D13AA5">
        <w:rPr>
          <w:rFonts w:ascii="Times New Roman" w:eastAsia="Times New Roman" w:hAnsi="Times New Roman" w:cs="Times New Roman"/>
          <w:sz w:val="24"/>
          <w:szCs w:val="24"/>
          <w:lang w:eastAsia="it-IT"/>
        </w:rPr>
        <w:t xml:space="preserve">. </w:t>
      </w:r>
    </w:p>
    <w:p w14:paraId="48A6962F" w14:textId="6B665BFD" w:rsidR="006F3F73" w:rsidRPr="003845E2" w:rsidRDefault="006F3F73" w:rsidP="006F3F73">
      <w:pPr>
        <w:spacing w:after="0" w:line="360" w:lineRule="auto"/>
        <w:jc w:val="both"/>
        <w:rPr>
          <w:rFonts w:ascii="Times New Roman" w:eastAsia="Times New Roman" w:hAnsi="Times New Roman" w:cs="Times New Roman"/>
          <w:sz w:val="24"/>
          <w:szCs w:val="24"/>
          <w:lang w:eastAsia="it-IT"/>
        </w:rPr>
      </w:pPr>
      <w:r w:rsidRPr="00871783">
        <w:rPr>
          <w:rFonts w:ascii="Times New Roman" w:eastAsia="Times New Roman" w:hAnsi="Times New Roman" w:cs="Times New Roman"/>
          <w:sz w:val="24"/>
          <w:szCs w:val="24"/>
          <w:lang w:eastAsia="it-IT"/>
        </w:rPr>
        <w:lastRenderedPageBreak/>
        <w:t>Nell</w:t>
      </w:r>
      <w:r w:rsidR="00877AAF">
        <w:rPr>
          <w:rFonts w:ascii="Times New Roman" w:eastAsia="Times New Roman" w:hAnsi="Times New Roman" w:cs="Times New Roman"/>
          <w:sz w:val="24"/>
          <w:szCs w:val="24"/>
          <w:lang w:eastAsia="it-IT"/>
        </w:rPr>
        <w:t>’</w:t>
      </w:r>
      <w:r w:rsidRPr="00871783">
        <w:rPr>
          <w:rFonts w:ascii="Times New Roman" w:eastAsia="Times New Roman" w:hAnsi="Times New Roman" w:cs="Times New Roman"/>
          <w:sz w:val="24"/>
          <w:szCs w:val="24"/>
          <w:lang w:eastAsia="it-IT"/>
        </w:rPr>
        <w:t>ambito delle spese sostenute per la remunerazione del lavoro straordinario del personale non dirigenziale si è determinato un aumento, rispetto all</w:t>
      </w:r>
      <w:r w:rsidR="00877AAF">
        <w:rPr>
          <w:rFonts w:ascii="Times New Roman" w:eastAsia="Times New Roman" w:hAnsi="Times New Roman" w:cs="Times New Roman"/>
          <w:sz w:val="24"/>
          <w:szCs w:val="24"/>
          <w:lang w:eastAsia="it-IT"/>
        </w:rPr>
        <w:t>’</w:t>
      </w:r>
      <w:r w:rsidRPr="00871783">
        <w:rPr>
          <w:rFonts w:ascii="Times New Roman" w:eastAsia="Times New Roman" w:hAnsi="Times New Roman" w:cs="Times New Roman"/>
          <w:sz w:val="24"/>
          <w:szCs w:val="24"/>
          <w:lang w:eastAsia="it-IT"/>
        </w:rPr>
        <w:t xml:space="preserve">anno </w:t>
      </w:r>
      <w:r>
        <w:rPr>
          <w:rFonts w:ascii="Times New Roman" w:eastAsia="Times New Roman" w:hAnsi="Times New Roman" w:cs="Times New Roman"/>
          <w:sz w:val="24"/>
          <w:szCs w:val="24"/>
          <w:lang w:eastAsia="it-IT"/>
        </w:rPr>
        <w:t>2021</w:t>
      </w:r>
      <w:r w:rsidRPr="00871783">
        <w:rPr>
          <w:rFonts w:ascii="Times New Roman" w:eastAsia="Times New Roman" w:hAnsi="Times New Roman" w:cs="Times New Roman"/>
          <w:sz w:val="24"/>
          <w:szCs w:val="24"/>
          <w:lang w:eastAsia="it-IT"/>
        </w:rPr>
        <w:t xml:space="preserve">, quale effetto </w:t>
      </w:r>
      <w:r w:rsidRPr="003845E2">
        <w:rPr>
          <w:rFonts w:ascii="Times New Roman" w:eastAsia="Times New Roman" w:hAnsi="Times New Roman" w:cs="Times New Roman"/>
          <w:sz w:val="24"/>
          <w:szCs w:val="24"/>
          <w:lang w:eastAsia="it-IT"/>
        </w:rPr>
        <w:t>del rientro in condizioni di normalità, post pandemia, e al conseguente aumento delle prestazioni accessorie svolte dal personale nelle relative sedi di servizio.</w:t>
      </w:r>
    </w:p>
    <w:p w14:paraId="39DC7665" w14:textId="1F776104" w:rsidR="006F3F73" w:rsidRDefault="006F3F73" w:rsidP="006F3F73">
      <w:pPr>
        <w:spacing w:after="0" w:line="360" w:lineRule="auto"/>
        <w:jc w:val="both"/>
        <w:rPr>
          <w:rFonts w:ascii="Times New Roman" w:eastAsia="Times New Roman" w:hAnsi="Times New Roman" w:cs="Times New Roman"/>
          <w:sz w:val="24"/>
          <w:szCs w:val="24"/>
          <w:lang w:eastAsia="it-IT"/>
        </w:rPr>
      </w:pPr>
      <w:r w:rsidRPr="003845E2">
        <w:rPr>
          <w:rFonts w:ascii="Times New Roman" w:eastAsia="Times New Roman" w:hAnsi="Times New Roman" w:cs="Times New Roman"/>
          <w:sz w:val="24"/>
          <w:szCs w:val="24"/>
          <w:lang w:eastAsia="it-IT"/>
        </w:rPr>
        <w:t>Le spese sostenute per i compensi spettanti al Segretario generale della Presidenza del Consiglio e ai vice Segretari generali si</w:t>
      </w:r>
      <w:r>
        <w:rPr>
          <w:rFonts w:ascii="Times New Roman" w:eastAsia="Times New Roman" w:hAnsi="Times New Roman" w:cs="Times New Roman"/>
          <w:sz w:val="24"/>
          <w:szCs w:val="24"/>
          <w:lang w:eastAsia="it-IT"/>
        </w:rPr>
        <w:t xml:space="preserve"> s</w:t>
      </w:r>
      <w:r w:rsidRPr="003845E2">
        <w:rPr>
          <w:rFonts w:ascii="Times New Roman" w:eastAsia="Times New Roman" w:hAnsi="Times New Roman" w:cs="Times New Roman"/>
          <w:sz w:val="24"/>
          <w:szCs w:val="24"/>
          <w:lang w:eastAsia="it-IT"/>
        </w:rPr>
        <w:t>ono mantenute sostanzialmente in linea rispetto a quelle dell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anno precedente.</w:t>
      </w:r>
    </w:p>
    <w:p w14:paraId="41D18E0D" w14:textId="77777777" w:rsidR="009C39CE" w:rsidRPr="007D5554" w:rsidRDefault="009C39CE" w:rsidP="006F3F73">
      <w:pPr>
        <w:spacing w:after="0" w:line="360" w:lineRule="auto"/>
        <w:jc w:val="both"/>
        <w:rPr>
          <w:rFonts w:ascii="Times New Roman" w:eastAsia="Times New Roman" w:hAnsi="Times New Roman" w:cs="Times New Roman"/>
          <w:sz w:val="8"/>
          <w:szCs w:val="24"/>
          <w:lang w:eastAsia="it-IT"/>
        </w:rPr>
      </w:pPr>
    </w:p>
    <w:p w14:paraId="56FE842C" w14:textId="7DDAD32B" w:rsidR="006F3F73" w:rsidRPr="00871783" w:rsidRDefault="006F3F73" w:rsidP="006F3F73">
      <w:pPr>
        <w:spacing w:after="0" w:line="360" w:lineRule="auto"/>
        <w:jc w:val="both"/>
        <w:rPr>
          <w:rFonts w:ascii="Times New Roman" w:eastAsia="Times New Roman" w:hAnsi="Times New Roman" w:cs="Times New Roman"/>
          <w:sz w:val="24"/>
          <w:szCs w:val="24"/>
          <w:lang w:eastAsia="it-IT"/>
        </w:rPr>
      </w:pPr>
      <w:r w:rsidRPr="00871783">
        <w:rPr>
          <w:rFonts w:ascii="Times New Roman" w:eastAsia="Times New Roman" w:hAnsi="Times New Roman" w:cs="Times New Roman"/>
          <w:b/>
          <w:sz w:val="24"/>
          <w:szCs w:val="24"/>
          <w:lang w:eastAsia="it-IT"/>
        </w:rPr>
        <w:t xml:space="preserve">-  </w:t>
      </w:r>
      <w:r w:rsidRPr="0079571C">
        <w:rPr>
          <w:rFonts w:ascii="Times New Roman" w:eastAsia="Times New Roman" w:hAnsi="Times New Roman" w:cs="Times New Roman"/>
          <w:sz w:val="24"/>
          <w:szCs w:val="24"/>
          <w:lang w:eastAsia="it-IT"/>
        </w:rPr>
        <w:t>Diretta collaborazione</w:t>
      </w:r>
    </w:p>
    <w:p w14:paraId="7D216EE3" w14:textId="254116D7" w:rsidR="006F3F73" w:rsidRDefault="006F3F73" w:rsidP="006F3F73">
      <w:pPr>
        <w:tabs>
          <w:tab w:val="left" w:pos="567"/>
        </w:tabs>
        <w:spacing w:after="0" w:line="360" w:lineRule="auto"/>
        <w:jc w:val="both"/>
        <w:rPr>
          <w:rFonts w:ascii="Times New Roman" w:eastAsia="Times New Roman" w:hAnsi="Times New Roman" w:cs="Times New Roman"/>
          <w:sz w:val="24"/>
          <w:szCs w:val="24"/>
          <w:lang w:eastAsia="it-IT"/>
        </w:rPr>
      </w:pPr>
      <w:r w:rsidRPr="00871783">
        <w:rPr>
          <w:rFonts w:ascii="Times New Roman" w:eastAsia="Times New Roman" w:hAnsi="Times New Roman" w:cs="Times New Roman"/>
          <w:sz w:val="24"/>
          <w:szCs w:val="24"/>
          <w:lang w:eastAsia="it-IT"/>
        </w:rPr>
        <w:t xml:space="preserve">Le somme impegnate riguardanti il </w:t>
      </w:r>
      <w:r w:rsidRPr="00871783">
        <w:rPr>
          <w:rFonts w:ascii="Times New Roman" w:eastAsia="Times New Roman" w:hAnsi="Times New Roman" w:cs="Times New Roman"/>
          <w:bCs/>
          <w:sz w:val="24"/>
          <w:szCs w:val="24"/>
          <w:lang w:eastAsia="it-IT"/>
        </w:rPr>
        <w:t xml:space="preserve">personale </w:t>
      </w:r>
      <w:r w:rsidR="0079571C">
        <w:rPr>
          <w:rFonts w:ascii="Times New Roman" w:eastAsia="Times New Roman" w:hAnsi="Times New Roman" w:cs="Times New Roman"/>
          <w:bCs/>
          <w:sz w:val="24"/>
          <w:szCs w:val="24"/>
          <w:lang w:eastAsia="it-IT"/>
        </w:rPr>
        <w:t>de</w:t>
      </w:r>
      <w:r w:rsidRPr="00871783">
        <w:rPr>
          <w:rFonts w:ascii="Times New Roman" w:eastAsia="Times New Roman" w:hAnsi="Times New Roman" w:cs="Times New Roman"/>
          <w:bCs/>
          <w:sz w:val="24"/>
          <w:szCs w:val="24"/>
          <w:lang w:eastAsia="it-IT"/>
        </w:rPr>
        <w:t xml:space="preserve">gli Uffici di diretta collaborazione del Presidente del Consiglio dei ministri, dei Ministri e dei Sottosegretari di Stato passano da euro </w:t>
      </w:r>
      <w:r w:rsidRPr="00871783">
        <w:rPr>
          <w:rFonts w:ascii="Times New Roman" w:eastAsia="Times New Roman" w:hAnsi="Times New Roman" w:cs="Times New Roman"/>
          <w:sz w:val="24"/>
          <w:szCs w:val="24"/>
          <w:lang w:eastAsia="it-IT"/>
        </w:rPr>
        <w:t xml:space="preserve">14.766.803,51 del </w:t>
      </w:r>
      <w:r>
        <w:rPr>
          <w:rFonts w:ascii="Times New Roman" w:eastAsia="Times New Roman" w:hAnsi="Times New Roman" w:cs="Times New Roman"/>
          <w:sz w:val="24"/>
          <w:szCs w:val="24"/>
          <w:lang w:eastAsia="it-IT"/>
        </w:rPr>
        <w:t>2021</w:t>
      </w:r>
      <w:r w:rsidRPr="00C96FD3">
        <w:rPr>
          <w:rFonts w:ascii="Times New Roman" w:eastAsia="Times New Roman" w:hAnsi="Times New Roman" w:cs="Times New Roman"/>
          <w:vertAlign w:val="superscript"/>
          <w:lang w:eastAsia="it-IT"/>
        </w:rPr>
        <w:footnoteReference w:id="7"/>
      </w:r>
      <w:r w:rsidRPr="00871783">
        <w:rPr>
          <w:rFonts w:ascii="Times New Roman" w:eastAsia="Times New Roman" w:hAnsi="Times New Roman" w:cs="Times New Roman"/>
          <w:sz w:val="24"/>
          <w:szCs w:val="24"/>
          <w:lang w:eastAsia="it-IT"/>
        </w:rPr>
        <w:t xml:space="preserve"> </w:t>
      </w:r>
      <w:r w:rsidR="009F77D1">
        <w:rPr>
          <w:rFonts w:ascii="Times New Roman" w:eastAsia="Times New Roman" w:hAnsi="Times New Roman" w:cs="Times New Roman"/>
          <w:sz w:val="24"/>
          <w:szCs w:val="24"/>
          <w:lang w:eastAsia="it-IT"/>
        </w:rPr>
        <w:t>a euro</w:t>
      </w:r>
      <w:r w:rsidRPr="00871783">
        <w:rPr>
          <w:rFonts w:ascii="Times New Roman" w:eastAsia="Times New Roman" w:hAnsi="Times New Roman" w:cs="Times New Roman"/>
          <w:sz w:val="24"/>
          <w:szCs w:val="24"/>
          <w:lang w:eastAsia="it-IT"/>
        </w:rPr>
        <w:t xml:space="preserve"> </w:t>
      </w:r>
      <w:r w:rsidR="00AF547B" w:rsidRPr="00AF547B">
        <w:rPr>
          <w:rFonts w:ascii="Times New Roman" w:eastAsia="Times New Roman" w:hAnsi="Times New Roman" w:cs="Times New Roman"/>
          <w:sz w:val="24"/>
          <w:szCs w:val="24"/>
          <w:lang w:eastAsia="it-IT"/>
        </w:rPr>
        <w:t>16</w:t>
      </w:r>
      <w:r w:rsidR="00AF547B">
        <w:rPr>
          <w:rFonts w:ascii="Times New Roman" w:eastAsia="Times New Roman" w:hAnsi="Times New Roman" w:cs="Times New Roman"/>
          <w:sz w:val="24"/>
          <w:szCs w:val="24"/>
          <w:lang w:eastAsia="it-IT"/>
        </w:rPr>
        <w:t>.</w:t>
      </w:r>
      <w:r w:rsidR="00AF547B" w:rsidRPr="00AF547B">
        <w:rPr>
          <w:rFonts w:ascii="Times New Roman" w:eastAsia="Times New Roman" w:hAnsi="Times New Roman" w:cs="Times New Roman"/>
          <w:sz w:val="24"/>
          <w:szCs w:val="24"/>
          <w:lang w:eastAsia="it-IT"/>
        </w:rPr>
        <w:t>556</w:t>
      </w:r>
      <w:r w:rsidR="00AF547B">
        <w:rPr>
          <w:rFonts w:ascii="Times New Roman" w:eastAsia="Times New Roman" w:hAnsi="Times New Roman" w:cs="Times New Roman"/>
          <w:sz w:val="24"/>
          <w:szCs w:val="24"/>
          <w:lang w:eastAsia="it-IT"/>
        </w:rPr>
        <w:t>.</w:t>
      </w:r>
      <w:r w:rsidR="00AF547B" w:rsidRPr="00AF547B">
        <w:rPr>
          <w:rFonts w:ascii="Times New Roman" w:eastAsia="Times New Roman" w:hAnsi="Times New Roman" w:cs="Times New Roman"/>
          <w:sz w:val="24"/>
          <w:szCs w:val="24"/>
          <w:lang w:eastAsia="it-IT"/>
        </w:rPr>
        <w:t>098,24</w:t>
      </w:r>
      <w:r w:rsidR="00AF547B">
        <w:rPr>
          <w:rFonts w:ascii="Times New Roman" w:eastAsia="Times New Roman" w:hAnsi="Times New Roman" w:cs="Times New Roman"/>
          <w:sz w:val="24"/>
          <w:szCs w:val="24"/>
          <w:lang w:eastAsia="it-IT"/>
        </w:rPr>
        <w:t xml:space="preserve"> </w:t>
      </w:r>
      <w:r w:rsidRPr="00871783">
        <w:rPr>
          <w:rFonts w:ascii="Times New Roman" w:eastAsia="Times New Roman" w:hAnsi="Times New Roman" w:cs="Times New Roman"/>
          <w:sz w:val="24"/>
          <w:szCs w:val="24"/>
          <w:lang w:eastAsia="it-IT"/>
        </w:rPr>
        <w:t xml:space="preserve">nel </w:t>
      </w:r>
      <w:r>
        <w:rPr>
          <w:rFonts w:ascii="Times New Roman" w:eastAsia="Times New Roman" w:hAnsi="Times New Roman" w:cs="Times New Roman"/>
          <w:sz w:val="24"/>
          <w:szCs w:val="24"/>
          <w:lang w:eastAsia="it-IT"/>
        </w:rPr>
        <w:t>2022</w:t>
      </w:r>
      <w:r w:rsidRPr="00871783">
        <w:rPr>
          <w:rFonts w:ascii="Times New Roman" w:eastAsia="Times New Roman" w:hAnsi="Times New Roman" w:cs="Times New Roman"/>
          <w:sz w:val="24"/>
          <w:szCs w:val="24"/>
          <w:lang w:eastAsia="it-IT"/>
        </w:rPr>
        <w:t xml:space="preserve">, con </w:t>
      </w:r>
      <w:r w:rsidRPr="003845E2">
        <w:rPr>
          <w:rFonts w:ascii="Times New Roman" w:eastAsia="Times New Roman" w:hAnsi="Times New Roman" w:cs="Times New Roman"/>
          <w:sz w:val="24"/>
          <w:szCs w:val="24"/>
          <w:lang w:eastAsia="it-IT"/>
        </w:rPr>
        <w:t xml:space="preserve">un aumento pari a euro </w:t>
      </w:r>
      <w:r w:rsidR="00AF547B" w:rsidRPr="00AF547B">
        <w:rPr>
          <w:rFonts w:ascii="Times New Roman" w:eastAsia="Times New Roman" w:hAnsi="Times New Roman" w:cs="Times New Roman"/>
          <w:sz w:val="24"/>
          <w:szCs w:val="24"/>
          <w:lang w:eastAsia="it-IT"/>
        </w:rPr>
        <w:t>1</w:t>
      </w:r>
      <w:r w:rsidR="00AF547B">
        <w:rPr>
          <w:rFonts w:ascii="Times New Roman" w:eastAsia="Times New Roman" w:hAnsi="Times New Roman" w:cs="Times New Roman"/>
          <w:sz w:val="24"/>
          <w:szCs w:val="24"/>
          <w:lang w:eastAsia="it-IT"/>
        </w:rPr>
        <w:t>.</w:t>
      </w:r>
      <w:r w:rsidR="00AF547B" w:rsidRPr="00AF547B">
        <w:rPr>
          <w:rFonts w:ascii="Times New Roman" w:eastAsia="Times New Roman" w:hAnsi="Times New Roman" w:cs="Times New Roman"/>
          <w:sz w:val="24"/>
          <w:szCs w:val="24"/>
          <w:lang w:eastAsia="it-IT"/>
        </w:rPr>
        <w:t>789</w:t>
      </w:r>
      <w:r w:rsidR="00AF547B">
        <w:rPr>
          <w:rFonts w:ascii="Times New Roman" w:eastAsia="Times New Roman" w:hAnsi="Times New Roman" w:cs="Times New Roman"/>
          <w:sz w:val="24"/>
          <w:szCs w:val="24"/>
          <w:lang w:eastAsia="it-IT"/>
        </w:rPr>
        <w:t>.</w:t>
      </w:r>
      <w:r w:rsidR="00AF547B" w:rsidRPr="00AF547B">
        <w:rPr>
          <w:rFonts w:ascii="Times New Roman" w:eastAsia="Times New Roman" w:hAnsi="Times New Roman" w:cs="Times New Roman"/>
          <w:sz w:val="24"/>
          <w:szCs w:val="24"/>
          <w:lang w:eastAsia="it-IT"/>
        </w:rPr>
        <w:t>294,73</w:t>
      </w:r>
      <w:r w:rsidR="00AF547B">
        <w:rPr>
          <w:rFonts w:ascii="Times New Roman" w:eastAsia="Times New Roman" w:hAnsi="Times New Roman" w:cs="Times New Roman"/>
          <w:sz w:val="24"/>
          <w:szCs w:val="24"/>
          <w:lang w:eastAsia="it-IT"/>
        </w:rPr>
        <w:t xml:space="preserve"> </w:t>
      </w:r>
      <w:r w:rsidRPr="003845E2">
        <w:rPr>
          <w:rFonts w:ascii="Times New Roman" w:eastAsia="Times New Roman" w:hAnsi="Times New Roman" w:cs="Times New Roman"/>
          <w:sz w:val="24"/>
          <w:szCs w:val="24"/>
          <w:lang w:eastAsia="it-IT"/>
        </w:rPr>
        <w:t>rispetto all</w:t>
      </w:r>
      <w:r w:rsidR="00877AAF">
        <w:rPr>
          <w:rFonts w:ascii="Times New Roman" w:eastAsia="Times New Roman" w:hAnsi="Times New Roman" w:cs="Times New Roman"/>
          <w:sz w:val="24"/>
          <w:szCs w:val="24"/>
          <w:lang w:eastAsia="it-IT"/>
        </w:rPr>
        <w:t>’</w:t>
      </w:r>
      <w:r w:rsidRPr="003845E2">
        <w:rPr>
          <w:rFonts w:ascii="Times New Roman" w:eastAsia="Times New Roman" w:hAnsi="Times New Roman" w:cs="Times New Roman"/>
          <w:sz w:val="24"/>
          <w:szCs w:val="24"/>
          <w:lang w:eastAsia="it-IT"/>
        </w:rPr>
        <w:t xml:space="preserve">anno precedente. </w:t>
      </w:r>
    </w:p>
    <w:p w14:paraId="4D16011C" w14:textId="77777777" w:rsidR="009C39CE" w:rsidRPr="007D5554" w:rsidRDefault="009C39CE" w:rsidP="006F3F73">
      <w:pPr>
        <w:tabs>
          <w:tab w:val="left" w:pos="567"/>
        </w:tabs>
        <w:spacing w:after="0" w:line="360" w:lineRule="auto"/>
        <w:jc w:val="both"/>
        <w:rPr>
          <w:rFonts w:ascii="Times New Roman" w:eastAsia="Times New Roman" w:hAnsi="Times New Roman" w:cs="Times New Roman"/>
          <w:sz w:val="8"/>
          <w:szCs w:val="24"/>
          <w:lang w:eastAsia="it-IT"/>
        </w:rPr>
      </w:pPr>
    </w:p>
    <w:p w14:paraId="06A7F1AE" w14:textId="77777777" w:rsidR="006F3F73" w:rsidRPr="00871783" w:rsidRDefault="006F3F73" w:rsidP="006F3F73">
      <w:pPr>
        <w:tabs>
          <w:tab w:val="left" w:pos="567"/>
        </w:tabs>
        <w:spacing w:after="0" w:line="360" w:lineRule="auto"/>
        <w:jc w:val="both"/>
        <w:rPr>
          <w:rFonts w:ascii="Times New Roman" w:eastAsia="Times New Roman" w:hAnsi="Times New Roman" w:cs="Times New Roman"/>
          <w:b/>
          <w:sz w:val="24"/>
          <w:szCs w:val="24"/>
          <w:lang w:eastAsia="it-IT"/>
        </w:rPr>
      </w:pPr>
      <w:r w:rsidRPr="00871783">
        <w:rPr>
          <w:rFonts w:ascii="Times New Roman" w:eastAsia="Times New Roman" w:hAnsi="Times New Roman" w:cs="Times New Roman"/>
          <w:b/>
          <w:sz w:val="24"/>
          <w:szCs w:val="24"/>
          <w:lang w:eastAsia="it-IT"/>
        </w:rPr>
        <w:t xml:space="preserve">-  </w:t>
      </w:r>
      <w:r w:rsidRPr="0079571C">
        <w:rPr>
          <w:rFonts w:ascii="Times New Roman" w:eastAsia="Times New Roman" w:hAnsi="Times New Roman" w:cs="Times New Roman"/>
          <w:sz w:val="24"/>
          <w:szCs w:val="24"/>
          <w:lang w:eastAsia="it-IT"/>
        </w:rPr>
        <w:t>Strutture di missione ed altre strutture di supporto</w:t>
      </w:r>
    </w:p>
    <w:p w14:paraId="73EF5362" w14:textId="4349BB20" w:rsidR="006F3F73" w:rsidRPr="00CF2104" w:rsidRDefault="006F3F73" w:rsidP="006F3F73">
      <w:pPr>
        <w:tabs>
          <w:tab w:val="left" w:pos="567"/>
        </w:tabs>
        <w:spacing w:after="0" w:line="360" w:lineRule="auto"/>
        <w:jc w:val="both"/>
        <w:rPr>
          <w:rFonts w:ascii="Times New Roman" w:eastAsia="Times New Roman" w:hAnsi="Times New Roman" w:cs="Times New Roman"/>
          <w:sz w:val="24"/>
        </w:rPr>
      </w:pPr>
      <w:r w:rsidRPr="00CF2104">
        <w:rPr>
          <w:rFonts w:ascii="Times New Roman" w:eastAsia="Times New Roman" w:hAnsi="Times New Roman" w:cs="Times New Roman"/>
          <w:sz w:val="24"/>
        </w:rPr>
        <w:t>Per il personale assegnato alle strutture di missione</w:t>
      </w:r>
      <w:r w:rsidRPr="00C96FD3">
        <w:rPr>
          <w:rStyle w:val="Rimandonotaapidipagina"/>
          <w:rFonts w:ascii="Times New Roman" w:hAnsi="Times New Roman" w:cs="Times New Roman"/>
          <w:szCs w:val="20"/>
        </w:rPr>
        <w:footnoteReference w:id="8"/>
      </w:r>
      <w:r w:rsidRPr="00CF2104">
        <w:rPr>
          <w:rFonts w:ascii="Times New Roman" w:eastAsia="Times New Roman" w:hAnsi="Times New Roman" w:cs="Times New Roman"/>
          <w:sz w:val="24"/>
        </w:rPr>
        <w:t xml:space="preserve">, </w:t>
      </w:r>
      <w:bookmarkStart w:id="3" w:name="_Hlk70420810"/>
      <w:r w:rsidRPr="00CF2104">
        <w:rPr>
          <w:rFonts w:ascii="Times New Roman" w:eastAsia="Times New Roman" w:hAnsi="Times New Roman" w:cs="Times New Roman"/>
          <w:sz w:val="24"/>
        </w:rPr>
        <w:t>all</w:t>
      </w:r>
      <w:r w:rsidR="00877AAF">
        <w:rPr>
          <w:rFonts w:ascii="Times New Roman" w:eastAsia="Times New Roman" w:hAnsi="Times New Roman" w:cs="Times New Roman"/>
          <w:sz w:val="24"/>
        </w:rPr>
        <w:t>’</w:t>
      </w:r>
      <w:r w:rsidRPr="00CF2104">
        <w:rPr>
          <w:rFonts w:ascii="Times New Roman" w:eastAsia="Times New Roman" w:hAnsi="Times New Roman" w:cs="Times New Roman"/>
          <w:sz w:val="24"/>
        </w:rPr>
        <w:t>Unità per la semplificazione, all</w:t>
      </w:r>
      <w:r w:rsidR="00877AAF">
        <w:rPr>
          <w:rFonts w:ascii="Times New Roman" w:eastAsia="Times New Roman" w:hAnsi="Times New Roman" w:cs="Times New Roman"/>
          <w:sz w:val="24"/>
        </w:rPr>
        <w:t>’</w:t>
      </w:r>
      <w:r w:rsidRPr="00CF2104">
        <w:rPr>
          <w:rFonts w:ascii="Times New Roman" w:eastAsia="Times New Roman" w:hAnsi="Times New Roman" w:cs="Times New Roman"/>
          <w:sz w:val="24"/>
        </w:rPr>
        <w:t xml:space="preserve">Unità per la valutazione della </w:t>
      </w:r>
      <w:r w:rsidRPr="0079571C">
        <w:rPr>
          <w:rFonts w:ascii="Times New Roman" w:eastAsia="Times New Roman" w:hAnsi="Times New Roman" w:cs="Times New Roman"/>
          <w:i/>
          <w:sz w:val="24"/>
        </w:rPr>
        <w:t>performance</w:t>
      </w:r>
      <w:bookmarkEnd w:id="3"/>
      <w:r w:rsidRPr="00CF2104">
        <w:rPr>
          <w:rFonts w:ascii="Times New Roman" w:eastAsia="Times New Roman" w:hAnsi="Times New Roman" w:cs="Times New Roman"/>
          <w:sz w:val="24"/>
        </w:rPr>
        <w:t xml:space="preserve"> e al Nucleo della </w:t>
      </w:r>
      <w:r w:rsidR="001668C2">
        <w:rPr>
          <w:rFonts w:ascii="Times New Roman" w:eastAsia="Times New Roman" w:hAnsi="Times New Roman" w:cs="Times New Roman"/>
          <w:sz w:val="24"/>
        </w:rPr>
        <w:t>C</w:t>
      </w:r>
      <w:r w:rsidRPr="00CF2104">
        <w:rPr>
          <w:rFonts w:ascii="Times New Roman" w:eastAsia="Times New Roman" w:hAnsi="Times New Roman" w:cs="Times New Roman"/>
          <w:sz w:val="24"/>
        </w:rPr>
        <w:t>oncretezza, alle Unità di missione e strutture titolari di interventi PNRR, l</w:t>
      </w:r>
      <w:r w:rsidR="00877AAF">
        <w:rPr>
          <w:rFonts w:ascii="Times New Roman" w:eastAsia="Times New Roman" w:hAnsi="Times New Roman" w:cs="Times New Roman"/>
          <w:sz w:val="24"/>
        </w:rPr>
        <w:t>’</w:t>
      </w:r>
      <w:r w:rsidRPr="00CF2104">
        <w:rPr>
          <w:rFonts w:ascii="Times New Roman" w:eastAsia="Times New Roman" w:hAnsi="Times New Roman" w:cs="Times New Roman"/>
          <w:sz w:val="24"/>
        </w:rPr>
        <w:t>impegnato si attesta nel 2022</w:t>
      </w:r>
      <w:r w:rsidRPr="00C96FD3">
        <w:rPr>
          <w:rStyle w:val="Rimandonotaapidipagina"/>
          <w:rFonts w:ascii="Times New Roman" w:hAnsi="Times New Roman" w:cs="Times New Roman"/>
          <w:szCs w:val="20"/>
        </w:rPr>
        <w:footnoteReference w:id="9"/>
      </w:r>
      <w:r w:rsidRPr="00C96FD3">
        <w:rPr>
          <w:rFonts w:ascii="Times New Roman" w:eastAsia="Times New Roman" w:hAnsi="Times New Roman" w:cs="Times New Roman"/>
          <w:szCs w:val="20"/>
        </w:rPr>
        <w:t xml:space="preserve"> </w:t>
      </w:r>
      <w:r w:rsidR="009F77D1">
        <w:rPr>
          <w:rFonts w:ascii="Times New Roman" w:eastAsia="Times New Roman" w:hAnsi="Times New Roman" w:cs="Times New Roman"/>
          <w:sz w:val="24"/>
        </w:rPr>
        <w:t>a euro</w:t>
      </w:r>
      <w:r w:rsidRPr="006A21FF">
        <w:rPr>
          <w:rFonts w:ascii="Times New Roman" w:eastAsia="Times New Roman" w:hAnsi="Times New Roman" w:cs="Times New Roman"/>
          <w:sz w:val="24"/>
        </w:rPr>
        <w:t xml:space="preserve"> 15.106.869,79</w:t>
      </w:r>
      <w:r w:rsidR="001668C2">
        <w:rPr>
          <w:rFonts w:ascii="Times New Roman" w:eastAsia="Times New Roman" w:hAnsi="Times New Roman" w:cs="Times New Roman"/>
          <w:sz w:val="24"/>
        </w:rPr>
        <w:t>,</w:t>
      </w:r>
      <w:r w:rsidRPr="005A0689">
        <w:rPr>
          <w:rFonts w:ascii="Times New Roman" w:eastAsia="Times New Roman" w:hAnsi="Times New Roman" w:cs="Times New Roman"/>
          <w:sz w:val="24"/>
        </w:rPr>
        <w:t xml:space="preserve"> </w:t>
      </w:r>
      <w:r w:rsidRPr="00CF2104">
        <w:rPr>
          <w:rFonts w:ascii="Times New Roman" w:eastAsia="Times New Roman" w:hAnsi="Times New Roman" w:cs="Times New Roman"/>
          <w:sz w:val="24"/>
        </w:rPr>
        <w:t xml:space="preserve">con un aumento di euro </w:t>
      </w:r>
      <w:r w:rsidRPr="005A0689">
        <w:rPr>
          <w:rFonts w:ascii="Times New Roman" w:eastAsia="Times New Roman" w:hAnsi="Times New Roman" w:cs="Times New Roman"/>
          <w:sz w:val="24"/>
        </w:rPr>
        <w:t xml:space="preserve">10.526.743,74 </w:t>
      </w:r>
      <w:r w:rsidRPr="00CF2104">
        <w:rPr>
          <w:rFonts w:ascii="Times New Roman" w:eastAsia="Times New Roman" w:hAnsi="Times New Roman" w:cs="Times New Roman"/>
          <w:sz w:val="24"/>
        </w:rPr>
        <w:t>rispetto all</w:t>
      </w:r>
      <w:r w:rsidR="00877AAF">
        <w:rPr>
          <w:rFonts w:ascii="Times New Roman" w:eastAsia="Times New Roman" w:hAnsi="Times New Roman" w:cs="Times New Roman"/>
          <w:sz w:val="24"/>
        </w:rPr>
        <w:t>’</w:t>
      </w:r>
      <w:r w:rsidRPr="00CF2104">
        <w:rPr>
          <w:rFonts w:ascii="Times New Roman" w:eastAsia="Times New Roman" w:hAnsi="Times New Roman" w:cs="Times New Roman"/>
          <w:sz w:val="24"/>
        </w:rPr>
        <w:t xml:space="preserve">impegnato nel 2021, pari </w:t>
      </w:r>
      <w:r w:rsidR="009F77D1">
        <w:rPr>
          <w:rFonts w:ascii="Times New Roman" w:eastAsia="Times New Roman" w:hAnsi="Times New Roman" w:cs="Times New Roman"/>
          <w:sz w:val="24"/>
        </w:rPr>
        <w:t>a euro</w:t>
      </w:r>
      <w:r w:rsidRPr="00CF2104">
        <w:rPr>
          <w:rFonts w:ascii="Times New Roman" w:eastAsia="Times New Roman" w:hAnsi="Times New Roman" w:cs="Times New Roman"/>
          <w:sz w:val="24"/>
        </w:rPr>
        <w:t xml:space="preserve"> 4.580.126,05. </w:t>
      </w:r>
    </w:p>
    <w:p w14:paraId="3F5ED921" w14:textId="3E8DAA1F" w:rsidR="006F3F73" w:rsidRDefault="006F3F73" w:rsidP="006F3F73">
      <w:pPr>
        <w:tabs>
          <w:tab w:val="left" w:pos="567"/>
        </w:tabs>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L</w:t>
      </w:r>
      <w:r w:rsidR="00877AAF">
        <w:rPr>
          <w:rFonts w:ascii="Times New Roman" w:eastAsia="Times New Roman" w:hAnsi="Times New Roman" w:cs="Times New Roman"/>
          <w:sz w:val="24"/>
        </w:rPr>
        <w:t>’</w:t>
      </w:r>
      <w:r w:rsidRPr="00CF2104">
        <w:rPr>
          <w:rFonts w:ascii="Times New Roman" w:eastAsia="Times New Roman" w:hAnsi="Times New Roman" w:cs="Times New Roman"/>
          <w:sz w:val="24"/>
        </w:rPr>
        <w:t>incremento delle spese delle suddette strutture è dovuto alla piena operatività di quelle</w:t>
      </w:r>
      <w:r w:rsidR="006F54DA">
        <w:rPr>
          <w:rFonts w:ascii="Times New Roman" w:eastAsia="Times New Roman" w:hAnsi="Times New Roman" w:cs="Times New Roman"/>
          <w:sz w:val="24"/>
        </w:rPr>
        <w:t xml:space="preserve"> di missione</w:t>
      </w:r>
      <w:r w:rsidRPr="00CF2104">
        <w:rPr>
          <w:rFonts w:ascii="Times New Roman" w:eastAsia="Times New Roman" w:hAnsi="Times New Roman" w:cs="Times New Roman"/>
          <w:sz w:val="24"/>
        </w:rPr>
        <w:t xml:space="preserve"> istituite per dare supporto all</w:t>
      </w:r>
      <w:r w:rsidR="00877AAF">
        <w:rPr>
          <w:rFonts w:ascii="Times New Roman" w:eastAsia="Times New Roman" w:hAnsi="Times New Roman" w:cs="Times New Roman"/>
          <w:sz w:val="24"/>
        </w:rPr>
        <w:t>’</w:t>
      </w:r>
      <w:r w:rsidRPr="00CF2104">
        <w:rPr>
          <w:rFonts w:ascii="Times New Roman" w:eastAsia="Times New Roman" w:hAnsi="Times New Roman" w:cs="Times New Roman"/>
          <w:sz w:val="24"/>
        </w:rPr>
        <w:t xml:space="preserve">attuazione del </w:t>
      </w:r>
      <w:r w:rsidRPr="00CF2104">
        <w:rPr>
          <w:rFonts w:ascii="Times New Roman" w:eastAsia="Times New Roman" w:hAnsi="Times New Roman" w:cs="Times New Roman"/>
          <w:i/>
          <w:sz w:val="24"/>
          <w:szCs w:val="24"/>
          <w:lang w:eastAsia="it-IT"/>
        </w:rPr>
        <w:t xml:space="preserve">Piano Nazionale di ripresa e resilienza (PNRR), </w:t>
      </w:r>
      <w:r w:rsidRPr="00CF2104">
        <w:rPr>
          <w:rFonts w:ascii="Times New Roman" w:eastAsia="Times New Roman" w:hAnsi="Times New Roman" w:cs="Times New Roman"/>
          <w:sz w:val="24"/>
          <w:szCs w:val="24"/>
          <w:lang w:eastAsia="it-IT"/>
        </w:rPr>
        <w:t>quali la Segreteria</w:t>
      </w:r>
      <w:r w:rsidRPr="00CF2104">
        <w:rPr>
          <w:rFonts w:ascii="Times New Roman" w:eastAsia="Times New Roman" w:hAnsi="Times New Roman" w:cs="Times New Roman"/>
          <w:i/>
          <w:sz w:val="24"/>
          <w:szCs w:val="24"/>
          <w:lang w:eastAsia="it-IT"/>
        </w:rPr>
        <w:t xml:space="preserve"> </w:t>
      </w:r>
      <w:r w:rsidRPr="00CF2104">
        <w:rPr>
          <w:rFonts w:ascii="Times New Roman" w:eastAsia="Times New Roman" w:hAnsi="Times New Roman" w:cs="Times New Roman"/>
          <w:sz w:val="24"/>
        </w:rPr>
        <w:t xml:space="preserve">tecnica del PNRR, la Struttura di missione Unità per la razionalizzazione e il miglioramento della regolazione e la Struttura di missione per le politiche in materia di disabilità, nonché </w:t>
      </w:r>
      <w:r w:rsidR="006F54DA">
        <w:rPr>
          <w:rFonts w:ascii="Times New Roman" w:eastAsia="Times New Roman" w:hAnsi="Times New Roman" w:cs="Times New Roman"/>
          <w:sz w:val="24"/>
        </w:rPr>
        <w:t>alle assunzioni presso le</w:t>
      </w:r>
      <w:r w:rsidRPr="00CF2104">
        <w:rPr>
          <w:rFonts w:ascii="Times New Roman" w:eastAsia="Times New Roman" w:hAnsi="Times New Roman" w:cs="Times New Roman"/>
          <w:sz w:val="24"/>
        </w:rPr>
        <w:t xml:space="preserve"> Unità di missione e strutture titolari di interventi previsti nel PNRR.</w:t>
      </w:r>
    </w:p>
    <w:p w14:paraId="5BC442E6" w14:textId="77777777" w:rsidR="009C39CE" w:rsidRPr="00157BD9" w:rsidRDefault="009C39CE" w:rsidP="006F3F73">
      <w:pPr>
        <w:tabs>
          <w:tab w:val="left" w:pos="567"/>
        </w:tabs>
        <w:spacing w:after="0" w:line="360" w:lineRule="auto"/>
        <w:jc w:val="both"/>
        <w:rPr>
          <w:rFonts w:ascii="Times New Roman" w:eastAsia="Times New Roman" w:hAnsi="Times New Roman" w:cs="Times New Roman"/>
          <w:sz w:val="8"/>
        </w:rPr>
      </w:pPr>
    </w:p>
    <w:p w14:paraId="34BC8AA6" w14:textId="68A6F5E6" w:rsidR="006F3F73" w:rsidRPr="0079571C" w:rsidRDefault="006F3F73" w:rsidP="006F3F73">
      <w:pPr>
        <w:spacing w:after="0" w:line="360" w:lineRule="auto"/>
        <w:jc w:val="both"/>
        <w:rPr>
          <w:rFonts w:ascii="Times New Roman" w:eastAsia="Times New Roman" w:hAnsi="Times New Roman" w:cs="Times New Roman"/>
          <w:bCs/>
          <w:sz w:val="24"/>
          <w:szCs w:val="24"/>
          <w:lang w:eastAsia="it-IT"/>
        </w:rPr>
      </w:pPr>
      <w:r w:rsidRPr="00CF2104">
        <w:rPr>
          <w:rFonts w:ascii="Times New Roman" w:eastAsia="Times New Roman" w:hAnsi="Times New Roman" w:cs="Times New Roman"/>
          <w:sz w:val="24"/>
          <w:szCs w:val="24"/>
          <w:lang w:eastAsia="it-IT"/>
        </w:rPr>
        <w:t xml:space="preserve">-  </w:t>
      </w:r>
      <w:r w:rsidRPr="0079571C">
        <w:rPr>
          <w:rFonts w:ascii="Times New Roman" w:eastAsia="Times New Roman" w:hAnsi="Times New Roman" w:cs="Times New Roman"/>
          <w:bCs/>
          <w:sz w:val="24"/>
          <w:szCs w:val="24"/>
          <w:lang w:eastAsia="it-IT"/>
        </w:rPr>
        <w:t>Rimborsi alle amministrazioni del trattamento economico fondamentale del personale di prestito fuori comparto (comprensivo del personale dirigenziale)</w:t>
      </w:r>
    </w:p>
    <w:p w14:paraId="401FDCF8" w14:textId="04684D15" w:rsidR="006F3F73" w:rsidRDefault="006F3F73" w:rsidP="006F3F73">
      <w:pPr>
        <w:spacing w:after="0" w:line="360" w:lineRule="auto"/>
        <w:jc w:val="both"/>
        <w:rPr>
          <w:rFonts w:ascii="Times New Roman" w:eastAsia="Times New Roman" w:hAnsi="Times New Roman" w:cs="Times New Roman"/>
          <w:bCs/>
          <w:sz w:val="24"/>
          <w:szCs w:val="24"/>
          <w:lang w:eastAsia="it-IT"/>
        </w:rPr>
      </w:pPr>
      <w:bookmarkStart w:id="4" w:name="_Hlk67244905"/>
      <w:r w:rsidRPr="003845E2">
        <w:rPr>
          <w:rFonts w:ascii="Times New Roman" w:eastAsia="Times New Roman" w:hAnsi="Times New Roman" w:cs="Times New Roman"/>
          <w:bCs/>
          <w:sz w:val="24"/>
          <w:szCs w:val="24"/>
          <w:lang w:eastAsia="it-IT"/>
        </w:rPr>
        <w:t>I rimborsi alle amministrazioni di appartenenza relativi al trattamento economico fondamentale per il personale di prestito non appartenente al comparto Ministeri</w:t>
      </w:r>
      <w:bookmarkEnd w:id="4"/>
      <w:r w:rsidRPr="003845E2">
        <w:rPr>
          <w:rFonts w:ascii="Times New Roman" w:eastAsia="Times New Roman" w:hAnsi="Times New Roman" w:cs="Times New Roman"/>
          <w:bCs/>
          <w:sz w:val="24"/>
          <w:szCs w:val="24"/>
          <w:lang w:eastAsia="it-IT"/>
        </w:rPr>
        <w:t>, nel 2022, sono stati pari a euro 8.621.810,77 rispetto a quelli sostenuti nel 2021 pari a euro 7.342.173,84, con un incremento di euro 1.279.636,93. Si evidenzia che l</w:t>
      </w:r>
      <w:r w:rsidR="00877AAF">
        <w:rPr>
          <w:rFonts w:ascii="Times New Roman" w:eastAsia="Times New Roman" w:hAnsi="Times New Roman" w:cs="Times New Roman"/>
          <w:bCs/>
          <w:sz w:val="24"/>
          <w:szCs w:val="24"/>
          <w:lang w:eastAsia="it-IT"/>
        </w:rPr>
        <w:t>’</w:t>
      </w:r>
      <w:r w:rsidRPr="003845E2">
        <w:rPr>
          <w:rFonts w:ascii="Times New Roman" w:eastAsia="Times New Roman" w:hAnsi="Times New Roman" w:cs="Times New Roman"/>
          <w:bCs/>
          <w:sz w:val="24"/>
          <w:szCs w:val="24"/>
          <w:lang w:eastAsia="it-IT"/>
        </w:rPr>
        <w:t xml:space="preserve">andamento delle somme impegnate per tale tipologia di spesa </w:t>
      </w:r>
      <w:r w:rsidRPr="00237771">
        <w:rPr>
          <w:rFonts w:ascii="Times New Roman" w:eastAsia="Times New Roman" w:hAnsi="Times New Roman" w:cs="Times New Roman"/>
          <w:bCs/>
          <w:sz w:val="24"/>
          <w:szCs w:val="24"/>
          <w:lang w:eastAsia="it-IT"/>
        </w:rPr>
        <w:t xml:space="preserve">è </w:t>
      </w:r>
      <w:r w:rsidRPr="00237771">
        <w:rPr>
          <w:rFonts w:ascii="Times New Roman" w:eastAsia="Times New Roman" w:hAnsi="Times New Roman" w:cs="Times New Roman"/>
          <w:bCs/>
          <w:sz w:val="24"/>
          <w:szCs w:val="24"/>
          <w:lang w:eastAsia="it-IT"/>
        </w:rPr>
        <w:lastRenderedPageBreak/>
        <w:t xml:space="preserve">discontinuo in quanto si riferisce a rimborsi relativi al personale in servizio negli esercizi precedenti il cui pagamento è subordinato alla ricezione delle richieste di rimborso da parte delle amministrazioni di appartenenza. </w:t>
      </w:r>
    </w:p>
    <w:p w14:paraId="3061E058" w14:textId="77777777" w:rsidR="009C39CE" w:rsidRPr="00157BD9" w:rsidRDefault="009C39CE" w:rsidP="006F3F73">
      <w:pPr>
        <w:spacing w:after="0" w:line="360" w:lineRule="auto"/>
        <w:jc w:val="both"/>
        <w:rPr>
          <w:rFonts w:ascii="Times New Roman" w:eastAsia="Times New Roman" w:hAnsi="Times New Roman" w:cs="Times New Roman"/>
          <w:bCs/>
          <w:sz w:val="8"/>
          <w:szCs w:val="24"/>
          <w:lang w:eastAsia="it-IT"/>
        </w:rPr>
      </w:pPr>
    </w:p>
    <w:p w14:paraId="216CE7B1" w14:textId="77777777" w:rsidR="006F3F73" w:rsidRPr="008D302D" w:rsidRDefault="006F3F73" w:rsidP="006F3F73">
      <w:pPr>
        <w:spacing w:after="0" w:line="360" w:lineRule="auto"/>
        <w:jc w:val="both"/>
        <w:rPr>
          <w:rFonts w:ascii="Times New Roman" w:eastAsia="Times New Roman" w:hAnsi="Times New Roman" w:cs="Times New Roman"/>
          <w:b/>
          <w:bCs/>
          <w:sz w:val="24"/>
          <w:szCs w:val="24"/>
          <w:lang w:eastAsia="it-IT"/>
        </w:rPr>
      </w:pPr>
      <w:r w:rsidRPr="008D302D">
        <w:rPr>
          <w:rFonts w:ascii="Times New Roman" w:eastAsia="Times New Roman" w:hAnsi="Times New Roman" w:cs="Times New Roman"/>
          <w:b/>
          <w:bCs/>
          <w:sz w:val="24"/>
          <w:szCs w:val="24"/>
          <w:lang w:eastAsia="it-IT"/>
        </w:rPr>
        <w:t xml:space="preserve">-  </w:t>
      </w:r>
      <w:r w:rsidRPr="0079571C">
        <w:rPr>
          <w:rFonts w:ascii="Times New Roman" w:eastAsia="Times New Roman" w:hAnsi="Times New Roman" w:cs="Times New Roman"/>
          <w:bCs/>
          <w:sz w:val="24"/>
          <w:szCs w:val="24"/>
          <w:lang w:eastAsia="it-IT"/>
        </w:rPr>
        <w:t>Trattamenti accessori al personale di prestito (comprensivo del personale dirigenziale)</w:t>
      </w:r>
      <w:r w:rsidRPr="008D302D">
        <w:rPr>
          <w:rFonts w:ascii="Times New Roman" w:eastAsia="Times New Roman" w:hAnsi="Times New Roman" w:cs="Times New Roman"/>
          <w:b/>
          <w:bCs/>
          <w:sz w:val="24"/>
          <w:szCs w:val="24"/>
          <w:lang w:eastAsia="it-IT"/>
        </w:rPr>
        <w:t xml:space="preserve"> </w:t>
      </w:r>
    </w:p>
    <w:p w14:paraId="6A0143B8" w14:textId="77777777" w:rsidR="006F3F73" w:rsidRPr="00237771" w:rsidRDefault="006F3F73" w:rsidP="006F3F73">
      <w:pPr>
        <w:pStyle w:val="Paragrafoelenco"/>
        <w:spacing w:line="360" w:lineRule="auto"/>
        <w:ind w:left="0"/>
        <w:jc w:val="both"/>
        <w:rPr>
          <w:bCs/>
          <w:sz w:val="24"/>
          <w:szCs w:val="24"/>
        </w:rPr>
      </w:pPr>
      <w:r w:rsidRPr="008D302D">
        <w:rPr>
          <w:bCs/>
          <w:sz w:val="24"/>
          <w:szCs w:val="24"/>
        </w:rPr>
        <w:t xml:space="preserve">Le somme impegnate per il trattamento economico accessorio per il personale di prestito, ivi </w:t>
      </w:r>
      <w:r w:rsidRPr="00237771">
        <w:rPr>
          <w:bCs/>
          <w:sz w:val="24"/>
          <w:szCs w:val="24"/>
        </w:rPr>
        <w:t xml:space="preserve">compreso il personale dirigenziale non contrattualizzato (ad es. magistrati, prefetti, consiglieri diplomatici, militari e professori universitari), per il </w:t>
      </w:r>
      <w:r>
        <w:rPr>
          <w:bCs/>
          <w:sz w:val="24"/>
          <w:szCs w:val="24"/>
        </w:rPr>
        <w:t>2022</w:t>
      </w:r>
      <w:r w:rsidRPr="00237771">
        <w:rPr>
          <w:bCs/>
          <w:sz w:val="24"/>
          <w:szCs w:val="24"/>
        </w:rPr>
        <w:t xml:space="preserve"> si attestano a euro </w:t>
      </w:r>
      <w:r w:rsidRPr="006A21FF">
        <w:rPr>
          <w:bCs/>
          <w:sz w:val="24"/>
          <w:szCs w:val="24"/>
        </w:rPr>
        <w:t>31.442.158,96.</w:t>
      </w:r>
    </w:p>
    <w:p w14:paraId="4D8FE28D" w14:textId="2CA8428D" w:rsidR="006F3F73" w:rsidRDefault="006F3F73" w:rsidP="006F3F73">
      <w:pPr>
        <w:spacing w:after="0" w:line="360" w:lineRule="auto"/>
        <w:jc w:val="both"/>
        <w:rPr>
          <w:rFonts w:ascii="Times New Roman" w:hAnsi="Times New Roman" w:cs="Times New Roman"/>
          <w:bCs/>
          <w:sz w:val="24"/>
          <w:szCs w:val="24"/>
        </w:rPr>
      </w:pPr>
      <w:r w:rsidRPr="00237771">
        <w:rPr>
          <w:rFonts w:ascii="Times New Roman" w:hAnsi="Times New Roman" w:cs="Times New Roman"/>
          <w:bCs/>
          <w:sz w:val="24"/>
          <w:szCs w:val="24"/>
        </w:rPr>
        <w:t>Rispetto all</w:t>
      </w:r>
      <w:r w:rsidR="00877AAF">
        <w:rPr>
          <w:rFonts w:ascii="Times New Roman" w:hAnsi="Times New Roman" w:cs="Times New Roman"/>
          <w:bCs/>
          <w:sz w:val="24"/>
          <w:szCs w:val="24"/>
        </w:rPr>
        <w:t>’</w:t>
      </w:r>
      <w:r w:rsidRPr="00237771">
        <w:rPr>
          <w:rFonts w:ascii="Times New Roman" w:hAnsi="Times New Roman" w:cs="Times New Roman"/>
          <w:bCs/>
          <w:sz w:val="24"/>
          <w:szCs w:val="24"/>
        </w:rPr>
        <w:t xml:space="preserve">impegnato del </w:t>
      </w:r>
      <w:r>
        <w:rPr>
          <w:rFonts w:ascii="Times New Roman" w:hAnsi="Times New Roman" w:cs="Times New Roman"/>
          <w:bCs/>
          <w:sz w:val="24"/>
          <w:szCs w:val="24"/>
        </w:rPr>
        <w:t>2021</w:t>
      </w:r>
      <w:r w:rsidRPr="00237771">
        <w:rPr>
          <w:rFonts w:ascii="Times New Roman" w:hAnsi="Times New Roman" w:cs="Times New Roman"/>
          <w:bCs/>
          <w:sz w:val="24"/>
          <w:szCs w:val="24"/>
        </w:rPr>
        <w:t xml:space="preserve">, pari a </w:t>
      </w:r>
      <w:r w:rsidRPr="00B66189">
        <w:rPr>
          <w:rFonts w:ascii="Times New Roman" w:eastAsia="Times New Roman" w:hAnsi="Times New Roman" w:cs="Times New Roman"/>
          <w:bCs/>
          <w:sz w:val="24"/>
          <w:szCs w:val="24"/>
          <w:lang w:eastAsia="it-IT"/>
        </w:rPr>
        <w:t>euro 24.879.996,88</w:t>
      </w:r>
      <w:r w:rsidRPr="00237771">
        <w:rPr>
          <w:rFonts w:ascii="Times New Roman" w:hAnsi="Times New Roman" w:cs="Times New Roman"/>
          <w:bCs/>
          <w:sz w:val="24"/>
          <w:szCs w:val="24"/>
        </w:rPr>
        <w:t xml:space="preserve">, si rileva un aumento di euro </w:t>
      </w:r>
      <w:r>
        <w:rPr>
          <w:rFonts w:ascii="Times New Roman" w:hAnsi="Times New Roman" w:cs="Times New Roman"/>
          <w:bCs/>
          <w:sz w:val="24"/>
          <w:szCs w:val="24"/>
        </w:rPr>
        <w:t>6.562.162,08</w:t>
      </w:r>
      <w:r w:rsidRPr="00237771">
        <w:rPr>
          <w:rFonts w:ascii="Times New Roman" w:hAnsi="Times New Roman" w:cs="Times New Roman"/>
          <w:bCs/>
          <w:sz w:val="24"/>
          <w:szCs w:val="24"/>
        </w:rPr>
        <w:t xml:space="preserve"> dovuto essenzialmente all</w:t>
      </w:r>
      <w:r w:rsidR="00877AAF">
        <w:rPr>
          <w:rFonts w:ascii="Times New Roman" w:hAnsi="Times New Roman" w:cs="Times New Roman"/>
          <w:bCs/>
          <w:sz w:val="24"/>
          <w:szCs w:val="24"/>
        </w:rPr>
        <w:t>’</w:t>
      </w:r>
      <w:r w:rsidRPr="00237771">
        <w:rPr>
          <w:rFonts w:ascii="Times New Roman" w:hAnsi="Times New Roman" w:cs="Times New Roman"/>
          <w:bCs/>
          <w:sz w:val="24"/>
          <w:szCs w:val="24"/>
        </w:rPr>
        <w:t>incremento</w:t>
      </w:r>
      <w:r>
        <w:rPr>
          <w:rFonts w:ascii="Times New Roman" w:hAnsi="Times New Roman" w:cs="Times New Roman"/>
          <w:bCs/>
          <w:sz w:val="24"/>
          <w:szCs w:val="24"/>
        </w:rPr>
        <w:t xml:space="preserve"> </w:t>
      </w:r>
      <w:r w:rsidRPr="003845E2">
        <w:rPr>
          <w:rFonts w:ascii="Times New Roman" w:hAnsi="Times New Roman" w:cs="Times New Roman"/>
          <w:bCs/>
          <w:sz w:val="24"/>
          <w:szCs w:val="24"/>
        </w:rPr>
        <w:t xml:space="preserve">delle unità di personale in comando, nonché degli emolumenti corrisposti al suddetto personale, sia civile sia militare, di tutte le voci relative al trattamento economico accessorio. </w:t>
      </w:r>
    </w:p>
    <w:p w14:paraId="4E0DDAFC" w14:textId="77777777" w:rsidR="009C39CE" w:rsidRPr="00157BD9" w:rsidRDefault="009C39CE" w:rsidP="006F3F73">
      <w:pPr>
        <w:spacing w:after="0" w:line="360" w:lineRule="auto"/>
        <w:jc w:val="both"/>
        <w:rPr>
          <w:rFonts w:ascii="Times New Roman" w:hAnsi="Times New Roman" w:cs="Times New Roman"/>
          <w:bCs/>
          <w:strike/>
          <w:sz w:val="8"/>
          <w:szCs w:val="24"/>
        </w:rPr>
      </w:pPr>
    </w:p>
    <w:p w14:paraId="23F32CF7" w14:textId="77777777" w:rsidR="006F3F73" w:rsidRPr="00237771" w:rsidRDefault="006F3F73" w:rsidP="006F3F73">
      <w:pPr>
        <w:spacing w:after="0" w:line="360" w:lineRule="auto"/>
        <w:jc w:val="both"/>
        <w:rPr>
          <w:rFonts w:ascii="Times New Roman" w:eastAsia="Times New Roman" w:hAnsi="Times New Roman" w:cs="Times New Roman"/>
          <w:b/>
          <w:bCs/>
          <w:sz w:val="24"/>
          <w:szCs w:val="24"/>
          <w:lang w:eastAsia="it-IT"/>
        </w:rPr>
      </w:pPr>
      <w:r w:rsidRPr="00237771">
        <w:rPr>
          <w:rFonts w:ascii="Times New Roman" w:eastAsia="Times New Roman" w:hAnsi="Times New Roman" w:cs="Times New Roman"/>
          <w:b/>
          <w:bCs/>
          <w:sz w:val="24"/>
          <w:szCs w:val="24"/>
          <w:lang w:eastAsia="it-IT"/>
        </w:rPr>
        <w:t xml:space="preserve">- </w:t>
      </w:r>
      <w:r w:rsidRPr="0079571C">
        <w:rPr>
          <w:rFonts w:ascii="Times New Roman" w:eastAsia="Times New Roman" w:hAnsi="Times New Roman" w:cs="Times New Roman"/>
          <w:bCs/>
          <w:sz w:val="24"/>
          <w:szCs w:val="24"/>
          <w:lang w:eastAsia="it-IT"/>
        </w:rPr>
        <w:t>Emolumenti accessori al personale della Protezione civile</w:t>
      </w:r>
    </w:p>
    <w:p w14:paraId="4310CF3B" w14:textId="30CE7B69" w:rsidR="006F3F73" w:rsidRPr="003845E2" w:rsidRDefault="006F3F73" w:rsidP="006F3F73">
      <w:pPr>
        <w:spacing w:after="0" w:line="360" w:lineRule="auto"/>
        <w:jc w:val="both"/>
        <w:rPr>
          <w:rFonts w:ascii="Times New Roman" w:hAnsi="Times New Roman" w:cs="Times New Roman"/>
          <w:sz w:val="24"/>
          <w:szCs w:val="24"/>
        </w:rPr>
      </w:pPr>
      <w:r w:rsidRPr="00237771">
        <w:rPr>
          <w:rFonts w:ascii="Times New Roman" w:eastAsia="Times New Roman" w:hAnsi="Times New Roman" w:cs="Times New Roman"/>
          <w:sz w:val="24"/>
          <w:szCs w:val="24"/>
          <w:lang w:eastAsia="it-IT"/>
        </w:rPr>
        <w:t xml:space="preserve">Gli emolumenti accessori al personale della Protezione civile passano da euro 4.765.357,30 del </w:t>
      </w:r>
      <w:r>
        <w:rPr>
          <w:rFonts w:ascii="Times New Roman" w:eastAsia="Times New Roman" w:hAnsi="Times New Roman" w:cs="Times New Roman"/>
          <w:sz w:val="24"/>
          <w:szCs w:val="24"/>
          <w:lang w:eastAsia="it-IT"/>
        </w:rPr>
        <w:t>2021</w:t>
      </w:r>
      <w:r w:rsidRPr="00237771">
        <w:rPr>
          <w:rFonts w:ascii="Times New Roman" w:eastAsia="Times New Roman" w:hAnsi="Times New Roman" w:cs="Times New Roman"/>
          <w:sz w:val="24"/>
          <w:szCs w:val="24"/>
          <w:lang w:eastAsia="it-IT"/>
        </w:rPr>
        <w:t xml:space="preserve"> </w:t>
      </w:r>
      <w:r w:rsidR="009F77D1">
        <w:rPr>
          <w:rFonts w:ascii="Times New Roman" w:eastAsia="Times New Roman" w:hAnsi="Times New Roman" w:cs="Times New Roman"/>
          <w:sz w:val="24"/>
          <w:szCs w:val="24"/>
          <w:lang w:eastAsia="it-IT"/>
        </w:rPr>
        <w:t>a euro</w:t>
      </w:r>
      <w:r w:rsidRPr="00237771">
        <w:rPr>
          <w:rFonts w:ascii="Times New Roman" w:eastAsia="Times New Roman" w:hAnsi="Times New Roman" w:cs="Times New Roman"/>
          <w:sz w:val="24"/>
          <w:szCs w:val="24"/>
          <w:lang w:eastAsia="it-IT"/>
        </w:rPr>
        <w:t xml:space="preserve"> </w:t>
      </w:r>
      <w:r w:rsidRPr="005A0689">
        <w:rPr>
          <w:rFonts w:ascii="Times New Roman" w:eastAsia="Times New Roman" w:hAnsi="Times New Roman" w:cs="Times New Roman"/>
          <w:sz w:val="24"/>
          <w:szCs w:val="24"/>
          <w:lang w:eastAsia="it-IT"/>
        </w:rPr>
        <w:t>4.247.516,02</w:t>
      </w:r>
      <w:r w:rsidRPr="00237771">
        <w:rPr>
          <w:rFonts w:ascii="Times New Roman" w:eastAsia="Times New Roman" w:hAnsi="Times New Roman" w:cs="Times New Roman"/>
          <w:sz w:val="24"/>
          <w:szCs w:val="24"/>
          <w:lang w:eastAsia="it-IT"/>
        </w:rPr>
        <w:t xml:space="preserve"> del </w:t>
      </w:r>
      <w:r>
        <w:rPr>
          <w:rFonts w:ascii="Times New Roman" w:eastAsia="Times New Roman" w:hAnsi="Times New Roman" w:cs="Times New Roman"/>
          <w:sz w:val="24"/>
          <w:szCs w:val="24"/>
          <w:lang w:eastAsia="it-IT"/>
        </w:rPr>
        <w:t>2022</w:t>
      </w:r>
      <w:r w:rsidRPr="00237771">
        <w:rPr>
          <w:rFonts w:ascii="Times New Roman" w:eastAsia="Times New Roman" w:hAnsi="Times New Roman" w:cs="Times New Roman"/>
          <w:sz w:val="24"/>
          <w:szCs w:val="24"/>
          <w:lang w:eastAsia="it-IT"/>
        </w:rPr>
        <w:t xml:space="preserve">, con una diminuzione di euro </w:t>
      </w:r>
      <w:r w:rsidRPr="005A0689">
        <w:rPr>
          <w:rFonts w:ascii="Times New Roman" w:eastAsia="Times New Roman" w:hAnsi="Times New Roman" w:cs="Times New Roman"/>
          <w:sz w:val="24"/>
          <w:szCs w:val="24"/>
          <w:lang w:eastAsia="it-IT"/>
        </w:rPr>
        <w:t>517.841,28.</w:t>
      </w:r>
      <w:r w:rsidRPr="00237771">
        <w:t xml:space="preserve"> </w:t>
      </w:r>
      <w:r w:rsidRPr="00237771">
        <w:rPr>
          <w:rFonts w:ascii="Times New Roman" w:hAnsi="Times New Roman" w:cs="Times New Roman"/>
          <w:sz w:val="24"/>
          <w:szCs w:val="24"/>
        </w:rPr>
        <w:t>La diminuzione dell</w:t>
      </w:r>
      <w:r w:rsidR="00877AAF">
        <w:rPr>
          <w:rFonts w:ascii="Times New Roman" w:hAnsi="Times New Roman" w:cs="Times New Roman"/>
          <w:sz w:val="24"/>
          <w:szCs w:val="24"/>
        </w:rPr>
        <w:t>’</w:t>
      </w:r>
      <w:r w:rsidRPr="00237771">
        <w:rPr>
          <w:rFonts w:ascii="Times New Roman" w:hAnsi="Times New Roman" w:cs="Times New Roman"/>
          <w:sz w:val="24"/>
          <w:szCs w:val="24"/>
        </w:rPr>
        <w:t>impegnato è ascrivibile in misura prevalente alla riduzione di personale con contratto a tempo determinato.</w:t>
      </w:r>
      <w:r>
        <w:rPr>
          <w:rFonts w:ascii="Times New Roman" w:hAnsi="Times New Roman" w:cs="Times New Roman"/>
          <w:sz w:val="24"/>
          <w:szCs w:val="24"/>
        </w:rPr>
        <w:t xml:space="preserve"> </w:t>
      </w:r>
      <w:r w:rsidRPr="003845E2">
        <w:rPr>
          <w:rFonts w:ascii="Times New Roman" w:hAnsi="Times New Roman" w:cs="Times New Roman"/>
          <w:sz w:val="24"/>
          <w:szCs w:val="24"/>
        </w:rPr>
        <w:t>Inoltre, si è rilevato un notevole decremento della spesa sostenuta per i rimborsi del</w:t>
      </w:r>
      <w:r w:rsidRPr="003845E2">
        <w:rPr>
          <w:rFonts w:ascii="Times New Roman" w:eastAsia="Times New Roman" w:hAnsi="Times New Roman" w:cs="Times New Roman"/>
          <w:sz w:val="24"/>
          <w:szCs w:val="24"/>
          <w:lang w:eastAsia="it-IT"/>
        </w:rPr>
        <w:t xml:space="preserve"> personale di prestito non appartenente al comparto Ministeri</w:t>
      </w:r>
      <w:r w:rsidRPr="003845E2">
        <w:rPr>
          <w:rFonts w:ascii="Times New Roman" w:hAnsi="Times New Roman" w:cs="Times New Roman"/>
          <w:sz w:val="24"/>
          <w:szCs w:val="24"/>
        </w:rPr>
        <w:t xml:space="preserve"> alle amministrazioni di appartenenza, pari a euro 642.905,64.</w:t>
      </w:r>
    </w:p>
    <w:p w14:paraId="76EAD98E" w14:textId="0C74DEDE" w:rsidR="00CE6817" w:rsidRPr="00157BD9" w:rsidRDefault="00CE6817" w:rsidP="00CE6817">
      <w:pPr>
        <w:tabs>
          <w:tab w:val="left" w:pos="9180"/>
        </w:tabs>
        <w:spacing w:after="0" w:line="360" w:lineRule="auto"/>
        <w:ind w:right="-316"/>
        <w:rPr>
          <w:rFonts w:ascii="Times New Roman" w:eastAsia="Times New Roman" w:hAnsi="Times New Roman" w:cs="Times New Roman"/>
          <w:b/>
          <w:bCs/>
          <w:sz w:val="16"/>
          <w:szCs w:val="24"/>
          <w:highlight w:val="cyan"/>
          <w:lang w:eastAsia="it-IT"/>
        </w:rPr>
      </w:pPr>
    </w:p>
    <w:p w14:paraId="55D84205" w14:textId="77777777" w:rsidR="00157BD9" w:rsidRDefault="00600D30" w:rsidP="00600D30">
      <w:pPr>
        <w:spacing w:after="0" w:line="360" w:lineRule="auto"/>
        <w:jc w:val="both"/>
        <w:rPr>
          <w:rFonts w:ascii="Times New Roman" w:eastAsia="Times New Roman" w:hAnsi="Times New Roman" w:cs="Times New Roman"/>
          <w:b/>
          <w:sz w:val="24"/>
          <w:szCs w:val="24"/>
          <w:lang w:eastAsia="it-IT"/>
        </w:rPr>
      </w:pPr>
      <w:r w:rsidRPr="00572A22">
        <w:rPr>
          <w:rFonts w:ascii="Times New Roman" w:eastAsia="Times New Roman" w:hAnsi="Times New Roman" w:cs="Times New Roman"/>
          <w:b/>
          <w:sz w:val="24"/>
          <w:szCs w:val="24"/>
          <w:lang w:eastAsia="it-IT"/>
        </w:rPr>
        <w:t xml:space="preserve">7.4.2 Beni e servizi </w:t>
      </w:r>
    </w:p>
    <w:p w14:paraId="412E73D8" w14:textId="3E8A2C74" w:rsidR="00600D30" w:rsidRDefault="00600D30" w:rsidP="00600D30">
      <w:pPr>
        <w:spacing w:after="0" w:line="360" w:lineRule="auto"/>
        <w:jc w:val="both"/>
        <w:rPr>
          <w:rFonts w:ascii="Times New Roman" w:eastAsia="Times New Roman" w:hAnsi="Times New Roman" w:cs="Times New Roman"/>
          <w:sz w:val="24"/>
          <w:szCs w:val="24"/>
          <w:lang w:eastAsia="it-IT"/>
        </w:rPr>
      </w:pPr>
      <w:r w:rsidRPr="009F73CD">
        <w:rPr>
          <w:rFonts w:ascii="Times New Roman" w:eastAsia="Times New Roman" w:hAnsi="Times New Roman" w:cs="Times New Roman"/>
          <w:sz w:val="24"/>
          <w:szCs w:val="24"/>
          <w:lang w:eastAsia="it-IT"/>
        </w:rPr>
        <w:t xml:space="preserve">Le somme impegnate nel complesso per beni e servizi passano da euro </w:t>
      </w:r>
      <w:r>
        <w:rPr>
          <w:rFonts w:ascii="Times New Roman" w:eastAsia="Times New Roman" w:hAnsi="Times New Roman" w:cs="Times New Roman"/>
          <w:sz w:val="24"/>
          <w:szCs w:val="24"/>
          <w:lang w:eastAsia="it-IT"/>
        </w:rPr>
        <w:t>71.558.465,27</w:t>
      </w:r>
      <w:r w:rsidRPr="005D77CA">
        <w:rPr>
          <w:rStyle w:val="Rimandonotaapidipagina"/>
          <w:rFonts w:ascii="Times New Roman" w:eastAsia="Times New Roman" w:hAnsi="Times New Roman" w:cs="Times New Roman"/>
          <w:lang w:eastAsia="it-IT"/>
        </w:rPr>
        <w:footnoteReference w:id="10"/>
      </w:r>
      <w:r w:rsidRPr="005D77CA">
        <w:rPr>
          <w:rFonts w:ascii="Times New Roman" w:eastAsia="Times New Roman" w:hAnsi="Times New Roman" w:cs="Times New Roman"/>
          <w:lang w:eastAsia="it-IT"/>
        </w:rPr>
        <w:t xml:space="preserve"> </w:t>
      </w:r>
      <w:r w:rsidRPr="009F73CD">
        <w:rPr>
          <w:rFonts w:ascii="Times New Roman" w:eastAsia="Times New Roman" w:hAnsi="Times New Roman" w:cs="Times New Roman"/>
          <w:sz w:val="24"/>
          <w:szCs w:val="24"/>
          <w:lang w:eastAsia="it-IT"/>
        </w:rPr>
        <w:t>del 202</w:t>
      </w:r>
      <w:r>
        <w:rPr>
          <w:rFonts w:ascii="Times New Roman" w:eastAsia="Times New Roman" w:hAnsi="Times New Roman" w:cs="Times New Roman"/>
          <w:sz w:val="24"/>
          <w:szCs w:val="24"/>
          <w:lang w:eastAsia="it-IT"/>
        </w:rPr>
        <w:t>1</w:t>
      </w:r>
      <w:r w:rsidRPr="009F73CD">
        <w:rPr>
          <w:rFonts w:ascii="Times New Roman" w:eastAsia="Times New Roman" w:hAnsi="Times New Roman" w:cs="Times New Roman"/>
          <w:sz w:val="24"/>
          <w:szCs w:val="24"/>
          <w:lang w:eastAsia="it-IT"/>
        </w:rPr>
        <w:t xml:space="preserve"> </w:t>
      </w:r>
      <w:r w:rsidR="009F77D1">
        <w:rPr>
          <w:rFonts w:ascii="Times New Roman" w:eastAsia="Times New Roman" w:hAnsi="Times New Roman" w:cs="Times New Roman"/>
          <w:sz w:val="24"/>
          <w:szCs w:val="24"/>
          <w:lang w:eastAsia="it-IT"/>
        </w:rPr>
        <w:t>a euro</w:t>
      </w:r>
      <w:r w:rsidRPr="009F73CD">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85.948.081,56</w:t>
      </w:r>
      <w:r w:rsidRPr="009F73CD">
        <w:rPr>
          <w:rFonts w:ascii="Times New Roman" w:eastAsia="Times New Roman" w:hAnsi="Times New Roman" w:cs="Times New Roman"/>
          <w:sz w:val="24"/>
          <w:szCs w:val="24"/>
          <w:lang w:eastAsia="it-IT"/>
        </w:rPr>
        <w:t xml:space="preserve"> del 202</w:t>
      </w:r>
      <w:r>
        <w:rPr>
          <w:rFonts w:ascii="Times New Roman" w:eastAsia="Times New Roman" w:hAnsi="Times New Roman" w:cs="Times New Roman"/>
          <w:sz w:val="24"/>
          <w:szCs w:val="24"/>
          <w:lang w:eastAsia="it-IT"/>
        </w:rPr>
        <w:t>2</w:t>
      </w:r>
      <w:r w:rsidRPr="009F73CD">
        <w:rPr>
          <w:rFonts w:ascii="Times New Roman" w:eastAsia="Times New Roman" w:hAnsi="Times New Roman" w:cs="Times New Roman"/>
          <w:sz w:val="24"/>
          <w:szCs w:val="24"/>
          <w:lang w:eastAsia="it-IT"/>
        </w:rPr>
        <w:t xml:space="preserve"> (cfr. Tab.12), con un aumento di euro </w:t>
      </w:r>
      <w:r>
        <w:rPr>
          <w:rFonts w:ascii="Times New Roman" w:eastAsia="Times New Roman" w:hAnsi="Times New Roman" w:cs="Times New Roman"/>
          <w:sz w:val="24"/>
          <w:szCs w:val="24"/>
          <w:lang w:eastAsia="it-IT"/>
        </w:rPr>
        <w:t>14.389.616,29</w:t>
      </w:r>
      <w:r w:rsidRPr="009F73CD">
        <w:rPr>
          <w:rFonts w:ascii="Times New Roman" w:eastAsia="Times New Roman" w:hAnsi="Times New Roman" w:cs="Times New Roman"/>
          <w:sz w:val="24"/>
          <w:szCs w:val="24"/>
          <w:lang w:eastAsia="it-IT"/>
        </w:rPr>
        <w:t>.</w:t>
      </w:r>
      <w:r w:rsidR="00157BD9">
        <w:rPr>
          <w:rFonts w:ascii="Times New Roman" w:eastAsia="Times New Roman" w:hAnsi="Times New Roman" w:cs="Times New Roman"/>
          <w:sz w:val="24"/>
          <w:szCs w:val="24"/>
          <w:lang w:eastAsia="it-IT"/>
        </w:rPr>
        <w:t xml:space="preserve"> </w:t>
      </w:r>
      <w:r w:rsidRPr="009E4894">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9E4894">
        <w:rPr>
          <w:rFonts w:ascii="Times New Roman" w:eastAsia="Times New Roman" w:hAnsi="Times New Roman" w:cs="Times New Roman"/>
          <w:sz w:val="24"/>
          <w:szCs w:val="24"/>
          <w:lang w:eastAsia="it-IT"/>
        </w:rPr>
        <w:t>andamento delle somme impegnate per beni e servizi nel triennio 20</w:t>
      </w:r>
      <w:r>
        <w:rPr>
          <w:rFonts w:ascii="Times New Roman" w:eastAsia="Times New Roman" w:hAnsi="Times New Roman" w:cs="Times New Roman"/>
          <w:sz w:val="24"/>
          <w:szCs w:val="24"/>
          <w:lang w:eastAsia="it-IT"/>
        </w:rPr>
        <w:t>20</w:t>
      </w:r>
      <w:r w:rsidRPr="009E4894">
        <w:rPr>
          <w:rFonts w:ascii="Times New Roman" w:eastAsia="Times New Roman" w:hAnsi="Times New Roman" w:cs="Times New Roman"/>
          <w:sz w:val="24"/>
          <w:szCs w:val="24"/>
          <w:lang w:eastAsia="it-IT"/>
        </w:rPr>
        <w:t>-202</w:t>
      </w:r>
      <w:r>
        <w:rPr>
          <w:rFonts w:ascii="Times New Roman" w:eastAsia="Times New Roman" w:hAnsi="Times New Roman" w:cs="Times New Roman"/>
          <w:sz w:val="24"/>
          <w:szCs w:val="24"/>
          <w:lang w:eastAsia="it-IT"/>
        </w:rPr>
        <w:t>2</w:t>
      </w:r>
      <w:r w:rsidRPr="009E4894">
        <w:rPr>
          <w:rFonts w:ascii="Times New Roman" w:eastAsia="Times New Roman" w:hAnsi="Times New Roman" w:cs="Times New Roman"/>
          <w:sz w:val="24"/>
          <w:szCs w:val="24"/>
          <w:lang w:eastAsia="it-IT"/>
        </w:rPr>
        <w:t xml:space="preserve"> è riportato nella Tabella 1</w:t>
      </w:r>
      <w:r>
        <w:rPr>
          <w:rFonts w:ascii="Times New Roman" w:eastAsia="Times New Roman" w:hAnsi="Times New Roman" w:cs="Times New Roman"/>
          <w:sz w:val="24"/>
          <w:szCs w:val="24"/>
          <w:lang w:eastAsia="it-IT"/>
        </w:rPr>
        <w:t>2</w:t>
      </w:r>
      <w:r w:rsidRPr="009E4894">
        <w:rPr>
          <w:rFonts w:ascii="Times New Roman" w:eastAsia="Times New Roman" w:hAnsi="Times New Roman" w:cs="Times New Roman"/>
          <w:sz w:val="24"/>
          <w:szCs w:val="24"/>
          <w:lang w:eastAsia="it-IT"/>
        </w:rPr>
        <w:t>.</w:t>
      </w:r>
    </w:p>
    <w:p w14:paraId="3F042398" w14:textId="77777777" w:rsidR="00157BD9" w:rsidRPr="008C4D66" w:rsidRDefault="00157BD9" w:rsidP="00600D30">
      <w:pPr>
        <w:spacing w:after="0" w:line="360" w:lineRule="auto"/>
        <w:jc w:val="both"/>
        <w:rPr>
          <w:rFonts w:ascii="Times New Roman" w:eastAsia="Times New Roman" w:hAnsi="Times New Roman" w:cs="Times New Roman"/>
          <w:sz w:val="4"/>
          <w:szCs w:val="24"/>
          <w:lang w:eastAsia="it-IT"/>
        </w:rPr>
      </w:pPr>
    </w:p>
    <w:p w14:paraId="2E1EF1F9" w14:textId="77777777" w:rsidR="00600D30" w:rsidRDefault="00600D30" w:rsidP="00600D30">
      <w:pPr>
        <w:spacing w:after="0" w:line="360" w:lineRule="auto"/>
        <w:jc w:val="center"/>
        <w:rPr>
          <w:rFonts w:ascii="Times New Roman" w:eastAsia="Times New Roman" w:hAnsi="Times New Roman" w:cs="Times New Roman"/>
          <w:b/>
          <w:sz w:val="24"/>
          <w:szCs w:val="24"/>
          <w:lang w:eastAsia="it-IT"/>
        </w:rPr>
      </w:pPr>
      <w:proofErr w:type="spellStart"/>
      <w:r w:rsidRPr="009E4894">
        <w:rPr>
          <w:rFonts w:ascii="Times New Roman" w:eastAsia="Times New Roman" w:hAnsi="Times New Roman" w:cs="Times New Roman"/>
          <w:b/>
          <w:sz w:val="24"/>
          <w:szCs w:val="24"/>
          <w:lang w:eastAsia="it-IT"/>
        </w:rPr>
        <w:t>Tab</w:t>
      </w:r>
      <w:proofErr w:type="spellEnd"/>
      <w:r w:rsidRPr="009E4894">
        <w:rPr>
          <w:rFonts w:ascii="Times New Roman" w:eastAsia="Times New Roman" w:hAnsi="Times New Roman" w:cs="Times New Roman"/>
          <w:b/>
          <w:sz w:val="24"/>
          <w:szCs w:val="24"/>
          <w:lang w:eastAsia="it-IT"/>
        </w:rPr>
        <w:t>. - 1</w:t>
      </w:r>
      <w:r>
        <w:rPr>
          <w:rFonts w:ascii="Times New Roman" w:eastAsia="Times New Roman" w:hAnsi="Times New Roman" w:cs="Times New Roman"/>
          <w:b/>
          <w:sz w:val="24"/>
          <w:szCs w:val="24"/>
          <w:lang w:eastAsia="it-IT"/>
        </w:rPr>
        <w:t>2</w:t>
      </w:r>
      <w:r w:rsidRPr="009E4894">
        <w:rPr>
          <w:rFonts w:ascii="Times New Roman" w:eastAsia="Times New Roman" w:hAnsi="Times New Roman" w:cs="Times New Roman"/>
          <w:b/>
          <w:sz w:val="24"/>
          <w:szCs w:val="24"/>
          <w:lang w:eastAsia="it-IT"/>
        </w:rPr>
        <w:t xml:space="preserve"> Beni e servizi</w:t>
      </w:r>
    </w:p>
    <w:p w14:paraId="7435A263" w14:textId="77777777" w:rsidR="00600D30" w:rsidRDefault="00600D30" w:rsidP="00600D30">
      <w:pPr>
        <w:spacing w:after="0" w:line="360" w:lineRule="auto"/>
        <w:jc w:val="center"/>
        <w:rPr>
          <w:rFonts w:ascii="Times New Roman" w:eastAsia="Times New Roman" w:hAnsi="Times New Roman" w:cs="Times New Roman"/>
          <w:b/>
          <w:sz w:val="24"/>
          <w:szCs w:val="24"/>
          <w:lang w:eastAsia="it-IT"/>
        </w:rPr>
      </w:pPr>
      <w:r w:rsidRPr="00611DE1">
        <w:rPr>
          <w:noProof/>
          <w:lang w:eastAsia="it-IT"/>
        </w:rPr>
        <w:drawing>
          <wp:inline distT="0" distB="0" distL="0" distR="0" wp14:anchorId="36745F75" wp14:editId="297EDDDA">
            <wp:extent cx="3625850" cy="394335"/>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5850" cy="394335"/>
                    </a:xfrm>
                    <a:prstGeom prst="rect">
                      <a:avLst/>
                    </a:prstGeom>
                    <a:noFill/>
                    <a:ln>
                      <a:noFill/>
                    </a:ln>
                  </pic:spPr>
                </pic:pic>
              </a:graphicData>
            </a:graphic>
          </wp:inline>
        </w:drawing>
      </w:r>
    </w:p>
    <w:p w14:paraId="48A3B45D" w14:textId="77777777" w:rsidR="00600D30" w:rsidRDefault="00600D30" w:rsidP="00600D30">
      <w:pPr>
        <w:spacing w:after="0" w:line="360" w:lineRule="auto"/>
        <w:jc w:val="center"/>
        <w:rPr>
          <w:rFonts w:ascii="Times New Roman" w:eastAsia="Times New Roman" w:hAnsi="Times New Roman" w:cs="Times New Roman"/>
          <w:b/>
          <w:bCs/>
          <w:sz w:val="24"/>
          <w:szCs w:val="24"/>
          <w:lang w:eastAsia="it-IT"/>
        </w:rPr>
      </w:pPr>
      <w:r>
        <w:rPr>
          <w:rFonts w:ascii="Times New Roman" w:eastAsia="Times New Roman" w:hAnsi="Times New Roman" w:cs="Times New Roman"/>
          <w:b/>
          <w:bCs/>
          <w:noProof/>
          <w:sz w:val="24"/>
          <w:szCs w:val="24"/>
          <w:lang w:eastAsia="it-IT"/>
        </w:rPr>
        <w:drawing>
          <wp:inline distT="0" distB="0" distL="0" distR="0" wp14:anchorId="0311BF94" wp14:editId="2A8428AB">
            <wp:extent cx="3693160" cy="1828800"/>
            <wp:effectExtent l="0" t="0" r="254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2419" cy="1892807"/>
                    </a:xfrm>
                    <a:prstGeom prst="rect">
                      <a:avLst/>
                    </a:prstGeom>
                    <a:noFill/>
                  </pic:spPr>
                </pic:pic>
              </a:graphicData>
            </a:graphic>
          </wp:inline>
        </w:drawing>
      </w:r>
    </w:p>
    <w:p w14:paraId="1DE8A763" w14:textId="3B3E533E" w:rsidR="00600D30" w:rsidRPr="009E4894" w:rsidRDefault="00600D30" w:rsidP="00600D30">
      <w:pPr>
        <w:spacing w:after="120" w:line="360" w:lineRule="auto"/>
        <w:jc w:val="both"/>
        <w:rPr>
          <w:rFonts w:ascii="Times New Roman" w:eastAsia="Times New Roman" w:hAnsi="Times New Roman" w:cs="Times New Roman"/>
          <w:b/>
          <w:bCs/>
          <w:sz w:val="24"/>
          <w:szCs w:val="24"/>
          <w:lang w:eastAsia="it-IT"/>
        </w:rPr>
      </w:pPr>
      <w:r w:rsidRPr="009E4894">
        <w:rPr>
          <w:rFonts w:ascii="Times New Roman" w:eastAsia="Times New Roman" w:hAnsi="Times New Roman" w:cs="Times New Roman"/>
          <w:b/>
          <w:bCs/>
          <w:sz w:val="24"/>
          <w:szCs w:val="24"/>
          <w:lang w:eastAsia="it-IT"/>
        </w:rPr>
        <w:lastRenderedPageBreak/>
        <w:t>7.4.3 Impegnato per beni e servizi al netto della Protezione civile</w:t>
      </w:r>
    </w:p>
    <w:p w14:paraId="016A39B1" w14:textId="27BD38A6" w:rsidR="0036743A" w:rsidRDefault="00600D30" w:rsidP="008E2595">
      <w:pPr>
        <w:spacing w:after="0" w:line="360" w:lineRule="auto"/>
        <w:jc w:val="both"/>
        <w:rPr>
          <w:rFonts w:ascii="Times New Roman" w:eastAsia="Times New Roman" w:hAnsi="Times New Roman" w:cs="Times New Roman"/>
          <w:b/>
          <w:sz w:val="24"/>
          <w:szCs w:val="24"/>
          <w:lang w:eastAsia="it-IT"/>
        </w:rPr>
      </w:pPr>
      <w:r w:rsidRPr="009E4894">
        <w:rPr>
          <w:rFonts w:ascii="Times New Roman" w:eastAsia="Times New Roman" w:hAnsi="Times New Roman" w:cs="Times New Roman"/>
          <w:bCs/>
          <w:sz w:val="24"/>
          <w:szCs w:val="24"/>
          <w:lang w:eastAsia="it-IT"/>
        </w:rPr>
        <w:t>Per le somme impegnate nel 202</w:t>
      </w:r>
      <w:r>
        <w:rPr>
          <w:rFonts w:ascii="Times New Roman" w:eastAsia="Times New Roman" w:hAnsi="Times New Roman" w:cs="Times New Roman"/>
          <w:bCs/>
          <w:sz w:val="24"/>
          <w:szCs w:val="24"/>
          <w:lang w:eastAsia="it-IT"/>
        </w:rPr>
        <w:t>2,</w:t>
      </w:r>
      <w:r w:rsidRPr="009E4894">
        <w:rPr>
          <w:rFonts w:ascii="Times New Roman" w:eastAsia="Times New Roman" w:hAnsi="Times New Roman" w:cs="Times New Roman"/>
          <w:bCs/>
          <w:sz w:val="24"/>
          <w:szCs w:val="24"/>
          <w:lang w:eastAsia="it-IT"/>
        </w:rPr>
        <w:t xml:space="preserve"> riferite alla sola Presidenza del Consiglio dei ministri, confrontate con quelle impegnate nel 202</w:t>
      </w:r>
      <w:r>
        <w:rPr>
          <w:rFonts w:ascii="Times New Roman" w:eastAsia="Times New Roman" w:hAnsi="Times New Roman" w:cs="Times New Roman"/>
          <w:bCs/>
          <w:sz w:val="24"/>
          <w:szCs w:val="24"/>
          <w:lang w:eastAsia="it-IT"/>
        </w:rPr>
        <w:t>1</w:t>
      </w:r>
      <w:r w:rsidRPr="009E4894">
        <w:rPr>
          <w:rFonts w:ascii="Times New Roman" w:eastAsia="Times New Roman" w:hAnsi="Times New Roman" w:cs="Times New Roman"/>
          <w:bCs/>
          <w:sz w:val="24"/>
          <w:szCs w:val="24"/>
          <w:lang w:eastAsia="it-IT"/>
        </w:rPr>
        <w:t>, si fornisce nella Tab</w:t>
      </w:r>
      <w:r>
        <w:rPr>
          <w:rFonts w:ascii="Times New Roman" w:eastAsia="Times New Roman" w:hAnsi="Times New Roman" w:cs="Times New Roman"/>
          <w:bCs/>
          <w:sz w:val="24"/>
          <w:szCs w:val="24"/>
          <w:lang w:eastAsia="it-IT"/>
        </w:rPr>
        <w:t>ella</w:t>
      </w:r>
      <w:r w:rsidRPr="009E4894">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eastAsia="it-IT"/>
        </w:rPr>
        <w:t>13</w:t>
      </w:r>
      <w:r w:rsidRPr="009E4894">
        <w:rPr>
          <w:rFonts w:ascii="Times New Roman" w:eastAsia="Times New Roman" w:hAnsi="Times New Roman" w:cs="Times New Roman"/>
          <w:bCs/>
          <w:sz w:val="24"/>
          <w:szCs w:val="24"/>
          <w:lang w:eastAsia="it-IT"/>
        </w:rPr>
        <w:t xml:space="preserve"> un</w:t>
      </w:r>
      <w:r w:rsidR="0079571C">
        <w:rPr>
          <w:rFonts w:ascii="Times New Roman" w:eastAsia="Times New Roman" w:hAnsi="Times New Roman" w:cs="Times New Roman"/>
          <w:bCs/>
          <w:sz w:val="24"/>
          <w:szCs w:val="24"/>
          <w:lang w:eastAsia="it-IT"/>
        </w:rPr>
        <w:t>’</w:t>
      </w:r>
      <w:r w:rsidRPr="009E4894">
        <w:rPr>
          <w:rFonts w:ascii="Times New Roman" w:eastAsia="Times New Roman" w:hAnsi="Times New Roman" w:cs="Times New Roman"/>
          <w:bCs/>
          <w:sz w:val="24"/>
          <w:szCs w:val="24"/>
          <w:lang w:eastAsia="it-IT"/>
        </w:rPr>
        <w:t xml:space="preserve">ulteriore disaggregazione per singole voci. </w:t>
      </w:r>
      <w:bookmarkStart w:id="6" w:name="_Hlk102902047"/>
    </w:p>
    <w:p w14:paraId="3E731A37" w14:textId="0C1814A6"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r w:rsidRPr="00672A92">
        <w:rPr>
          <w:noProof/>
          <w:lang w:eastAsia="it-IT"/>
        </w:rPr>
        <w:drawing>
          <wp:anchor distT="0" distB="0" distL="114300" distR="114300" simplePos="0" relativeHeight="251662336" behindDoc="1" locked="0" layoutInCell="1" allowOverlap="1" wp14:anchorId="3E9F89EA" wp14:editId="284C9CBD">
            <wp:simplePos x="0" y="0"/>
            <wp:positionH relativeFrom="column">
              <wp:posOffset>1020445</wp:posOffset>
            </wp:positionH>
            <wp:positionV relativeFrom="paragraph">
              <wp:posOffset>262255</wp:posOffset>
            </wp:positionV>
            <wp:extent cx="4193540" cy="4061460"/>
            <wp:effectExtent l="0" t="0" r="0" b="0"/>
            <wp:wrapTight wrapText="bothSides">
              <wp:wrapPolygon edited="0">
                <wp:start x="0" y="0"/>
                <wp:lineTo x="0" y="21478"/>
                <wp:lineTo x="17858" y="21478"/>
                <wp:lineTo x="20998" y="21174"/>
                <wp:lineTo x="21489" y="20769"/>
                <wp:lineTo x="21489" y="19857"/>
                <wp:lineTo x="17858" y="19452"/>
                <wp:lineTo x="21293" y="19250"/>
                <wp:lineTo x="21489" y="18338"/>
                <wp:lineTo x="20704" y="17831"/>
                <wp:lineTo x="21489" y="17629"/>
                <wp:lineTo x="21489" y="16615"/>
                <wp:lineTo x="20900" y="16210"/>
                <wp:lineTo x="21293" y="16210"/>
                <wp:lineTo x="21489" y="15704"/>
                <wp:lineTo x="21489" y="13576"/>
                <wp:lineTo x="20606" y="12968"/>
                <wp:lineTo x="21489" y="12765"/>
                <wp:lineTo x="21489" y="10334"/>
                <wp:lineTo x="20606" y="9726"/>
                <wp:lineTo x="21489" y="9523"/>
                <wp:lineTo x="21489" y="8713"/>
                <wp:lineTo x="20900" y="8105"/>
                <wp:lineTo x="21489" y="7902"/>
                <wp:lineTo x="21489" y="5268"/>
                <wp:lineTo x="17858" y="4863"/>
                <wp:lineTo x="21489" y="4762"/>
                <wp:lineTo x="21489" y="3850"/>
                <wp:lineTo x="20900" y="3242"/>
                <wp:lineTo x="21489" y="3039"/>
                <wp:lineTo x="21489" y="2128"/>
                <wp:lineTo x="20704" y="1621"/>
                <wp:lineTo x="21293" y="1621"/>
                <wp:lineTo x="21489" y="1216"/>
                <wp:lineTo x="21489"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3540" cy="40614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00D30" w:rsidRPr="009E4894">
        <w:rPr>
          <w:rFonts w:ascii="Times New Roman" w:eastAsia="Times New Roman" w:hAnsi="Times New Roman" w:cs="Times New Roman"/>
          <w:b/>
          <w:sz w:val="24"/>
          <w:szCs w:val="24"/>
          <w:lang w:eastAsia="it-IT"/>
        </w:rPr>
        <w:t>Tab</w:t>
      </w:r>
      <w:proofErr w:type="spellEnd"/>
      <w:r w:rsidR="00600D30" w:rsidRPr="009E4894">
        <w:rPr>
          <w:rFonts w:ascii="Times New Roman" w:eastAsia="Times New Roman" w:hAnsi="Times New Roman" w:cs="Times New Roman"/>
          <w:b/>
          <w:sz w:val="24"/>
          <w:szCs w:val="24"/>
          <w:lang w:eastAsia="it-IT"/>
        </w:rPr>
        <w:t>. 1</w:t>
      </w:r>
      <w:r w:rsidR="00600D30">
        <w:rPr>
          <w:rFonts w:ascii="Times New Roman" w:eastAsia="Times New Roman" w:hAnsi="Times New Roman" w:cs="Times New Roman"/>
          <w:b/>
          <w:sz w:val="24"/>
          <w:szCs w:val="24"/>
          <w:lang w:eastAsia="it-IT"/>
        </w:rPr>
        <w:t>3</w:t>
      </w:r>
      <w:r w:rsidR="00600D30" w:rsidRPr="009E4894">
        <w:rPr>
          <w:rFonts w:ascii="Times New Roman" w:eastAsia="Times New Roman" w:hAnsi="Times New Roman" w:cs="Times New Roman"/>
          <w:b/>
          <w:sz w:val="24"/>
          <w:szCs w:val="24"/>
          <w:lang w:eastAsia="it-IT"/>
        </w:rPr>
        <w:t xml:space="preserve"> – Composizione beni e servizi al netto della Protezione civile</w:t>
      </w:r>
      <w:bookmarkEnd w:id="6"/>
      <w:r w:rsidR="00600D30" w:rsidRPr="009E4894">
        <w:rPr>
          <w:rFonts w:ascii="Times New Roman" w:eastAsia="Times New Roman" w:hAnsi="Times New Roman" w:cs="Times New Roman"/>
          <w:b/>
          <w:sz w:val="24"/>
          <w:szCs w:val="24"/>
          <w:lang w:eastAsia="it-IT"/>
        </w:rPr>
        <w:t xml:space="preserve"> </w:t>
      </w:r>
    </w:p>
    <w:p w14:paraId="197A8CDF" w14:textId="45DEB6D0"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1C7EE182" w14:textId="77777777"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0E0C3998" w14:textId="77777777"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577F1AF1" w14:textId="50483E47" w:rsidR="00600D30" w:rsidRDefault="00600D30" w:rsidP="00600D30">
      <w:pPr>
        <w:tabs>
          <w:tab w:val="left" w:pos="7785"/>
        </w:tabs>
        <w:spacing w:after="0" w:line="360" w:lineRule="auto"/>
        <w:jc w:val="center"/>
        <w:rPr>
          <w:rFonts w:ascii="Times New Roman" w:eastAsia="Times New Roman" w:hAnsi="Times New Roman" w:cs="Times New Roman"/>
          <w:b/>
          <w:sz w:val="24"/>
          <w:szCs w:val="24"/>
          <w:lang w:eastAsia="it-IT"/>
        </w:rPr>
      </w:pPr>
      <w:r w:rsidRPr="009E4894">
        <w:rPr>
          <w:rFonts w:ascii="Times New Roman" w:eastAsia="Times New Roman" w:hAnsi="Times New Roman" w:cs="Times New Roman"/>
          <w:b/>
          <w:sz w:val="24"/>
          <w:szCs w:val="24"/>
          <w:lang w:eastAsia="it-IT"/>
        </w:rPr>
        <w:t xml:space="preserve">  </w:t>
      </w:r>
    </w:p>
    <w:p w14:paraId="7E89F7A4" w14:textId="0B17CC53"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2B064849" w14:textId="3A8B9589"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17F4847C" w14:textId="1E23D9AF"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6062C233" w14:textId="004617BD"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1C095A3F" w14:textId="2622D11C"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20BCE442" w14:textId="3EA291F9"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7DC6DD10" w14:textId="4D1A29B9"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7FBF77AB" w14:textId="050E108A"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079D2686" w14:textId="4F354E14"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4B012896" w14:textId="7F9677DA"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4A80EB6B" w14:textId="064DAEA8"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6D3211DC" w14:textId="1ABCB4BE"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546E8F39" w14:textId="2F28245E"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32080556" w14:textId="76B7B7E2" w:rsidR="00672A92" w:rsidRDefault="00672A92" w:rsidP="00600D30">
      <w:pPr>
        <w:tabs>
          <w:tab w:val="left" w:pos="7785"/>
        </w:tabs>
        <w:spacing w:after="0" w:line="360" w:lineRule="auto"/>
        <w:jc w:val="center"/>
        <w:rPr>
          <w:rFonts w:ascii="Times New Roman" w:eastAsia="Times New Roman" w:hAnsi="Times New Roman" w:cs="Times New Roman"/>
          <w:b/>
          <w:sz w:val="24"/>
          <w:szCs w:val="24"/>
          <w:lang w:eastAsia="it-IT"/>
        </w:rPr>
      </w:pPr>
    </w:p>
    <w:p w14:paraId="04CB711F" w14:textId="5A7C4DEF" w:rsidR="00600D30" w:rsidRPr="004C2436" w:rsidRDefault="00600D30" w:rsidP="00600D30">
      <w:pPr>
        <w:spacing w:after="0" w:line="360" w:lineRule="auto"/>
        <w:jc w:val="both"/>
        <w:rPr>
          <w:rFonts w:ascii="Times New Roman" w:hAnsi="Times New Roman" w:cs="Times New Roman"/>
          <w:bCs/>
          <w:sz w:val="24"/>
          <w:szCs w:val="24"/>
        </w:rPr>
      </w:pPr>
      <w:r w:rsidRPr="00060FCC">
        <w:rPr>
          <w:rFonts w:ascii="Times New Roman" w:eastAsia="Times New Roman" w:hAnsi="Times New Roman" w:cs="Times New Roman"/>
          <w:bCs/>
          <w:sz w:val="24"/>
          <w:szCs w:val="24"/>
          <w:lang w:eastAsia="it-IT"/>
        </w:rPr>
        <w:t>Dalla Tabella 1</w:t>
      </w:r>
      <w:r>
        <w:rPr>
          <w:rFonts w:ascii="Times New Roman" w:eastAsia="Times New Roman" w:hAnsi="Times New Roman" w:cs="Times New Roman"/>
          <w:bCs/>
          <w:sz w:val="24"/>
          <w:szCs w:val="24"/>
          <w:lang w:eastAsia="it-IT"/>
        </w:rPr>
        <w:t>3</w:t>
      </w:r>
      <w:r w:rsidRPr="00060FCC">
        <w:rPr>
          <w:rFonts w:ascii="Times New Roman" w:eastAsia="Times New Roman" w:hAnsi="Times New Roman" w:cs="Times New Roman"/>
          <w:bCs/>
          <w:sz w:val="24"/>
          <w:szCs w:val="24"/>
          <w:lang w:eastAsia="it-IT"/>
        </w:rPr>
        <w:t xml:space="preserve"> si rileva che l</w:t>
      </w:r>
      <w:r w:rsidR="00877AAF">
        <w:rPr>
          <w:rFonts w:ascii="Times New Roman" w:eastAsia="Times New Roman" w:hAnsi="Times New Roman" w:cs="Times New Roman"/>
          <w:bCs/>
          <w:sz w:val="24"/>
          <w:szCs w:val="24"/>
          <w:lang w:eastAsia="it-IT"/>
        </w:rPr>
        <w:t>’</w:t>
      </w:r>
      <w:r w:rsidRPr="00060FCC">
        <w:rPr>
          <w:rFonts w:ascii="Times New Roman" w:eastAsia="Times New Roman" w:hAnsi="Times New Roman" w:cs="Times New Roman"/>
          <w:sz w:val="24"/>
          <w:szCs w:val="24"/>
          <w:lang w:eastAsia="it-IT"/>
        </w:rPr>
        <w:t>impegnato 202</w:t>
      </w:r>
      <w:r>
        <w:rPr>
          <w:rFonts w:ascii="Times New Roman" w:eastAsia="Times New Roman" w:hAnsi="Times New Roman" w:cs="Times New Roman"/>
          <w:sz w:val="24"/>
          <w:szCs w:val="24"/>
          <w:lang w:eastAsia="it-IT"/>
        </w:rPr>
        <w:t>2</w:t>
      </w:r>
      <w:r w:rsidRPr="00060FCC">
        <w:rPr>
          <w:rFonts w:ascii="Times New Roman" w:eastAsia="Times New Roman" w:hAnsi="Times New Roman" w:cs="Times New Roman"/>
          <w:sz w:val="24"/>
          <w:szCs w:val="24"/>
          <w:lang w:eastAsia="it-IT"/>
        </w:rPr>
        <w:t xml:space="preserve"> per beni e servizi </w:t>
      </w:r>
      <w:r w:rsidR="004C2436">
        <w:rPr>
          <w:rFonts w:ascii="Times New Roman" w:eastAsia="Times New Roman" w:hAnsi="Times New Roman" w:cs="Times New Roman"/>
          <w:sz w:val="24"/>
          <w:szCs w:val="24"/>
          <w:lang w:eastAsia="it-IT"/>
        </w:rPr>
        <w:t xml:space="preserve">(al netto del Dipartimento della Protezione civile) </w:t>
      </w:r>
      <w:r w:rsidRPr="00060FCC">
        <w:rPr>
          <w:rFonts w:ascii="Times New Roman" w:eastAsia="Times New Roman" w:hAnsi="Times New Roman" w:cs="Times New Roman"/>
          <w:sz w:val="24"/>
          <w:szCs w:val="24"/>
          <w:lang w:eastAsia="it-IT"/>
        </w:rPr>
        <w:t xml:space="preserve">ammonta a complessivi euro </w:t>
      </w:r>
      <w:r w:rsidR="004C2436">
        <w:rPr>
          <w:rFonts w:ascii="Times New Roman" w:eastAsia="Times New Roman" w:hAnsi="Times New Roman" w:cs="Times New Roman"/>
          <w:sz w:val="24"/>
          <w:szCs w:val="24"/>
          <w:lang w:eastAsia="it-IT"/>
        </w:rPr>
        <w:t>63.207.837,25</w:t>
      </w:r>
      <w:r w:rsidR="001668C2">
        <w:rPr>
          <w:rFonts w:ascii="Times New Roman" w:eastAsia="Times New Roman" w:hAnsi="Times New Roman" w:cs="Times New Roman"/>
          <w:sz w:val="24"/>
          <w:szCs w:val="24"/>
          <w:lang w:eastAsia="it-IT"/>
        </w:rPr>
        <w:t>,</w:t>
      </w:r>
      <w:r w:rsidR="002E120B">
        <w:rPr>
          <w:rFonts w:ascii="Times New Roman" w:eastAsia="Times New Roman" w:hAnsi="Times New Roman" w:cs="Times New Roman"/>
          <w:sz w:val="24"/>
          <w:szCs w:val="24"/>
          <w:lang w:eastAsia="it-IT"/>
        </w:rPr>
        <w:t xml:space="preserve"> </w:t>
      </w:r>
      <w:r w:rsidR="002E120B" w:rsidRPr="004C2436">
        <w:rPr>
          <w:rFonts w:ascii="Times New Roman" w:eastAsia="Times New Roman" w:hAnsi="Times New Roman" w:cs="Times New Roman"/>
          <w:sz w:val="24"/>
          <w:szCs w:val="24"/>
          <w:lang w:eastAsia="it-IT"/>
        </w:rPr>
        <w:t xml:space="preserve">con un aumento rispetto al 2021 pari </w:t>
      </w:r>
      <w:r w:rsidR="009F77D1">
        <w:rPr>
          <w:rFonts w:ascii="Times New Roman" w:eastAsia="Times New Roman" w:hAnsi="Times New Roman" w:cs="Times New Roman"/>
          <w:sz w:val="24"/>
          <w:szCs w:val="24"/>
          <w:lang w:eastAsia="it-IT"/>
        </w:rPr>
        <w:t>a euro</w:t>
      </w:r>
      <w:r w:rsidR="004C2436" w:rsidRPr="004C2436">
        <w:rPr>
          <w:rFonts w:ascii="Times New Roman" w:eastAsia="Times New Roman" w:hAnsi="Times New Roman" w:cs="Times New Roman"/>
          <w:sz w:val="24"/>
          <w:szCs w:val="24"/>
          <w:lang w:eastAsia="it-IT"/>
        </w:rPr>
        <w:t xml:space="preserve"> 16.713.313,04</w:t>
      </w:r>
      <w:r w:rsidR="001668C2">
        <w:rPr>
          <w:rFonts w:ascii="Times New Roman" w:eastAsia="Times New Roman" w:hAnsi="Times New Roman" w:cs="Times New Roman"/>
          <w:sz w:val="24"/>
          <w:szCs w:val="24"/>
          <w:lang w:eastAsia="it-IT"/>
        </w:rPr>
        <w:t>.</w:t>
      </w:r>
    </w:p>
    <w:p w14:paraId="0BBF59C1" w14:textId="1153B671" w:rsidR="00600D30" w:rsidRDefault="00600D30" w:rsidP="00600D30">
      <w:pPr>
        <w:spacing w:after="0" w:line="360" w:lineRule="auto"/>
        <w:jc w:val="both"/>
        <w:rPr>
          <w:rFonts w:ascii="Times New Roman" w:eastAsia="Times New Roman" w:hAnsi="Times New Roman" w:cs="Times New Roman"/>
          <w:b/>
          <w:sz w:val="24"/>
          <w:szCs w:val="24"/>
          <w:lang w:eastAsia="it-IT"/>
        </w:rPr>
      </w:pPr>
      <w:r w:rsidRPr="009F73CD">
        <w:rPr>
          <w:rFonts w:ascii="Times New Roman" w:eastAsia="Times New Roman" w:hAnsi="Times New Roman" w:cs="Times New Roman"/>
          <w:bCs/>
          <w:sz w:val="24"/>
          <w:szCs w:val="24"/>
          <w:lang w:eastAsia="it-IT"/>
        </w:rPr>
        <w:t xml:space="preserve">Tale aumento </w:t>
      </w:r>
      <w:r w:rsidRPr="009F73CD">
        <w:rPr>
          <w:rFonts w:ascii="Times New Roman" w:eastAsia="Times New Roman" w:hAnsi="Times New Roman" w:cs="Times New Roman"/>
          <w:sz w:val="24"/>
          <w:szCs w:val="24"/>
          <w:lang w:eastAsia="it-IT"/>
        </w:rPr>
        <w:t>è dovuto</w:t>
      </w:r>
      <w:bookmarkStart w:id="7" w:name="_Hlk40595582"/>
      <w:r w:rsidRPr="009F73CD">
        <w:rPr>
          <w:rFonts w:ascii="Times New Roman" w:eastAsia="Times New Roman" w:hAnsi="Times New Roman" w:cs="Times New Roman"/>
          <w:sz w:val="24"/>
          <w:szCs w:val="24"/>
          <w:lang w:eastAsia="it-IT"/>
        </w:rPr>
        <w:t xml:space="preserve">, </w:t>
      </w:r>
      <w:bookmarkEnd w:id="7"/>
      <w:r w:rsidRPr="009F73CD">
        <w:rPr>
          <w:rFonts w:ascii="Times New Roman" w:eastAsia="Times New Roman" w:hAnsi="Times New Roman" w:cs="Times New Roman"/>
          <w:sz w:val="24"/>
          <w:szCs w:val="24"/>
          <w:lang w:eastAsia="it-IT"/>
        </w:rPr>
        <w:t xml:space="preserve">in particolare, </w:t>
      </w:r>
      <w:bookmarkStart w:id="8" w:name="_Hlk131585767"/>
      <w:r w:rsidRPr="009F73CD">
        <w:rPr>
          <w:rFonts w:ascii="Times New Roman" w:eastAsia="Times New Roman" w:hAnsi="Times New Roman" w:cs="Times New Roman"/>
          <w:sz w:val="24"/>
          <w:szCs w:val="24"/>
          <w:lang w:eastAsia="it-IT"/>
        </w:rPr>
        <w:t>alle risorse impegnate</w:t>
      </w:r>
      <w:r w:rsidRPr="009F73CD">
        <w:rPr>
          <w:rFonts w:ascii="Times New Roman" w:hAnsi="Times New Roman" w:cs="Times New Roman"/>
          <w:sz w:val="24"/>
          <w:szCs w:val="24"/>
        </w:rPr>
        <w:t xml:space="preserve"> </w:t>
      </w:r>
      <w:r w:rsidRPr="009F73CD">
        <w:rPr>
          <w:rFonts w:ascii="Times New Roman" w:eastAsia="Times New Roman" w:hAnsi="Times New Roman" w:cs="Times New Roman"/>
          <w:sz w:val="24"/>
          <w:szCs w:val="24"/>
          <w:lang w:eastAsia="it-IT"/>
        </w:rPr>
        <w:t xml:space="preserve">per esperti e studi </w:t>
      </w:r>
      <w:r w:rsidRPr="004E0B84">
        <w:rPr>
          <w:rFonts w:ascii="Times New Roman" w:eastAsia="Times New Roman" w:hAnsi="Times New Roman" w:cs="Times New Roman"/>
          <w:sz w:val="24"/>
          <w:szCs w:val="24"/>
          <w:lang w:eastAsia="it-IT"/>
        </w:rPr>
        <w:t xml:space="preserve">che passa da euro 11.678.922,63 </w:t>
      </w:r>
      <w:r w:rsidR="009F77D1">
        <w:rPr>
          <w:rFonts w:ascii="Times New Roman" w:eastAsia="Times New Roman" w:hAnsi="Times New Roman" w:cs="Times New Roman"/>
          <w:sz w:val="24"/>
          <w:szCs w:val="24"/>
          <w:lang w:eastAsia="it-IT"/>
        </w:rPr>
        <w:t>a euro</w:t>
      </w:r>
      <w:r w:rsidRPr="004E0B84">
        <w:rPr>
          <w:rFonts w:ascii="Times New Roman" w:eastAsia="Times New Roman" w:hAnsi="Times New Roman" w:cs="Times New Roman"/>
          <w:sz w:val="24"/>
          <w:szCs w:val="24"/>
          <w:lang w:eastAsia="it-IT"/>
        </w:rPr>
        <w:t xml:space="preserve"> </w:t>
      </w:r>
      <w:bookmarkStart w:id="9" w:name="_Hlk65953169"/>
      <w:r w:rsidRPr="004E0B84">
        <w:rPr>
          <w:rFonts w:ascii="Times New Roman" w:eastAsia="Times New Roman" w:hAnsi="Times New Roman" w:cs="Times New Roman"/>
          <w:sz w:val="24"/>
          <w:szCs w:val="24"/>
          <w:lang w:eastAsia="it-IT"/>
        </w:rPr>
        <w:t xml:space="preserve">18.416.271,58 </w:t>
      </w:r>
      <w:bookmarkEnd w:id="8"/>
      <w:bookmarkEnd w:id="9"/>
      <w:r w:rsidRPr="004E0B84">
        <w:rPr>
          <w:rFonts w:ascii="Times New Roman" w:eastAsia="Times New Roman" w:hAnsi="Times New Roman" w:cs="Times New Roman"/>
          <w:sz w:val="24"/>
          <w:szCs w:val="24"/>
          <w:lang w:eastAsia="it-IT"/>
        </w:rPr>
        <w:t xml:space="preserve">(cfr. </w:t>
      </w:r>
      <w:proofErr w:type="spellStart"/>
      <w:r w:rsidRPr="004E0B84">
        <w:rPr>
          <w:rFonts w:ascii="Times New Roman" w:eastAsia="Times New Roman" w:hAnsi="Times New Roman" w:cs="Times New Roman"/>
          <w:sz w:val="24"/>
          <w:szCs w:val="24"/>
          <w:lang w:eastAsia="it-IT"/>
        </w:rPr>
        <w:t>Tab</w:t>
      </w:r>
      <w:proofErr w:type="spellEnd"/>
      <w:r w:rsidRPr="004E0B84">
        <w:rPr>
          <w:rFonts w:ascii="Times New Roman" w:eastAsia="Times New Roman" w:hAnsi="Times New Roman" w:cs="Times New Roman"/>
          <w:sz w:val="24"/>
          <w:szCs w:val="24"/>
          <w:lang w:eastAsia="it-IT"/>
        </w:rPr>
        <w:t>. 14)</w:t>
      </w:r>
      <w:r w:rsidR="00C20E69">
        <w:rPr>
          <w:rFonts w:ascii="Times New Roman" w:eastAsia="Times New Roman" w:hAnsi="Times New Roman" w:cs="Times New Roman"/>
          <w:sz w:val="24"/>
          <w:szCs w:val="24"/>
          <w:lang w:eastAsia="it-IT"/>
        </w:rPr>
        <w:t xml:space="preserve">, dovuto principalmente alle spese </w:t>
      </w:r>
      <w:r w:rsidR="00CF3DC3">
        <w:rPr>
          <w:rFonts w:ascii="Times New Roman" w:eastAsia="Times New Roman" w:hAnsi="Times New Roman" w:cs="Times New Roman"/>
          <w:sz w:val="24"/>
          <w:szCs w:val="24"/>
          <w:lang w:eastAsia="it-IT"/>
        </w:rPr>
        <w:t>per</w:t>
      </w:r>
      <w:r w:rsidR="00C20E69">
        <w:rPr>
          <w:rFonts w:ascii="Times New Roman" w:eastAsia="Times New Roman" w:hAnsi="Times New Roman" w:cs="Times New Roman"/>
          <w:sz w:val="24"/>
          <w:szCs w:val="24"/>
          <w:lang w:eastAsia="it-IT"/>
        </w:rPr>
        <w:t xml:space="preserve"> incarichi per esperti PNRR </w:t>
      </w:r>
      <w:r w:rsidR="009B6F30">
        <w:rPr>
          <w:rFonts w:ascii="Times New Roman" w:eastAsia="Times New Roman" w:hAnsi="Times New Roman" w:cs="Times New Roman"/>
          <w:sz w:val="24"/>
          <w:szCs w:val="24"/>
          <w:lang w:eastAsia="it-IT"/>
        </w:rPr>
        <w:t xml:space="preserve">previsti per legge </w:t>
      </w:r>
      <w:r w:rsidR="00C20E69">
        <w:rPr>
          <w:rFonts w:ascii="Times New Roman" w:eastAsia="Times New Roman" w:hAnsi="Times New Roman" w:cs="Times New Roman"/>
          <w:sz w:val="24"/>
          <w:szCs w:val="24"/>
          <w:lang w:eastAsia="it-IT"/>
        </w:rPr>
        <w:t xml:space="preserve">e per </w:t>
      </w:r>
      <w:proofErr w:type="gramStart"/>
      <w:r w:rsidR="00C20E69">
        <w:rPr>
          <w:rFonts w:ascii="Times New Roman" w:eastAsia="Times New Roman" w:hAnsi="Times New Roman" w:cs="Times New Roman"/>
          <w:sz w:val="24"/>
          <w:szCs w:val="24"/>
          <w:lang w:eastAsia="it-IT"/>
        </w:rPr>
        <w:t xml:space="preserve">quelli  </w:t>
      </w:r>
      <w:r w:rsidR="00CF3DC3">
        <w:rPr>
          <w:rFonts w:ascii="Times New Roman" w:eastAsia="Times New Roman" w:hAnsi="Times New Roman" w:cs="Times New Roman"/>
          <w:sz w:val="24"/>
          <w:szCs w:val="24"/>
          <w:lang w:eastAsia="it-IT"/>
        </w:rPr>
        <w:t>relativi</w:t>
      </w:r>
      <w:proofErr w:type="gramEnd"/>
      <w:r w:rsidR="00CF3DC3">
        <w:rPr>
          <w:rFonts w:ascii="Times New Roman" w:eastAsia="Times New Roman" w:hAnsi="Times New Roman" w:cs="Times New Roman"/>
          <w:sz w:val="24"/>
          <w:szCs w:val="24"/>
          <w:lang w:eastAsia="it-IT"/>
        </w:rPr>
        <w:t xml:space="preserve"> </w:t>
      </w:r>
      <w:r w:rsidR="00C20E69">
        <w:rPr>
          <w:rFonts w:ascii="Times New Roman" w:hAnsi="Times New Roman" w:cs="Times New Roman"/>
          <w:sz w:val="24"/>
          <w:szCs w:val="24"/>
        </w:rPr>
        <w:t>all</w:t>
      </w:r>
      <w:r w:rsidR="00877AAF">
        <w:rPr>
          <w:rFonts w:ascii="Times New Roman" w:hAnsi="Times New Roman" w:cs="Times New Roman"/>
          <w:sz w:val="24"/>
          <w:szCs w:val="24"/>
        </w:rPr>
        <w:t>’</w:t>
      </w:r>
      <w:r w:rsidR="00C20E69">
        <w:rPr>
          <w:rFonts w:ascii="Times New Roman" w:hAnsi="Times New Roman" w:cs="Times New Roman"/>
          <w:sz w:val="24"/>
          <w:szCs w:val="24"/>
        </w:rPr>
        <w:t>esercizio delle funzioni di cui all</w:t>
      </w:r>
      <w:r w:rsidR="00877AAF">
        <w:rPr>
          <w:rFonts w:ascii="Times New Roman" w:hAnsi="Times New Roman" w:cs="Times New Roman"/>
          <w:sz w:val="24"/>
          <w:szCs w:val="24"/>
        </w:rPr>
        <w:t>’</w:t>
      </w:r>
      <w:r w:rsidR="00C20E69">
        <w:rPr>
          <w:rFonts w:ascii="Times New Roman" w:hAnsi="Times New Roman" w:cs="Times New Roman"/>
          <w:sz w:val="24"/>
          <w:szCs w:val="24"/>
        </w:rPr>
        <w:t>art. 8</w:t>
      </w:r>
      <w:r w:rsidR="001668C2">
        <w:rPr>
          <w:rFonts w:ascii="Times New Roman" w:hAnsi="Times New Roman" w:cs="Times New Roman"/>
          <w:sz w:val="24"/>
          <w:szCs w:val="24"/>
        </w:rPr>
        <w:t>,</w:t>
      </w:r>
      <w:r w:rsidR="00C20E69">
        <w:rPr>
          <w:rFonts w:ascii="Times New Roman" w:hAnsi="Times New Roman" w:cs="Times New Roman"/>
          <w:sz w:val="24"/>
          <w:szCs w:val="24"/>
        </w:rPr>
        <w:t xml:space="preserve"> comm</w:t>
      </w:r>
      <w:r w:rsidR="001668C2">
        <w:rPr>
          <w:rFonts w:ascii="Times New Roman" w:hAnsi="Times New Roman" w:cs="Times New Roman"/>
          <w:sz w:val="24"/>
          <w:szCs w:val="24"/>
        </w:rPr>
        <w:t>i</w:t>
      </w:r>
      <w:r w:rsidR="00C20E69">
        <w:rPr>
          <w:rFonts w:ascii="Times New Roman" w:hAnsi="Times New Roman" w:cs="Times New Roman"/>
          <w:sz w:val="24"/>
          <w:szCs w:val="24"/>
        </w:rPr>
        <w:t xml:space="preserve"> da 1-</w:t>
      </w:r>
      <w:r w:rsidR="00C20E69" w:rsidRPr="00B43248">
        <w:rPr>
          <w:rFonts w:ascii="Times New Roman" w:hAnsi="Times New Roman" w:cs="Times New Roman"/>
          <w:i/>
          <w:sz w:val="24"/>
          <w:szCs w:val="24"/>
        </w:rPr>
        <w:t>bis</w:t>
      </w:r>
      <w:r w:rsidR="00C20E69">
        <w:rPr>
          <w:rFonts w:ascii="Times New Roman" w:hAnsi="Times New Roman" w:cs="Times New Roman"/>
          <w:sz w:val="24"/>
          <w:szCs w:val="24"/>
        </w:rPr>
        <w:t xml:space="preserve"> a 1-</w:t>
      </w:r>
      <w:r w:rsidR="00C20E69" w:rsidRPr="00B43248">
        <w:rPr>
          <w:rFonts w:ascii="Times New Roman" w:hAnsi="Times New Roman" w:cs="Times New Roman"/>
          <w:i/>
          <w:sz w:val="24"/>
          <w:szCs w:val="24"/>
        </w:rPr>
        <w:t>quater</w:t>
      </w:r>
      <w:r w:rsidR="001668C2">
        <w:rPr>
          <w:rFonts w:ascii="Times New Roman" w:hAnsi="Times New Roman" w:cs="Times New Roman"/>
          <w:sz w:val="24"/>
          <w:szCs w:val="24"/>
        </w:rPr>
        <w:t>,</w:t>
      </w:r>
      <w:r w:rsidR="00C20E69">
        <w:rPr>
          <w:rFonts w:ascii="Times New Roman" w:hAnsi="Times New Roman" w:cs="Times New Roman"/>
          <w:sz w:val="24"/>
          <w:szCs w:val="24"/>
        </w:rPr>
        <w:t xml:space="preserve"> del decreto-legge 14 dicembre 2018 n. 135</w:t>
      </w:r>
      <w:r w:rsidR="00C14614">
        <w:rPr>
          <w:rFonts w:ascii="Times New Roman" w:hAnsi="Times New Roman" w:cs="Times New Roman"/>
          <w:sz w:val="24"/>
          <w:szCs w:val="24"/>
        </w:rPr>
        <w:t>.</w:t>
      </w:r>
    </w:p>
    <w:p w14:paraId="0E275363" w14:textId="77777777" w:rsidR="00672A92" w:rsidRDefault="00672A92" w:rsidP="00600D30">
      <w:pPr>
        <w:spacing w:after="0" w:line="360" w:lineRule="auto"/>
        <w:jc w:val="both"/>
        <w:rPr>
          <w:rFonts w:ascii="Times New Roman" w:eastAsia="Times New Roman" w:hAnsi="Times New Roman" w:cs="Times New Roman"/>
          <w:b/>
          <w:sz w:val="24"/>
          <w:szCs w:val="24"/>
          <w:lang w:eastAsia="it-IT"/>
        </w:rPr>
      </w:pPr>
    </w:p>
    <w:p w14:paraId="471191D5" w14:textId="2A196D95" w:rsidR="000759BB" w:rsidRDefault="000759BB" w:rsidP="00600D30">
      <w:pPr>
        <w:spacing w:after="0" w:line="360" w:lineRule="auto"/>
        <w:jc w:val="center"/>
        <w:rPr>
          <w:rFonts w:ascii="Times New Roman" w:eastAsia="Times New Roman" w:hAnsi="Times New Roman" w:cs="Times New Roman"/>
          <w:b/>
          <w:sz w:val="24"/>
          <w:szCs w:val="24"/>
          <w:lang w:eastAsia="it-IT"/>
        </w:rPr>
      </w:pPr>
    </w:p>
    <w:p w14:paraId="2C8DC88B" w14:textId="59C4D86B" w:rsidR="00157BD9" w:rsidRDefault="00157BD9" w:rsidP="00600D30">
      <w:pPr>
        <w:spacing w:after="0" w:line="360" w:lineRule="auto"/>
        <w:jc w:val="center"/>
        <w:rPr>
          <w:rFonts w:ascii="Times New Roman" w:eastAsia="Times New Roman" w:hAnsi="Times New Roman" w:cs="Times New Roman"/>
          <w:b/>
          <w:sz w:val="24"/>
          <w:szCs w:val="24"/>
          <w:lang w:eastAsia="it-IT"/>
        </w:rPr>
      </w:pPr>
    </w:p>
    <w:p w14:paraId="6FAF5CBB" w14:textId="220D560C" w:rsidR="00157BD9" w:rsidRDefault="00157BD9" w:rsidP="00600D30">
      <w:pPr>
        <w:spacing w:after="0" w:line="360" w:lineRule="auto"/>
        <w:jc w:val="center"/>
        <w:rPr>
          <w:rFonts w:ascii="Times New Roman" w:eastAsia="Times New Roman" w:hAnsi="Times New Roman" w:cs="Times New Roman"/>
          <w:b/>
          <w:sz w:val="24"/>
          <w:szCs w:val="24"/>
          <w:lang w:eastAsia="it-IT"/>
        </w:rPr>
      </w:pPr>
    </w:p>
    <w:p w14:paraId="3F7ABFD9" w14:textId="08146FC0" w:rsidR="00600D30" w:rsidRDefault="00600D30" w:rsidP="00600D30">
      <w:pPr>
        <w:spacing w:after="0" w:line="360" w:lineRule="auto"/>
        <w:jc w:val="center"/>
        <w:rPr>
          <w:rFonts w:ascii="Times New Roman" w:eastAsia="Times New Roman" w:hAnsi="Times New Roman" w:cs="Times New Roman"/>
          <w:b/>
          <w:sz w:val="24"/>
          <w:szCs w:val="24"/>
          <w:lang w:eastAsia="it-IT"/>
        </w:rPr>
      </w:pPr>
      <w:proofErr w:type="spellStart"/>
      <w:r w:rsidRPr="009E4894">
        <w:rPr>
          <w:rFonts w:ascii="Times New Roman" w:eastAsia="Times New Roman" w:hAnsi="Times New Roman" w:cs="Times New Roman"/>
          <w:b/>
          <w:sz w:val="24"/>
          <w:szCs w:val="24"/>
          <w:lang w:eastAsia="it-IT"/>
        </w:rPr>
        <w:lastRenderedPageBreak/>
        <w:t>Tab</w:t>
      </w:r>
      <w:proofErr w:type="spellEnd"/>
      <w:r w:rsidRPr="009E4894">
        <w:rPr>
          <w:rFonts w:ascii="Times New Roman" w:eastAsia="Times New Roman" w:hAnsi="Times New Roman" w:cs="Times New Roman"/>
          <w:b/>
          <w:sz w:val="24"/>
          <w:szCs w:val="24"/>
          <w:lang w:eastAsia="it-IT"/>
        </w:rPr>
        <w:t>. 1</w:t>
      </w:r>
      <w:r>
        <w:rPr>
          <w:rFonts w:ascii="Times New Roman" w:eastAsia="Times New Roman" w:hAnsi="Times New Roman" w:cs="Times New Roman"/>
          <w:b/>
          <w:sz w:val="24"/>
          <w:szCs w:val="24"/>
          <w:lang w:eastAsia="it-IT"/>
        </w:rPr>
        <w:t>4</w:t>
      </w:r>
      <w:r w:rsidRPr="009E4894">
        <w:rPr>
          <w:rFonts w:ascii="Times New Roman" w:eastAsia="Times New Roman" w:hAnsi="Times New Roman" w:cs="Times New Roman"/>
          <w:b/>
          <w:sz w:val="24"/>
          <w:szCs w:val="24"/>
          <w:lang w:eastAsia="it-IT"/>
        </w:rPr>
        <w:t xml:space="preserve"> – </w:t>
      </w:r>
      <w:r w:rsidRPr="00207183">
        <w:rPr>
          <w:rFonts w:ascii="Times New Roman" w:eastAsia="Times New Roman" w:hAnsi="Times New Roman" w:cs="Times New Roman"/>
          <w:b/>
          <w:sz w:val="24"/>
          <w:szCs w:val="24"/>
          <w:lang w:eastAsia="it-IT"/>
        </w:rPr>
        <w:t>Esperti e studi</w:t>
      </w:r>
      <w:r w:rsidR="00AA0759" w:rsidRPr="000C3DF2">
        <w:rPr>
          <w:rStyle w:val="Rimandonotaapidipagina"/>
          <w:rFonts w:ascii="Times New Roman" w:eastAsia="Times New Roman" w:hAnsi="Times New Roman" w:cs="Times New Roman"/>
          <w:b/>
          <w:szCs w:val="32"/>
          <w:lang w:eastAsia="it-IT"/>
        </w:rPr>
        <w:footnoteReference w:id="11"/>
      </w:r>
    </w:p>
    <w:p w14:paraId="631ECDF5" w14:textId="7E3DE5D6" w:rsidR="00600D30" w:rsidRDefault="00CF57E5" w:rsidP="00600D30">
      <w:pPr>
        <w:spacing w:after="0" w:line="360" w:lineRule="auto"/>
        <w:jc w:val="center"/>
        <w:rPr>
          <w:rFonts w:ascii="Times New Roman" w:eastAsia="Times New Roman" w:hAnsi="Times New Roman" w:cs="Times New Roman"/>
          <w:sz w:val="24"/>
          <w:szCs w:val="24"/>
          <w:lang w:eastAsia="it-IT"/>
        </w:rPr>
      </w:pPr>
      <w:r w:rsidRPr="00CF57E5">
        <w:rPr>
          <w:noProof/>
          <w:lang w:eastAsia="it-IT"/>
        </w:rPr>
        <w:drawing>
          <wp:inline distT="0" distB="0" distL="0" distR="0" wp14:anchorId="19BCC15B" wp14:editId="368A99E0">
            <wp:extent cx="3627120" cy="398780"/>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7120" cy="398780"/>
                    </a:xfrm>
                    <a:prstGeom prst="rect">
                      <a:avLst/>
                    </a:prstGeom>
                    <a:noFill/>
                    <a:ln>
                      <a:noFill/>
                    </a:ln>
                  </pic:spPr>
                </pic:pic>
              </a:graphicData>
            </a:graphic>
          </wp:inline>
        </w:drawing>
      </w:r>
    </w:p>
    <w:p w14:paraId="2FD01FF3" w14:textId="6E09ED74" w:rsidR="00600D30" w:rsidRDefault="00CF57E5" w:rsidP="00600D30">
      <w:pPr>
        <w:spacing w:after="0" w:line="36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0B1C55B1" wp14:editId="1125D43A">
            <wp:extent cx="3727573" cy="2147198"/>
            <wp:effectExtent l="0" t="0" r="6350" b="571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6120" cy="2163642"/>
                    </a:xfrm>
                    <a:prstGeom prst="rect">
                      <a:avLst/>
                    </a:prstGeom>
                    <a:noFill/>
                  </pic:spPr>
                </pic:pic>
              </a:graphicData>
            </a:graphic>
          </wp:inline>
        </w:drawing>
      </w:r>
    </w:p>
    <w:p w14:paraId="5E666EFD" w14:textId="77777777" w:rsidR="00600D30" w:rsidRPr="009E4894" w:rsidRDefault="00600D30" w:rsidP="00600D30">
      <w:pPr>
        <w:spacing w:after="0" w:line="360" w:lineRule="auto"/>
        <w:jc w:val="center"/>
        <w:rPr>
          <w:rFonts w:ascii="Times New Roman" w:eastAsia="Times New Roman" w:hAnsi="Times New Roman" w:cs="Times New Roman"/>
          <w:sz w:val="24"/>
          <w:szCs w:val="24"/>
          <w:lang w:eastAsia="it-IT"/>
        </w:rPr>
      </w:pPr>
    </w:p>
    <w:p w14:paraId="1ABCC537" w14:textId="48F1161B" w:rsidR="00600D30" w:rsidRDefault="00600D30" w:rsidP="00600D30">
      <w:pPr>
        <w:tabs>
          <w:tab w:val="left" w:pos="1965"/>
        </w:tabs>
        <w:spacing w:after="0" w:line="360" w:lineRule="auto"/>
        <w:jc w:val="both"/>
        <w:rPr>
          <w:rFonts w:ascii="Times New Roman" w:eastAsia="Times New Roman" w:hAnsi="Times New Roman" w:cs="Times New Roman"/>
          <w:bCs/>
          <w:sz w:val="24"/>
          <w:szCs w:val="24"/>
          <w:lang w:eastAsia="it-IT"/>
        </w:rPr>
      </w:pPr>
      <w:r w:rsidRPr="00AB4AE3">
        <w:rPr>
          <w:rFonts w:ascii="Times New Roman" w:eastAsia="Times New Roman" w:hAnsi="Times New Roman" w:cs="Times New Roman"/>
          <w:bCs/>
          <w:sz w:val="24"/>
          <w:szCs w:val="24"/>
          <w:lang w:eastAsia="it-IT"/>
        </w:rPr>
        <w:t xml:space="preserve">Le somme impegnate per </w:t>
      </w:r>
      <w:bookmarkStart w:id="10" w:name="_Hlk102904134"/>
      <w:r w:rsidRPr="00AB4AE3">
        <w:rPr>
          <w:rFonts w:ascii="Times New Roman" w:eastAsia="Times New Roman" w:hAnsi="Times New Roman" w:cs="Times New Roman"/>
          <w:bCs/>
          <w:sz w:val="24"/>
          <w:szCs w:val="24"/>
          <w:lang w:eastAsia="it-IT"/>
        </w:rPr>
        <w:t>la gestione e la manutenzione degli apparati tecnologici presentano un</w:t>
      </w:r>
      <w:r w:rsidRPr="009E4894">
        <w:rPr>
          <w:sz w:val="24"/>
          <w:szCs w:val="24"/>
        </w:rPr>
        <w:t xml:space="preserve"> </w:t>
      </w:r>
      <w:r w:rsidRPr="00AB4AE3">
        <w:rPr>
          <w:rFonts w:ascii="Times New Roman" w:eastAsia="Times New Roman" w:hAnsi="Times New Roman" w:cs="Times New Roman"/>
          <w:bCs/>
          <w:sz w:val="24"/>
          <w:szCs w:val="24"/>
          <w:lang w:eastAsia="it-IT"/>
        </w:rPr>
        <w:t xml:space="preserve">incremento di euro 1.433.573,41, passando da euro 6.443.980,19 </w:t>
      </w:r>
      <w:r w:rsidR="009F77D1">
        <w:rPr>
          <w:rFonts w:ascii="Times New Roman" w:eastAsia="Times New Roman" w:hAnsi="Times New Roman" w:cs="Times New Roman"/>
          <w:bCs/>
          <w:sz w:val="24"/>
          <w:szCs w:val="24"/>
          <w:lang w:eastAsia="it-IT"/>
        </w:rPr>
        <w:t>a euro</w:t>
      </w:r>
      <w:r w:rsidRPr="00AB4AE3">
        <w:rPr>
          <w:rFonts w:ascii="Times New Roman" w:eastAsia="Times New Roman" w:hAnsi="Times New Roman" w:cs="Times New Roman"/>
          <w:bCs/>
          <w:sz w:val="24"/>
          <w:szCs w:val="24"/>
          <w:lang w:eastAsia="it-IT"/>
        </w:rPr>
        <w:t xml:space="preserve"> </w:t>
      </w:r>
      <w:bookmarkEnd w:id="10"/>
      <w:r w:rsidRPr="00AB4AE3">
        <w:rPr>
          <w:rFonts w:ascii="Times New Roman" w:eastAsia="Times New Roman" w:hAnsi="Times New Roman" w:cs="Times New Roman"/>
          <w:bCs/>
          <w:sz w:val="24"/>
          <w:szCs w:val="24"/>
          <w:lang w:eastAsia="it-IT"/>
        </w:rPr>
        <w:t>7.877.553,60</w:t>
      </w:r>
      <w:r w:rsidR="00157BD9">
        <w:rPr>
          <w:rFonts w:ascii="Times New Roman" w:eastAsia="Times New Roman" w:hAnsi="Times New Roman" w:cs="Times New Roman"/>
          <w:bCs/>
          <w:sz w:val="24"/>
          <w:szCs w:val="24"/>
          <w:lang w:eastAsia="it-IT"/>
        </w:rPr>
        <w:t xml:space="preserve"> (cfr. </w:t>
      </w:r>
      <w:proofErr w:type="spellStart"/>
      <w:r w:rsidR="00157BD9">
        <w:rPr>
          <w:rFonts w:ascii="Times New Roman" w:eastAsia="Times New Roman" w:hAnsi="Times New Roman" w:cs="Times New Roman"/>
          <w:bCs/>
          <w:sz w:val="24"/>
          <w:szCs w:val="24"/>
          <w:lang w:eastAsia="it-IT"/>
        </w:rPr>
        <w:t>Tab</w:t>
      </w:r>
      <w:proofErr w:type="spellEnd"/>
      <w:r w:rsidR="00157BD9">
        <w:rPr>
          <w:rFonts w:ascii="Times New Roman" w:eastAsia="Times New Roman" w:hAnsi="Times New Roman" w:cs="Times New Roman"/>
          <w:bCs/>
          <w:sz w:val="24"/>
          <w:szCs w:val="24"/>
          <w:lang w:eastAsia="it-IT"/>
        </w:rPr>
        <w:t>. 15)</w:t>
      </w:r>
      <w:r w:rsidRPr="00AB4AE3">
        <w:rPr>
          <w:rFonts w:ascii="Times New Roman" w:eastAsia="Times New Roman" w:hAnsi="Times New Roman" w:cs="Times New Roman"/>
          <w:bCs/>
          <w:sz w:val="24"/>
          <w:szCs w:val="24"/>
          <w:lang w:eastAsia="it-IT"/>
        </w:rPr>
        <w:t xml:space="preserve">, </w:t>
      </w:r>
      <w:r w:rsidR="008C7A6E">
        <w:rPr>
          <w:rFonts w:ascii="Times New Roman" w:eastAsia="Times New Roman" w:hAnsi="Times New Roman" w:cs="Times New Roman"/>
          <w:bCs/>
          <w:sz w:val="24"/>
          <w:szCs w:val="24"/>
          <w:lang w:eastAsia="it-IT"/>
        </w:rPr>
        <w:t>dovuto</w:t>
      </w:r>
      <w:r w:rsidRPr="00AB4AE3">
        <w:rPr>
          <w:rFonts w:ascii="Times New Roman" w:eastAsia="Times New Roman" w:hAnsi="Times New Roman" w:cs="Times New Roman"/>
          <w:bCs/>
          <w:sz w:val="24"/>
          <w:szCs w:val="24"/>
          <w:lang w:eastAsia="it-IT"/>
        </w:rPr>
        <w:t xml:space="preserve"> </w:t>
      </w:r>
      <w:r w:rsidR="008B6EEF">
        <w:rPr>
          <w:rFonts w:ascii="Times New Roman" w:eastAsia="Times New Roman" w:hAnsi="Times New Roman" w:cs="Times New Roman"/>
          <w:bCs/>
          <w:sz w:val="24"/>
          <w:szCs w:val="24"/>
          <w:lang w:eastAsia="it-IT"/>
        </w:rPr>
        <w:t xml:space="preserve">alle </w:t>
      </w:r>
      <w:r w:rsidRPr="00AB4AE3">
        <w:rPr>
          <w:rFonts w:ascii="Times New Roman" w:eastAsia="Times New Roman" w:hAnsi="Times New Roman" w:cs="Times New Roman"/>
          <w:bCs/>
          <w:sz w:val="24"/>
          <w:szCs w:val="24"/>
          <w:lang w:eastAsia="it-IT"/>
        </w:rPr>
        <w:t>esigenze di manutenzione e gestione delle infrastrutture e delle stazioni di lavoro direttamente riferibili alla piena operatività delle nuove sedi in uso alla PCM dal 1° gennaio 2022.</w:t>
      </w:r>
    </w:p>
    <w:p w14:paraId="63E9DFF9" w14:textId="77777777" w:rsidR="00157BD9" w:rsidRPr="00157BD9" w:rsidRDefault="00157BD9" w:rsidP="00600D30">
      <w:pPr>
        <w:tabs>
          <w:tab w:val="left" w:pos="1965"/>
        </w:tabs>
        <w:spacing w:after="0" w:line="360" w:lineRule="auto"/>
        <w:jc w:val="both"/>
        <w:rPr>
          <w:rFonts w:ascii="Times New Roman" w:eastAsia="Times New Roman" w:hAnsi="Times New Roman" w:cs="Times New Roman"/>
          <w:bCs/>
          <w:sz w:val="10"/>
          <w:szCs w:val="24"/>
          <w:lang w:eastAsia="it-IT"/>
        </w:rPr>
      </w:pPr>
    </w:p>
    <w:p w14:paraId="56E698A2" w14:textId="77777777" w:rsidR="00600D30" w:rsidRDefault="00600D30" w:rsidP="00600D30">
      <w:pPr>
        <w:spacing w:after="0" w:line="360" w:lineRule="auto"/>
        <w:jc w:val="both"/>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color w:val="000000"/>
          <w:sz w:val="24"/>
          <w:szCs w:val="24"/>
          <w:lang w:eastAsia="it-IT"/>
        </w:rPr>
        <w:t xml:space="preserve">                                 </w:t>
      </w:r>
      <w:proofErr w:type="spellStart"/>
      <w:r w:rsidRPr="009E4894">
        <w:rPr>
          <w:rFonts w:ascii="Times New Roman" w:eastAsia="Times New Roman" w:hAnsi="Times New Roman" w:cs="Times New Roman"/>
          <w:b/>
          <w:color w:val="000000"/>
          <w:sz w:val="24"/>
          <w:szCs w:val="24"/>
          <w:lang w:eastAsia="it-IT"/>
        </w:rPr>
        <w:t>Tab</w:t>
      </w:r>
      <w:proofErr w:type="spellEnd"/>
      <w:r w:rsidRPr="009E4894">
        <w:rPr>
          <w:rFonts w:ascii="Times New Roman" w:eastAsia="Times New Roman" w:hAnsi="Times New Roman" w:cs="Times New Roman"/>
          <w:b/>
          <w:color w:val="000000"/>
          <w:sz w:val="24"/>
          <w:szCs w:val="24"/>
          <w:lang w:eastAsia="it-IT"/>
        </w:rPr>
        <w:t>. 1</w:t>
      </w:r>
      <w:r>
        <w:rPr>
          <w:rFonts w:ascii="Times New Roman" w:eastAsia="Times New Roman" w:hAnsi="Times New Roman" w:cs="Times New Roman"/>
          <w:b/>
          <w:color w:val="000000"/>
          <w:sz w:val="24"/>
          <w:szCs w:val="24"/>
          <w:lang w:eastAsia="it-IT"/>
        </w:rPr>
        <w:t>5</w:t>
      </w:r>
      <w:r w:rsidRPr="009E4894">
        <w:rPr>
          <w:rFonts w:ascii="Times New Roman" w:eastAsia="Times New Roman" w:hAnsi="Times New Roman" w:cs="Times New Roman"/>
          <w:b/>
          <w:color w:val="000000"/>
          <w:sz w:val="24"/>
          <w:szCs w:val="24"/>
          <w:lang w:eastAsia="it-IT"/>
        </w:rPr>
        <w:t xml:space="preserve"> – Gestione e manutenzione apparati tecnologici</w:t>
      </w:r>
    </w:p>
    <w:p w14:paraId="677A6DE5" w14:textId="233CEBFE" w:rsidR="00600D30" w:rsidRPr="009E4894" w:rsidRDefault="00CF57E5" w:rsidP="00CF57E5">
      <w:pPr>
        <w:tabs>
          <w:tab w:val="left" w:pos="1843"/>
        </w:tabs>
        <w:spacing w:after="0" w:line="360" w:lineRule="auto"/>
        <w:ind w:left="1416" w:firstLine="427"/>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color w:val="000000"/>
          <w:sz w:val="24"/>
          <w:szCs w:val="24"/>
          <w:lang w:eastAsia="it-IT"/>
        </w:rPr>
        <w:t xml:space="preserve">     </w:t>
      </w:r>
      <w:r w:rsidRPr="00CF57E5">
        <w:rPr>
          <w:noProof/>
          <w:lang w:eastAsia="it-IT"/>
        </w:rPr>
        <w:drawing>
          <wp:inline distT="0" distB="0" distL="0" distR="0" wp14:anchorId="08E7A66C" wp14:editId="13EDC21F">
            <wp:extent cx="3557782" cy="624730"/>
            <wp:effectExtent l="0" t="0" r="5080"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456" cy="627131"/>
                    </a:xfrm>
                    <a:prstGeom prst="rect">
                      <a:avLst/>
                    </a:prstGeom>
                    <a:noFill/>
                    <a:ln>
                      <a:noFill/>
                    </a:ln>
                  </pic:spPr>
                </pic:pic>
              </a:graphicData>
            </a:graphic>
          </wp:inline>
        </w:drawing>
      </w:r>
    </w:p>
    <w:p w14:paraId="5ED6CB5F" w14:textId="384FFC8E" w:rsidR="00600D30" w:rsidRPr="009E4894" w:rsidRDefault="00CF57E5"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26528F27" wp14:editId="3D22D27E">
            <wp:extent cx="3635375" cy="1978270"/>
            <wp:effectExtent l="0" t="0" r="3175" b="317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9139" cy="2007527"/>
                    </a:xfrm>
                    <a:prstGeom prst="rect">
                      <a:avLst/>
                    </a:prstGeom>
                    <a:noFill/>
                  </pic:spPr>
                </pic:pic>
              </a:graphicData>
            </a:graphic>
          </wp:inline>
        </w:drawing>
      </w:r>
    </w:p>
    <w:p w14:paraId="7144EBE7" w14:textId="77777777" w:rsidR="00600D30" w:rsidRPr="009E4894" w:rsidRDefault="00600D30" w:rsidP="00600D30">
      <w:pPr>
        <w:spacing w:after="0" w:line="360" w:lineRule="auto"/>
        <w:jc w:val="both"/>
        <w:rPr>
          <w:rFonts w:ascii="Times New Roman" w:eastAsia="Times New Roman" w:hAnsi="Times New Roman" w:cs="Times New Roman"/>
          <w:sz w:val="24"/>
          <w:szCs w:val="24"/>
          <w:lang w:eastAsia="it-IT"/>
        </w:rPr>
      </w:pPr>
    </w:p>
    <w:p w14:paraId="7C1AE870" w14:textId="347844F7" w:rsidR="00600D30" w:rsidRDefault="00600D30"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9E4894">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9E4894">
        <w:rPr>
          <w:rFonts w:ascii="Times New Roman" w:eastAsia="Times New Roman" w:hAnsi="Times New Roman" w:cs="Times New Roman"/>
          <w:color w:val="000000"/>
          <w:sz w:val="24"/>
          <w:szCs w:val="24"/>
          <w:lang w:eastAsia="it-IT"/>
        </w:rPr>
        <w:t xml:space="preserve">impegnato relativo alla manutenzione degli immobili e impianti, </w:t>
      </w:r>
      <w:bookmarkStart w:id="11" w:name="_Hlk102904271"/>
      <w:r w:rsidRPr="009E4894">
        <w:rPr>
          <w:rFonts w:ascii="Times New Roman" w:eastAsia="Times New Roman" w:hAnsi="Times New Roman" w:cs="Times New Roman"/>
          <w:color w:val="000000"/>
          <w:sz w:val="24"/>
          <w:szCs w:val="24"/>
          <w:lang w:eastAsia="it-IT"/>
        </w:rPr>
        <w:t xml:space="preserve">passa da euro 5.224.884,01 </w:t>
      </w:r>
      <w:r w:rsidR="009F77D1">
        <w:rPr>
          <w:rFonts w:ascii="Times New Roman" w:eastAsia="Times New Roman" w:hAnsi="Times New Roman" w:cs="Times New Roman"/>
          <w:color w:val="000000"/>
          <w:sz w:val="24"/>
          <w:szCs w:val="24"/>
          <w:lang w:eastAsia="it-IT"/>
        </w:rPr>
        <w:t>a euro</w:t>
      </w:r>
      <w:r w:rsidRPr="009E4894">
        <w:rPr>
          <w:rFonts w:ascii="Times New Roman" w:eastAsia="Times New Roman" w:hAnsi="Times New Roman" w:cs="Times New Roman"/>
          <w:color w:val="000000"/>
          <w:sz w:val="24"/>
          <w:szCs w:val="24"/>
          <w:lang w:eastAsia="it-IT"/>
        </w:rPr>
        <w:t xml:space="preserve"> </w:t>
      </w:r>
      <w:bookmarkStart w:id="12" w:name="_Hlk128747726"/>
      <w:r w:rsidRPr="009E4894">
        <w:rPr>
          <w:rFonts w:ascii="Times New Roman" w:eastAsia="Times New Roman" w:hAnsi="Times New Roman" w:cs="Times New Roman"/>
          <w:color w:val="000000"/>
          <w:sz w:val="24"/>
          <w:szCs w:val="24"/>
          <w:lang w:eastAsia="it-IT"/>
        </w:rPr>
        <w:t>5.</w:t>
      </w:r>
      <w:bookmarkEnd w:id="12"/>
      <w:r>
        <w:rPr>
          <w:rFonts w:ascii="Times New Roman" w:eastAsia="Times New Roman" w:hAnsi="Times New Roman" w:cs="Times New Roman"/>
          <w:color w:val="000000"/>
          <w:sz w:val="24"/>
          <w:szCs w:val="24"/>
          <w:lang w:eastAsia="it-IT"/>
        </w:rPr>
        <w:t>403.175,06</w:t>
      </w:r>
      <w:r w:rsidR="001E6EAC">
        <w:rPr>
          <w:rFonts w:ascii="Times New Roman" w:eastAsia="Times New Roman" w:hAnsi="Times New Roman" w:cs="Times New Roman"/>
          <w:color w:val="000000"/>
          <w:sz w:val="24"/>
          <w:szCs w:val="24"/>
          <w:lang w:eastAsia="it-IT"/>
        </w:rPr>
        <w:t xml:space="preserve"> </w:t>
      </w:r>
      <w:r w:rsidR="001E6EAC" w:rsidRPr="009E4894">
        <w:rPr>
          <w:rFonts w:ascii="Times New Roman" w:eastAsia="Times New Roman" w:hAnsi="Times New Roman" w:cs="Times New Roman"/>
          <w:color w:val="000000"/>
          <w:sz w:val="24"/>
          <w:szCs w:val="24"/>
          <w:lang w:eastAsia="it-IT"/>
        </w:rPr>
        <w:t>(</w:t>
      </w:r>
      <w:r w:rsidR="001E6EAC">
        <w:rPr>
          <w:rFonts w:ascii="Times New Roman" w:eastAsia="Times New Roman" w:hAnsi="Times New Roman" w:cs="Times New Roman"/>
          <w:color w:val="000000"/>
          <w:sz w:val="24"/>
          <w:szCs w:val="24"/>
          <w:lang w:eastAsia="it-IT"/>
        </w:rPr>
        <w:t xml:space="preserve">cfr. </w:t>
      </w:r>
      <w:proofErr w:type="spellStart"/>
      <w:r w:rsidR="001E6EAC" w:rsidRPr="009E4894">
        <w:rPr>
          <w:rFonts w:ascii="Times New Roman" w:eastAsia="Times New Roman" w:hAnsi="Times New Roman" w:cs="Times New Roman"/>
          <w:color w:val="000000"/>
          <w:sz w:val="24"/>
          <w:szCs w:val="24"/>
          <w:lang w:eastAsia="it-IT"/>
        </w:rPr>
        <w:t>Tab</w:t>
      </w:r>
      <w:proofErr w:type="spellEnd"/>
      <w:r w:rsidR="001E6EAC" w:rsidRPr="009E4894">
        <w:rPr>
          <w:rFonts w:ascii="Times New Roman" w:eastAsia="Times New Roman" w:hAnsi="Times New Roman" w:cs="Times New Roman"/>
          <w:color w:val="000000"/>
          <w:sz w:val="24"/>
          <w:szCs w:val="24"/>
          <w:lang w:eastAsia="it-IT"/>
        </w:rPr>
        <w:t>. 1</w:t>
      </w:r>
      <w:r w:rsidR="001E6EAC">
        <w:rPr>
          <w:rFonts w:ascii="Times New Roman" w:eastAsia="Times New Roman" w:hAnsi="Times New Roman" w:cs="Times New Roman"/>
          <w:color w:val="000000"/>
          <w:sz w:val="24"/>
          <w:szCs w:val="24"/>
          <w:lang w:eastAsia="it-IT"/>
        </w:rPr>
        <w:t>6</w:t>
      </w:r>
      <w:r w:rsidR="001E6EAC" w:rsidRPr="009E4894">
        <w:rPr>
          <w:rFonts w:ascii="Times New Roman" w:eastAsia="Times New Roman" w:hAnsi="Times New Roman" w:cs="Times New Roman"/>
          <w:color w:val="000000"/>
          <w:sz w:val="24"/>
          <w:szCs w:val="24"/>
          <w:lang w:eastAsia="it-IT"/>
        </w:rPr>
        <w:t>)</w:t>
      </w:r>
      <w:r w:rsidRPr="009E4894">
        <w:rPr>
          <w:rFonts w:ascii="Times New Roman" w:eastAsia="Times New Roman" w:hAnsi="Times New Roman" w:cs="Times New Roman"/>
          <w:color w:val="000000"/>
          <w:sz w:val="24"/>
          <w:szCs w:val="24"/>
          <w:lang w:eastAsia="it-IT"/>
        </w:rPr>
        <w:t xml:space="preserve">, con un aumento di euro </w:t>
      </w:r>
      <w:bookmarkEnd w:id="11"/>
      <w:r>
        <w:rPr>
          <w:rFonts w:ascii="Times New Roman" w:eastAsia="Times New Roman" w:hAnsi="Times New Roman" w:cs="Times New Roman"/>
          <w:color w:val="000000"/>
          <w:sz w:val="24"/>
          <w:szCs w:val="24"/>
          <w:lang w:eastAsia="it-IT"/>
        </w:rPr>
        <w:t>178.291,05</w:t>
      </w:r>
      <w:r w:rsidR="008B6EEF">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r w:rsidRPr="000B42E4">
        <w:rPr>
          <w:rFonts w:ascii="Times New Roman" w:eastAsia="Times New Roman" w:hAnsi="Times New Roman" w:cs="Times New Roman"/>
          <w:color w:val="000000"/>
          <w:sz w:val="24"/>
          <w:szCs w:val="24"/>
          <w:lang w:eastAsia="it-IT"/>
        </w:rPr>
        <w:t>dovuto a</w:t>
      </w:r>
      <w:r w:rsidR="0079571C">
        <w:rPr>
          <w:rFonts w:ascii="Times New Roman" w:eastAsia="Times New Roman" w:hAnsi="Times New Roman" w:cs="Times New Roman"/>
          <w:color w:val="000000"/>
          <w:sz w:val="24"/>
          <w:szCs w:val="24"/>
          <w:lang w:eastAsia="it-IT"/>
        </w:rPr>
        <w:t>l</w:t>
      </w:r>
      <w:r w:rsidRPr="000B42E4">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0B42E4">
        <w:rPr>
          <w:rFonts w:ascii="Times New Roman" w:eastAsia="Times New Roman" w:hAnsi="Times New Roman" w:cs="Times New Roman"/>
          <w:color w:val="000000"/>
          <w:sz w:val="24"/>
          <w:szCs w:val="24"/>
          <w:lang w:eastAsia="it-IT"/>
        </w:rPr>
        <w:t>applicazione dell</w:t>
      </w:r>
      <w:r w:rsidR="00877AAF">
        <w:rPr>
          <w:rFonts w:ascii="Times New Roman" w:eastAsia="Times New Roman" w:hAnsi="Times New Roman" w:cs="Times New Roman"/>
          <w:color w:val="000000"/>
          <w:sz w:val="24"/>
          <w:szCs w:val="24"/>
          <w:lang w:eastAsia="it-IT"/>
        </w:rPr>
        <w:t>’</w:t>
      </w:r>
      <w:r w:rsidRPr="000B42E4">
        <w:rPr>
          <w:rFonts w:ascii="Times New Roman" w:eastAsia="Times New Roman" w:hAnsi="Times New Roman" w:cs="Times New Roman"/>
          <w:color w:val="000000"/>
          <w:sz w:val="24"/>
          <w:szCs w:val="24"/>
          <w:lang w:eastAsia="it-IT"/>
        </w:rPr>
        <w:t>indice ISTAT dei prezzi al consumo per le famiglie di operai e impiegati (FOI)</w:t>
      </w:r>
      <w:r w:rsidR="0079571C">
        <w:rPr>
          <w:rFonts w:ascii="Times New Roman" w:eastAsia="Times New Roman" w:hAnsi="Times New Roman" w:cs="Times New Roman"/>
          <w:color w:val="000000"/>
          <w:sz w:val="24"/>
          <w:szCs w:val="24"/>
          <w:lang w:eastAsia="it-IT"/>
        </w:rPr>
        <w:t xml:space="preserve"> a valere sui canoni</w:t>
      </w:r>
      <w:r w:rsidRPr="000B42E4">
        <w:rPr>
          <w:rFonts w:ascii="Times New Roman" w:eastAsia="Times New Roman" w:hAnsi="Times New Roman" w:cs="Times New Roman"/>
          <w:color w:val="000000"/>
          <w:sz w:val="24"/>
          <w:szCs w:val="24"/>
          <w:lang w:eastAsia="it-IT"/>
        </w:rPr>
        <w:t>.</w:t>
      </w:r>
    </w:p>
    <w:p w14:paraId="24114269" w14:textId="77777777" w:rsidR="00157BD9" w:rsidRPr="00157BD9" w:rsidRDefault="00157BD9" w:rsidP="00600D30">
      <w:pPr>
        <w:tabs>
          <w:tab w:val="left" w:pos="1965"/>
        </w:tabs>
        <w:spacing w:after="0" w:line="360" w:lineRule="auto"/>
        <w:jc w:val="both"/>
        <w:rPr>
          <w:rFonts w:ascii="Times New Roman" w:eastAsia="Times New Roman" w:hAnsi="Times New Roman" w:cs="Times New Roman"/>
          <w:color w:val="000000"/>
          <w:sz w:val="12"/>
          <w:szCs w:val="24"/>
          <w:lang w:eastAsia="it-IT"/>
        </w:rPr>
      </w:pPr>
    </w:p>
    <w:p w14:paraId="451EE356" w14:textId="627EE0B2" w:rsidR="00600D30" w:rsidRDefault="00600D30" w:rsidP="00600D30">
      <w:pPr>
        <w:tabs>
          <w:tab w:val="left" w:pos="1965"/>
        </w:tabs>
        <w:spacing w:after="0" w:line="360" w:lineRule="auto"/>
        <w:rPr>
          <w:rFonts w:ascii="Times New Roman" w:eastAsia="Times New Roman" w:hAnsi="Times New Roman" w:cs="Times New Roman"/>
          <w:b/>
          <w:color w:val="000000"/>
          <w:sz w:val="24"/>
          <w:szCs w:val="24"/>
          <w:lang w:eastAsia="it-IT"/>
        </w:rPr>
      </w:pPr>
      <w:r w:rsidRPr="009E4894">
        <w:rPr>
          <w:rFonts w:ascii="Times New Roman" w:eastAsia="Times New Roman" w:hAnsi="Times New Roman" w:cs="Times New Roman"/>
          <w:b/>
          <w:color w:val="000000"/>
          <w:sz w:val="24"/>
          <w:szCs w:val="24"/>
          <w:lang w:eastAsia="it-IT"/>
        </w:rPr>
        <w:lastRenderedPageBreak/>
        <w:tab/>
      </w:r>
      <w:proofErr w:type="spellStart"/>
      <w:r w:rsidRPr="009E4894">
        <w:rPr>
          <w:rFonts w:ascii="Times New Roman" w:eastAsia="Times New Roman" w:hAnsi="Times New Roman" w:cs="Times New Roman"/>
          <w:b/>
          <w:color w:val="000000"/>
          <w:sz w:val="24"/>
          <w:szCs w:val="24"/>
          <w:lang w:eastAsia="it-IT"/>
        </w:rPr>
        <w:t>Tab</w:t>
      </w:r>
      <w:proofErr w:type="spellEnd"/>
      <w:r w:rsidRPr="009E4894">
        <w:rPr>
          <w:rFonts w:ascii="Times New Roman" w:eastAsia="Times New Roman" w:hAnsi="Times New Roman" w:cs="Times New Roman"/>
          <w:b/>
          <w:color w:val="000000"/>
          <w:sz w:val="24"/>
          <w:szCs w:val="24"/>
          <w:lang w:eastAsia="it-IT"/>
        </w:rPr>
        <w:t>. 1</w:t>
      </w:r>
      <w:r>
        <w:rPr>
          <w:rFonts w:ascii="Times New Roman" w:eastAsia="Times New Roman" w:hAnsi="Times New Roman" w:cs="Times New Roman"/>
          <w:b/>
          <w:color w:val="000000"/>
          <w:sz w:val="24"/>
          <w:szCs w:val="24"/>
          <w:lang w:eastAsia="it-IT"/>
        </w:rPr>
        <w:t>6</w:t>
      </w:r>
      <w:r w:rsidRPr="009E4894">
        <w:rPr>
          <w:rFonts w:ascii="Times New Roman" w:eastAsia="Times New Roman" w:hAnsi="Times New Roman" w:cs="Times New Roman"/>
          <w:b/>
          <w:color w:val="000000"/>
          <w:sz w:val="24"/>
          <w:szCs w:val="24"/>
          <w:lang w:eastAsia="it-IT"/>
        </w:rPr>
        <w:t xml:space="preserve"> – Manutenzion</w:t>
      </w:r>
      <w:r w:rsidR="002C4FE4">
        <w:rPr>
          <w:rFonts w:ascii="Times New Roman" w:eastAsia="Times New Roman" w:hAnsi="Times New Roman" w:cs="Times New Roman"/>
          <w:b/>
          <w:color w:val="000000"/>
          <w:sz w:val="24"/>
          <w:szCs w:val="24"/>
          <w:lang w:eastAsia="it-IT"/>
        </w:rPr>
        <w:t>e</w:t>
      </w:r>
      <w:r w:rsidRPr="009E4894">
        <w:rPr>
          <w:rFonts w:ascii="Times New Roman" w:eastAsia="Times New Roman" w:hAnsi="Times New Roman" w:cs="Times New Roman"/>
          <w:b/>
          <w:color w:val="000000"/>
          <w:sz w:val="24"/>
          <w:szCs w:val="24"/>
          <w:lang w:eastAsia="it-IT"/>
        </w:rPr>
        <w:t xml:space="preserve"> ordinaria immobili e impianti</w:t>
      </w:r>
    </w:p>
    <w:p w14:paraId="4D043701" w14:textId="0AB0D402" w:rsidR="00600D30" w:rsidRDefault="00CF57E5" w:rsidP="00600D30">
      <w:pPr>
        <w:spacing w:after="0" w:line="360" w:lineRule="auto"/>
        <w:jc w:val="center"/>
        <w:rPr>
          <w:rFonts w:ascii="Times New Roman" w:eastAsia="Times New Roman" w:hAnsi="Times New Roman" w:cs="Times New Roman"/>
          <w:b/>
          <w:color w:val="000000"/>
          <w:sz w:val="24"/>
          <w:szCs w:val="24"/>
          <w:lang w:eastAsia="it-IT"/>
        </w:rPr>
      </w:pPr>
      <w:r w:rsidRPr="00CF57E5">
        <w:rPr>
          <w:noProof/>
          <w:lang w:eastAsia="it-IT"/>
        </w:rPr>
        <w:drawing>
          <wp:inline distT="0" distB="0" distL="0" distR="0" wp14:anchorId="7D89BFFB" wp14:editId="32448BB8">
            <wp:extent cx="3627120" cy="411480"/>
            <wp:effectExtent l="0" t="0" r="0" b="762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7120" cy="411480"/>
                    </a:xfrm>
                    <a:prstGeom prst="rect">
                      <a:avLst/>
                    </a:prstGeom>
                    <a:noFill/>
                    <a:ln>
                      <a:noFill/>
                    </a:ln>
                  </pic:spPr>
                </pic:pic>
              </a:graphicData>
            </a:graphic>
          </wp:inline>
        </w:drawing>
      </w:r>
    </w:p>
    <w:p w14:paraId="35BEF642" w14:textId="3F7F55CC" w:rsidR="00600D30" w:rsidRPr="009E4894" w:rsidRDefault="00CF57E5" w:rsidP="00600D30">
      <w:pPr>
        <w:spacing w:after="0" w:line="36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3382730A" wp14:editId="6F7FB2B5">
            <wp:extent cx="3710973" cy="2198720"/>
            <wp:effectExtent l="0" t="0" r="381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963" cy="2219451"/>
                    </a:xfrm>
                    <a:prstGeom prst="rect">
                      <a:avLst/>
                    </a:prstGeom>
                    <a:noFill/>
                  </pic:spPr>
                </pic:pic>
              </a:graphicData>
            </a:graphic>
          </wp:inline>
        </w:drawing>
      </w:r>
    </w:p>
    <w:p w14:paraId="76E2C688" w14:textId="77777777" w:rsidR="00A954A8" w:rsidRDefault="00A954A8"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02D1BC47" w14:textId="77777777" w:rsidR="00A954A8" w:rsidRDefault="00A954A8"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69DD33A5" w14:textId="3E0C76F2" w:rsidR="006B092E" w:rsidRDefault="00600D30"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9E4894">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9E4894">
        <w:rPr>
          <w:rFonts w:ascii="Times New Roman" w:eastAsia="Times New Roman" w:hAnsi="Times New Roman" w:cs="Times New Roman"/>
          <w:color w:val="000000"/>
          <w:sz w:val="24"/>
          <w:szCs w:val="24"/>
          <w:lang w:eastAsia="it-IT"/>
        </w:rPr>
        <w:t>impegnato per facchinaggio e pulizie nel 202</w:t>
      </w:r>
      <w:r>
        <w:rPr>
          <w:rFonts w:ascii="Times New Roman" w:eastAsia="Times New Roman" w:hAnsi="Times New Roman" w:cs="Times New Roman"/>
          <w:color w:val="000000"/>
          <w:sz w:val="24"/>
          <w:szCs w:val="24"/>
          <w:lang w:eastAsia="it-IT"/>
        </w:rPr>
        <w:t>2</w:t>
      </w:r>
      <w:r w:rsidRPr="009E4894">
        <w:rPr>
          <w:rFonts w:ascii="Times New Roman" w:eastAsia="Times New Roman" w:hAnsi="Times New Roman" w:cs="Times New Roman"/>
          <w:color w:val="000000"/>
          <w:sz w:val="24"/>
          <w:szCs w:val="24"/>
          <w:lang w:eastAsia="it-IT"/>
        </w:rPr>
        <w:t xml:space="preserve"> presenta </w:t>
      </w:r>
      <w:bookmarkStart w:id="13" w:name="_Hlk102905882"/>
      <w:r w:rsidRPr="009E4894">
        <w:rPr>
          <w:rFonts w:ascii="Times New Roman" w:eastAsia="Times New Roman" w:hAnsi="Times New Roman" w:cs="Times New Roman"/>
          <w:color w:val="000000"/>
          <w:sz w:val="24"/>
          <w:szCs w:val="24"/>
          <w:lang w:eastAsia="it-IT"/>
        </w:rPr>
        <w:t xml:space="preserve">un aumento complessivo di euro </w:t>
      </w:r>
      <w:r>
        <w:rPr>
          <w:rFonts w:ascii="Times New Roman" w:eastAsia="Times New Roman" w:hAnsi="Times New Roman" w:cs="Times New Roman"/>
          <w:color w:val="000000"/>
          <w:sz w:val="24"/>
          <w:szCs w:val="24"/>
          <w:lang w:eastAsia="it-IT"/>
        </w:rPr>
        <w:t>171.544,49</w:t>
      </w:r>
      <w:r w:rsidR="001668C2">
        <w:rPr>
          <w:rFonts w:ascii="Times New Roman" w:eastAsia="Times New Roman" w:hAnsi="Times New Roman" w:cs="Times New Roman"/>
          <w:color w:val="000000"/>
          <w:sz w:val="24"/>
          <w:szCs w:val="24"/>
          <w:lang w:eastAsia="it-IT"/>
        </w:rPr>
        <w:t>,</w:t>
      </w:r>
      <w:r w:rsidRPr="009E4894">
        <w:rPr>
          <w:rFonts w:ascii="Times New Roman" w:eastAsia="Times New Roman" w:hAnsi="Times New Roman" w:cs="Times New Roman"/>
          <w:color w:val="000000"/>
          <w:sz w:val="24"/>
          <w:szCs w:val="24"/>
          <w:lang w:eastAsia="it-IT"/>
        </w:rPr>
        <w:t xml:space="preserve"> passando da euro 4.936.362,32</w:t>
      </w:r>
      <w:r>
        <w:rPr>
          <w:rFonts w:ascii="Times New Roman" w:eastAsia="Times New Roman" w:hAnsi="Times New Roman" w:cs="Times New Roman"/>
          <w:color w:val="000000"/>
          <w:sz w:val="24"/>
          <w:szCs w:val="24"/>
          <w:lang w:eastAsia="it-IT"/>
        </w:rPr>
        <w:t xml:space="preserve"> </w:t>
      </w:r>
      <w:r w:rsidR="009F77D1">
        <w:rPr>
          <w:rFonts w:ascii="Times New Roman" w:eastAsia="Times New Roman" w:hAnsi="Times New Roman" w:cs="Times New Roman"/>
          <w:color w:val="000000"/>
          <w:sz w:val="24"/>
          <w:szCs w:val="24"/>
          <w:lang w:eastAsia="it-IT"/>
        </w:rPr>
        <w:t>a euro</w:t>
      </w:r>
      <w:r w:rsidRPr="009E4894">
        <w:rPr>
          <w:rFonts w:ascii="Times New Roman" w:eastAsia="Times New Roman" w:hAnsi="Times New Roman" w:cs="Times New Roman"/>
          <w:color w:val="000000"/>
          <w:sz w:val="24"/>
          <w:szCs w:val="24"/>
          <w:lang w:eastAsia="it-IT"/>
        </w:rPr>
        <w:t xml:space="preserve"> </w:t>
      </w:r>
      <w:bookmarkEnd w:id="13"/>
      <w:r>
        <w:rPr>
          <w:rFonts w:ascii="Times New Roman" w:eastAsia="Times New Roman" w:hAnsi="Times New Roman" w:cs="Times New Roman"/>
          <w:color w:val="000000"/>
          <w:sz w:val="24"/>
          <w:szCs w:val="24"/>
          <w:lang w:eastAsia="it-IT"/>
        </w:rPr>
        <w:t>5.107.906,81</w:t>
      </w:r>
      <w:r w:rsidR="006B092E">
        <w:rPr>
          <w:rFonts w:ascii="Times New Roman" w:eastAsia="Times New Roman" w:hAnsi="Times New Roman" w:cs="Times New Roman"/>
          <w:color w:val="000000"/>
          <w:sz w:val="24"/>
          <w:szCs w:val="24"/>
          <w:lang w:eastAsia="it-IT"/>
        </w:rPr>
        <w:t xml:space="preserve"> </w:t>
      </w:r>
      <w:r w:rsidR="006B092E" w:rsidRPr="009E4894">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cfr. </w:t>
      </w:r>
      <w:proofErr w:type="spellStart"/>
      <w:r w:rsidR="006B092E" w:rsidRPr="009E4894">
        <w:rPr>
          <w:rFonts w:ascii="Times New Roman" w:eastAsia="Times New Roman" w:hAnsi="Times New Roman" w:cs="Times New Roman"/>
          <w:color w:val="000000"/>
          <w:sz w:val="24"/>
          <w:szCs w:val="24"/>
          <w:lang w:eastAsia="it-IT"/>
        </w:rPr>
        <w:t>Tab</w:t>
      </w:r>
      <w:proofErr w:type="spellEnd"/>
      <w:r w:rsidR="006B092E" w:rsidRPr="009E4894">
        <w:rPr>
          <w:rFonts w:ascii="Times New Roman" w:eastAsia="Times New Roman" w:hAnsi="Times New Roman" w:cs="Times New Roman"/>
          <w:color w:val="000000"/>
          <w:sz w:val="24"/>
          <w:szCs w:val="24"/>
          <w:lang w:eastAsia="it-IT"/>
        </w:rPr>
        <w:t>. 1</w:t>
      </w:r>
      <w:r w:rsidR="006B092E">
        <w:rPr>
          <w:rFonts w:ascii="Times New Roman" w:eastAsia="Times New Roman" w:hAnsi="Times New Roman" w:cs="Times New Roman"/>
          <w:color w:val="000000"/>
          <w:sz w:val="24"/>
          <w:szCs w:val="24"/>
          <w:lang w:eastAsia="it-IT"/>
        </w:rPr>
        <w:t>7</w:t>
      </w:r>
      <w:r w:rsidR="006B092E" w:rsidRPr="009E4894">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 xml:space="preserve">, </w:t>
      </w:r>
      <w:bookmarkStart w:id="14" w:name="_Hlk130373780"/>
      <w:r w:rsidRPr="000B42E4">
        <w:rPr>
          <w:rFonts w:ascii="Times New Roman" w:eastAsia="Times New Roman" w:hAnsi="Times New Roman" w:cs="Times New Roman"/>
          <w:color w:val="000000"/>
          <w:sz w:val="24"/>
          <w:szCs w:val="24"/>
          <w:lang w:eastAsia="it-IT"/>
        </w:rPr>
        <w:t>dovuto</w:t>
      </w:r>
      <w:r>
        <w:rPr>
          <w:rFonts w:ascii="Times New Roman" w:eastAsia="Times New Roman" w:hAnsi="Times New Roman" w:cs="Times New Roman"/>
          <w:color w:val="000000"/>
          <w:sz w:val="24"/>
          <w:szCs w:val="24"/>
          <w:lang w:eastAsia="it-IT"/>
        </w:rPr>
        <w:t xml:space="preserve">, relativamente ai servizi di pulizia, </w:t>
      </w:r>
      <w:r w:rsidR="00775234" w:rsidRPr="000B42E4">
        <w:rPr>
          <w:rFonts w:ascii="Times New Roman" w:eastAsia="Times New Roman" w:hAnsi="Times New Roman" w:cs="Times New Roman"/>
          <w:color w:val="000000"/>
          <w:sz w:val="24"/>
          <w:szCs w:val="24"/>
          <w:lang w:eastAsia="it-IT"/>
        </w:rPr>
        <w:t>a</w:t>
      </w:r>
      <w:r w:rsidR="00775234">
        <w:rPr>
          <w:rFonts w:ascii="Times New Roman" w:eastAsia="Times New Roman" w:hAnsi="Times New Roman" w:cs="Times New Roman"/>
          <w:color w:val="000000"/>
          <w:sz w:val="24"/>
          <w:szCs w:val="24"/>
          <w:lang w:eastAsia="it-IT"/>
        </w:rPr>
        <w:t>l</w:t>
      </w:r>
      <w:r w:rsidR="00775234" w:rsidRPr="000B42E4">
        <w:rPr>
          <w:rFonts w:ascii="Times New Roman" w:eastAsia="Times New Roman" w:hAnsi="Times New Roman" w:cs="Times New Roman"/>
          <w:color w:val="000000"/>
          <w:sz w:val="24"/>
          <w:szCs w:val="24"/>
          <w:lang w:eastAsia="it-IT"/>
        </w:rPr>
        <w:t>l</w:t>
      </w:r>
      <w:r w:rsidR="00775234">
        <w:rPr>
          <w:rFonts w:ascii="Times New Roman" w:eastAsia="Times New Roman" w:hAnsi="Times New Roman" w:cs="Times New Roman"/>
          <w:color w:val="000000"/>
          <w:sz w:val="24"/>
          <w:szCs w:val="24"/>
          <w:lang w:eastAsia="it-IT"/>
        </w:rPr>
        <w:t>’</w:t>
      </w:r>
      <w:r w:rsidR="00775234" w:rsidRPr="000B42E4">
        <w:rPr>
          <w:rFonts w:ascii="Times New Roman" w:eastAsia="Times New Roman" w:hAnsi="Times New Roman" w:cs="Times New Roman"/>
          <w:color w:val="000000"/>
          <w:sz w:val="24"/>
          <w:szCs w:val="24"/>
          <w:lang w:eastAsia="it-IT"/>
        </w:rPr>
        <w:t>applicazione del</w:t>
      </w:r>
      <w:r w:rsidR="00775234">
        <w:rPr>
          <w:rFonts w:ascii="Times New Roman" w:eastAsia="Times New Roman" w:hAnsi="Times New Roman" w:cs="Times New Roman"/>
          <w:color w:val="000000"/>
          <w:sz w:val="24"/>
          <w:szCs w:val="24"/>
          <w:lang w:eastAsia="it-IT"/>
        </w:rPr>
        <w:t xml:space="preserve"> citato </w:t>
      </w:r>
      <w:r w:rsidR="00775234" w:rsidRPr="000B42E4">
        <w:rPr>
          <w:rFonts w:ascii="Times New Roman" w:eastAsia="Times New Roman" w:hAnsi="Times New Roman" w:cs="Times New Roman"/>
          <w:color w:val="000000"/>
          <w:sz w:val="24"/>
          <w:szCs w:val="24"/>
          <w:lang w:eastAsia="it-IT"/>
        </w:rPr>
        <w:t xml:space="preserve">indice ISTAT </w:t>
      </w:r>
      <w:r w:rsidR="00775234">
        <w:rPr>
          <w:rFonts w:ascii="Times New Roman" w:eastAsia="Times New Roman" w:hAnsi="Times New Roman" w:cs="Times New Roman"/>
          <w:color w:val="000000"/>
          <w:sz w:val="24"/>
          <w:szCs w:val="24"/>
          <w:lang w:eastAsia="it-IT"/>
        </w:rPr>
        <w:t xml:space="preserve">a valere sui canoni </w:t>
      </w:r>
      <w:r>
        <w:rPr>
          <w:rFonts w:ascii="Times New Roman" w:eastAsia="Times New Roman" w:hAnsi="Times New Roman" w:cs="Times New Roman"/>
          <w:color w:val="000000"/>
          <w:sz w:val="24"/>
          <w:szCs w:val="24"/>
          <w:lang w:eastAsia="it-IT"/>
        </w:rPr>
        <w:t>e, per il servizio di facchinaggio, al maggior numero di servizi attivati anche in relazione all</w:t>
      </w:r>
      <w:r w:rsidR="00877AAF">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allestimento delle nuove sedi di via Alessandria n.</w:t>
      </w:r>
      <w:r w:rsidR="001668C2">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220, via della Panetteria n.</w:t>
      </w:r>
      <w:r w:rsidR="001668C2">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18 e piazza Colonna n.</w:t>
      </w:r>
      <w:r w:rsidR="001668C2">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366 (Palazzo </w:t>
      </w:r>
      <w:proofErr w:type="spellStart"/>
      <w:r>
        <w:rPr>
          <w:rFonts w:ascii="Times New Roman" w:eastAsia="Times New Roman" w:hAnsi="Times New Roman" w:cs="Times New Roman"/>
          <w:color w:val="000000"/>
          <w:sz w:val="24"/>
          <w:szCs w:val="24"/>
          <w:lang w:eastAsia="it-IT"/>
        </w:rPr>
        <w:t>Wedekind</w:t>
      </w:r>
      <w:proofErr w:type="spellEnd"/>
      <w:r>
        <w:rPr>
          <w:rFonts w:ascii="Times New Roman" w:eastAsia="Times New Roman" w:hAnsi="Times New Roman" w:cs="Times New Roman"/>
          <w:color w:val="000000"/>
          <w:sz w:val="24"/>
          <w:szCs w:val="24"/>
          <w:lang w:eastAsia="it-IT"/>
        </w:rPr>
        <w:t>).</w:t>
      </w:r>
    </w:p>
    <w:p w14:paraId="79FA1418" w14:textId="43107820" w:rsidR="00600D30" w:rsidRPr="004E20A4" w:rsidRDefault="00600D30" w:rsidP="00600D30">
      <w:pPr>
        <w:tabs>
          <w:tab w:val="left" w:pos="1965"/>
        </w:tabs>
        <w:spacing w:after="0" w:line="360" w:lineRule="auto"/>
        <w:jc w:val="both"/>
        <w:rPr>
          <w:rFonts w:ascii="Times New Roman" w:eastAsia="Times New Roman" w:hAnsi="Times New Roman" w:cs="Times New Roman"/>
          <w:color w:val="000000"/>
          <w:sz w:val="10"/>
          <w:szCs w:val="24"/>
          <w:lang w:eastAsia="it-IT"/>
        </w:rPr>
      </w:pPr>
      <w:r>
        <w:rPr>
          <w:rFonts w:ascii="Times New Roman" w:eastAsia="Times New Roman" w:hAnsi="Times New Roman" w:cs="Times New Roman"/>
          <w:color w:val="000000"/>
          <w:sz w:val="24"/>
          <w:szCs w:val="24"/>
          <w:lang w:eastAsia="it-IT"/>
        </w:rPr>
        <w:t xml:space="preserve"> </w:t>
      </w:r>
    </w:p>
    <w:bookmarkEnd w:id="14"/>
    <w:p w14:paraId="3958164F" w14:textId="77777777" w:rsidR="00600D30" w:rsidRDefault="00600D30"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roofErr w:type="spellStart"/>
      <w:r w:rsidRPr="009E4894">
        <w:rPr>
          <w:rFonts w:ascii="Times New Roman" w:eastAsia="Times New Roman" w:hAnsi="Times New Roman" w:cs="Times New Roman"/>
          <w:b/>
          <w:color w:val="000000"/>
          <w:sz w:val="24"/>
          <w:szCs w:val="24"/>
          <w:lang w:eastAsia="it-IT"/>
        </w:rPr>
        <w:t>Tab</w:t>
      </w:r>
      <w:proofErr w:type="spellEnd"/>
      <w:r w:rsidRPr="009E4894">
        <w:rPr>
          <w:rFonts w:ascii="Times New Roman" w:eastAsia="Times New Roman" w:hAnsi="Times New Roman" w:cs="Times New Roman"/>
          <w:b/>
          <w:color w:val="000000"/>
          <w:sz w:val="24"/>
          <w:szCs w:val="24"/>
          <w:lang w:eastAsia="it-IT"/>
        </w:rPr>
        <w:t>. 1</w:t>
      </w:r>
      <w:r>
        <w:rPr>
          <w:rFonts w:ascii="Times New Roman" w:eastAsia="Times New Roman" w:hAnsi="Times New Roman" w:cs="Times New Roman"/>
          <w:b/>
          <w:color w:val="000000"/>
          <w:sz w:val="24"/>
          <w:szCs w:val="24"/>
          <w:lang w:eastAsia="it-IT"/>
        </w:rPr>
        <w:t>7</w:t>
      </w:r>
      <w:r w:rsidRPr="009E4894">
        <w:rPr>
          <w:rFonts w:ascii="Times New Roman" w:eastAsia="Times New Roman" w:hAnsi="Times New Roman" w:cs="Times New Roman"/>
          <w:b/>
          <w:color w:val="000000"/>
          <w:sz w:val="24"/>
          <w:szCs w:val="24"/>
          <w:lang w:eastAsia="it-IT"/>
        </w:rPr>
        <w:t xml:space="preserve"> – Facchinaggio e pulizie</w:t>
      </w:r>
    </w:p>
    <w:p w14:paraId="035CA9AC" w14:textId="17C723E1" w:rsidR="00600D30" w:rsidRPr="009E4894" w:rsidRDefault="00CF57E5"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r w:rsidRPr="00CF57E5">
        <w:rPr>
          <w:noProof/>
          <w:lang w:eastAsia="it-IT"/>
        </w:rPr>
        <w:drawing>
          <wp:inline distT="0" distB="0" distL="0" distR="0" wp14:anchorId="6C5F3544" wp14:editId="64C0EFFE">
            <wp:extent cx="3453774" cy="371257"/>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8483" cy="378213"/>
                    </a:xfrm>
                    <a:prstGeom prst="rect">
                      <a:avLst/>
                    </a:prstGeom>
                    <a:noFill/>
                    <a:ln>
                      <a:noFill/>
                    </a:ln>
                  </pic:spPr>
                </pic:pic>
              </a:graphicData>
            </a:graphic>
          </wp:inline>
        </w:drawing>
      </w:r>
    </w:p>
    <w:p w14:paraId="14E5DE37" w14:textId="1B60D4A5" w:rsidR="00600D30" w:rsidRDefault="00CF57E5"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3A037620" wp14:editId="309CCCB7">
            <wp:extent cx="3579149" cy="2165854"/>
            <wp:effectExtent l="0" t="0" r="2540" b="635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642" cy="2178860"/>
                    </a:xfrm>
                    <a:prstGeom prst="rect">
                      <a:avLst/>
                    </a:prstGeom>
                    <a:noFill/>
                  </pic:spPr>
                </pic:pic>
              </a:graphicData>
            </a:graphic>
          </wp:inline>
        </w:drawing>
      </w:r>
    </w:p>
    <w:p w14:paraId="6CCA820C" w14:textId="3D66EEA2" w:rsidR="00CF57E5" w:rsidRDefault="00CF57E5"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
    <w:p w14:paraId="30DD993D" w14:textId="330BD7A2" w:rsidR="006B092E" w:rsidRDefault="006B092E"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
    <w:p w14:paraId="685C3A1D" w14:textId="5F6CBCF4" w:rsidR="006B092E" w:rsidRDefault="006B092E"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
    <w:p w14:paraId="6999C7A3" w14:textId="77777777" w:rsidR="004E20A4" w:rsidRDefault="004E20A4"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
    <w:p w14:paraId="74B46C91" w14:textId="5D718417" w:rsidR="00600D30" w:rsidRPr="009E4894" w:rsidRDefault="00CF57E5" w:rsidP="00600D30">
      <w:pPr>
        <w:tabs>
          <w:tab w:val="left" w:pos="1890"/>
        </w:tabs>
        <w:spacing w:after="0" w:line="360" w:lineRule="auto"/>
        <w:jc w:val="center"/>
        <w:rPr>
          <w:rFonts w:ascii="Times New Roman" w:eastAsia="Times New Roman" w:hAnsi="Times New Roman" w:cs="Times New Roman"/>
          <w:b/>
          <w:color w:val="000000"/>
          <w:sz w:val="24"/>
          <w:szCs w:val="24"/>
          <w:lang w:eastAsia="it-IT"/>
        </w:rPr>
      </w:pPr>
      <w:r w:rsidRPr="00CF57E5">
        <w:rPr>
          <w:noProof/>
          <w:lang w:eastAsia="it-IT"/>
        </w:rPr>
        <w:lastRenderedPageBreak/>
        <w:drawing>
          <wp:inline distT="0" distB="0" distL="0" distR="0" wp14:anchorId="5577EF31" wp14:editId="030464D1">
            <wp:extent cx="3501444" cy="376381"/>
            <wp:effectExtent l="0" t="0" r="3810" b="508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2716" cy="380817"/>
                    </a:xfrm>
                    <a:prstGeom prst="rect">
                      <a:avLst/>
                    </a:prstGeom>
                    <a:noFill/>
                    <a:ln>
                      <a:noFill/>
                    </a:ln>
                  </pic:spPr>
                </pic:pic>
              </a:graphicData>
            </a:graphic>
          </wp:inline>
        </w:drawing>
      </w:r>
    </w:p>
    <w:p w14:paraId="48B5DC6E" w14:textId="2C49842F" w:rsidR="00600D30" w:rsidRPr="009E4894" w:rsidRDefault="00CF57E5" w:rsidP="00600D30">
      <w:pPr>
        <w:tabs>
          <w:tab w:val="left" w:pos="1890"/>
        </w:tabs>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1AE93CFD" wp14:editId="6CD33F5C">
            <wp:extent cx="3587816" cy="2171099"/>
            <wp:effectExtent l="0" t="0" r="0" b="63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2414" cy="2185984"/>
                    </a:xfrm>
                    <a:prstGeom prst="rect">
                      <a:avLst/>
                    </a:prstGeom>
                    <a:noFill/>
                  </pic:spPr>
                </pic:pic>
              </a:graphicData>
            </a:graphic>
          </wp:inline>
        </w:drawing>
      </w:r>
    </w:p>
    <w:p w14:paraId="03D63537" w14:textId="77777777" w:rsidR="00600D30" w:rsidRPr="009E4894" w:rsidRDefault="00600D30"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
    <w:p w14:paraId="74F7AE7B" w14:textId="77777777" w:rsidR="009802BE" w:rsidRDefault="009802BE" w:rsidP="00600D30">
      <w:pPr>
        <w:spacing w:after="0" w:line="360" w:lineRule="auto"/>
        <w:jc w:val="both"/>
        <w:rPr>
          <w:rFonts w:ascii="Times New Roman" w:eastAsia="Times New Roman" w:hAnsi="Times New Roman" w:cs="Times New Roman"/>
          <w:color w:val="000000"/>
          <w:sz w:val="24"/>
          <w:szCs w:val="24"/>
          <w:lang w:eastAsia="it-IT"/>
        </w:rPr>
      </w:pPr>
    </w:p>
    <w:p w14:paraId="4BC43CDF" w14:textId="6B6A3073" w:rsidR="00600D30" w:rsidRDefault="00600D30" w:rsidP="00600D30">
      <w:pPr>
        <w:spacing w:after="0" w:line="360" w:lineRule="auto"/>
        <w:jc w:val="both"/>
        <w:rPr>
          <w:rFonts w:ascii="Times New Roman" w:eastAsia="Times New Roman" w:hAnsi="Times New Roman" w:cs="Times New Roman"/>
          <w:sz w:val="24"/>
          <w:szCs w:val="24"/>
          <w:lang w:eastAsia="it-IT"/>
        </w:rPr>
      </w:pPr>
      <w:r w:rsidRPr="009E4894">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9E4894">
        <w:rPr>
          <w:rFonts w:ascii="Times New Roman" w:eastAsia="Times New Roman" w:hAnsi="Times New Roman" w:cs="Times New Roman"/>
          <w:color w:val="000000"/>
          <w:sz w:val="24"/>
          <w:szCs w:val="24"/>
          <w:lang w:eastAsia="it-IT"/>
        </w:rPr>
        <w:t>impegnato per il funzionamento delle strutture di missione e altre strutture di supporto risulta</w:t>
      </w:r>
      <w:r>
        <w:rPr>
          <w:rFonts w:ascii="Times New Roman" w:eastAsia="Times New Roman" w:hAnsi="Times New Roman" w:cs="Times New Roman"/>
          <w:color w:val="000000"/>
          <w:sz w:val="24"/>
          <w:szCs w:val="24"/>
          <w:lang w:eastAsia="it-IT"/>
        </w:rPr>
        <w:t xml:space="preserve"> </w:t>
      </w:r>
      <w:r w:rsidRPr="009E4894">
        <w:rPr>
          <w:rFonts w:ascii="Times New Roman" w:eastAsia="Times New Roman" w:hAnsi="Times New Roman" w:cs="Times New Roman"/>
          <w:color w:val="000000"/>
          <w:sz w:val="24"/>
          <w:szCs w:val="24"/>
          <w:lang w:eastAsia="it-IT"/>
        </w:rPr>
        <w:t xml:space="preserve">in </w:t>
      </w:r>
      <w:r w:rsidR="00775234">
        <w:rPr>
          <w:rFonts w:ascii="Times New Roman" w:eastAsia="Times New Roman" w:hAnsi="Times New Roman" w:cs="Times New Roman"/>
          <w:color w:val="000000"/>
          <w:sz w:val="24"/>
          <w:szCs w:val="24"/>
          <w:lang w:eastAsia="it-IT"/>
        </w:rPr>
        <w:t xml:space="preserve">lieve </w:t>
      </w:r>
      <w:r w:rsidRPr="009E4894">
        <w:rPr>
          <w:rFonts w:ascii="Times New Roman" w:eastAsia="Times New Roman" w:hAnsi="Times New Roman" w:cs="Times New Roman"/>
          <w:color w:val="000000"/>
          <w:sz w:val="24"/>
          <w:szCs w:val="24"/>
          <w:lang w:eastAsia="it-IT"/>
        </w:rPr>
        <w:t xml:space="preserve">aumento di euro </w:t>
      </w:r>
      <w:r>
        <w:rPr>
          <w:rFonts w:ascii="Times New Roman" w:eastAsia="Times New Roman" w:hAnsi="Times New Roman" w:cs="Times New Roman"/>
          <w:color w:val="000000"/>
          <w:sz w:val="24"/>
          <w:szCs w:val="24"/>
          <w:lang w:eastAsia="it-IT"/>
        </w:rPr>
        <w:t>11.260,01</w:t>
      </w:r>
      <w:r w:rsidRPr="009E4894">
        <w:rPr>
          <w:rFonts w:ascii="Times New Roman" w:eastAsia="Times New Roman" w:hAnsi="Times New Roman" w:cs="Times New Roman"/>
          <w:color w:val="000000"/>
          <w:sz w:val="24"/>
          <w:szCs w:val="24"/>
          <w:lang w:eastAsia="it-IT"/>
        </w:rPr>
        <w:t xml:space="preserve">, passando da euro </w:t>
      </w:r>
      <w:r>
        <w:rPr>
          <w:rFonts w:ascii="Times New Roman" w:eastAsia="Times New Roman" w:hAnsi="Times New Roman" w:cs="Times New Roman"/>
          <w:color w:val="000000"/>
          <w:sz w:val="24"/>
          <w:szCs w:val="24"/>
          <w:lang w:eastAsia="it-IT"/>
        </w:rPr>
        <w:t>1.081.921,63</w:t>
      </w:r>
      <w:r w:rsidRPr="009E4894">
        <w:rPr>
          <w:rFonts w:ascii="Times New Roman" w:eastAsia="Times New Roman" w:hAnsi="Times New Roman" w:cs="Times New Roman"/>
          <w:color w:val="000000"/>
          <w:sz w:val="24"/>
          <w:szCs w:val="24"/>
          <w:lang w:eastAsia="it-IT"/>
        </w:rPr>
        <w:t xml:space="preserve"> </w:t>
      </w:r>
      <w:r w:rsidR="009F77D1">
        <w:rPr>
          <w:rFonts w:ascii="Times New Roman" w:eastAsia="Times New Roman" w:hAnsi="Times New Roman" w:cs="Times New Roman"/>
          <w:color w:val="000000"/>
          <w:sz w:val="24"/>
          <w:szCs w:val="24"/>
          <w:lang w:eastAsia="it-IT"/>
        </w:rPr>
        <w:t>a euro</w:t>
      </w:r>
      <w:r w:rsidRPr="009E4894">
        <w:rPr>
          <w:rFonts w:ascii="Times New Roman" w:eastAsia="Times New Roman" w:hAnsi="Times New Roman" w:cs="Times New Roman"/>
          <w:color w:val="000000"/>
          <w:sz w:val="24"/>
          <w:szCs w:val="24"/>
          <w:lang w:eastAsia="it-IT"/>
        </w:rPr>
        <w:t xml:space="preserve"> </w:t>
      </w:r>
      <w:bookmarkStart w:id="15" w:name="_Hlk128748408"/>
      <w:r>
        <w:rPr>
          <w:rFonts w:ascii="Times New Roman" w:eastAsia="Times New Roman" w:hAnsi="Times New Roman" w:cs="Times New Roman"/>
          <w:color w:val="000000"/>
          <w:sz w:val="24"/>
          <w:szCs w:val="24"/>
          <w:lang w:eastAsia="it-IT"/>
        </w:rPr>
        <w:t>1.093.181,64</w:t>
      </w:r>
      <w:r w:rsidR="006B092E">
        <w:rPr>
          <w:rFonts w:ascii="Times New Roman" w:eastAsia="Times New Roman" w:hAnsi="Times New Roman" w:cs="Times New Roman"/>
          <w:color w:val="000000"/>
          <w:sz w:val="24"/>
          <w:szCs w:val="24"/>
          <w:lang w:eastAsia="it-IT"/>
        </w:rPr>
        <w:t xml:space="preserve"> </w:t>
      </w:r>
      <w:r w:rsidR="006B092E" w:rsidRPr="006B092E">
        <w:rPr>
          <w:rFonts w:ascii="Times New Roman" w:eastAsia="Times New Roman" w:hAnsi="Times New Roman" w:cs="Times New Roman"/>
          <w:color w:val="000000"/>
          <w:sz w:val="24"/>
          <w:szCs w:val="24"/>
          <w:lang w:eastAsia="it-IT"/>
        </w:rPr>
        <w:t xml:space="preserve">(cfr. </w:t>
      </w:r>
      <w:proofErr w:type="spellStart"/>
      <w:r w:rsidR="006B092E" w:rsidRPr="006B092E">
        <w:rPr>
          <w:rFonts w:ascii="Times New Roman" w:eastAsia="Times New Roman" w:hAnsi="Times New Roman" w:cs="Times New Roman"/>
          <w:color w:val="000000"/>
          <w:sz w:val="24"/>
          <w:szCs w:val="24"/>
          <w:lang w:eastAsia="it-IT"/>
        </w:rPr>
        <w:t>Tab</w:t>
      </w:r>
      <w:proofErr w:type="spellEnd"/>
      <w:r w:rsidR="006B092E" w:rsidRPr="006B092E">
        <w:rPr>
          <w:rFonts w:ascii="Times New Roman" w:eastAsia="Times New Roman" w:hAnsi="Times New Roman" w:cs="Times New Roman"/>
          <w:color w:val="000000"/>
          <w:sz w:val="24"/>
          <w:szCs w:val="24"/>
          <w:lang w:eastAsia="it-IT"/>
        </w:rPr>
        <w:t>. 18)</w:t>
      </w:r>
      <w:r>
        <w:rPr>
          <w:rFonts w:ascii="Times New Roman" w:eastAsia="Times New Roman" w:hAnsi="Times New Roman" w:cs="Times New Roman"/>
          <w:color w:val="000000"/>
          <w:sz w:val="24"/>
          <w:szCs w:val="24"/>
          <w:lang w:eastAsia="it-IT"/>
        </w:rPr>
        <w:t xml:space="preserve">, </w:t>
      </w:r>
      <w:bookmarkEnd w:id="15"/>
      <w:r w:rsidRPr="00AB4AE3">
        <w:rPr>
          <w:rFonts w:ascii="Times New Roman" w:eastAsia="Times New Roman" w:hAnsi="Times New Roman" w:cs="Times New Roman"/>
          <w:color w:val="000000"/>
          <w:sz w:val="24"/>
          <w:szCs w:val="24"/>
          <w:lang w:eastAsia="it-IT"/>
        </w:rPr>
        <w:t xml:space="preserve">prevalentemente </w:t>
      </w:r>
      <w:r>
        <w:rPr>
          <w:rFonts w:ascii="Times New Roman" w:eastAsia="Times New Roman" w:hAnsi="Times New Roman" w:cs="Times New Roman"/>
          <w:color w:val="000000"/>
          <w:sz w:val="24"/>
          <w:szCs w:val="24"/>
          <w:lang w:eastAsia="it-IT"/>
        </w:rPr>
        <w:t xml:space="preserve">per </w:t>
      </w:r>
      <w:r w:rsidRPr="00AB4AE3">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AB4AE3">
        <w:rPr>
          <w:rFonts w:ascii="Times New Roman" w:eastAsia="Times New Roman" w:hAnsi="Times New Roman" w:cs="Times New Roman"/>
          <w:color w:val="000000"/>
          <w:sz w:val="24"/>
          <w:szCs w:val="24"/>
          <w:lang w:eastAsia="it-IT"/>
        </w:rPr>
        <w:t xml:space="preserve">aumento delle spese </w:t>
      </w:r>
      <w:r w:rsidRPr="00AB4AE3">
        <w:rPr>
          <w:rFonts w:ascii="Times New Roman" w:eastAsia="Times New Roman" w:hAnsi="Times New Roman" w:cs="Times New Roman"/>
          <w:sz w:val="24"/>
          <w:szCs w:val="24"/>
          <w:lang w:eastAsia="it-IT"/>
        </w:rPr>
        <w:t xml:space="preserve">per il Nucleo </w:t>
      </w:r>
      <w:r w:rsidR="001668C2" w:rsidRPr="001668C2">
        <w:rPr>
          <w:rFonts w:ascii="Times New Roman" w:eastAsia="Times New Roman" w:hAnsi="Times New Roman" w:cs="Times New Roman"/>
          <w:sz w:val="24"/>
          <w:szCs w:val="24"/>
          <w:lang w:eastAsia="it-IT"/>
        </w:rPr>
        <w:t xml:space="preserve">della </w:t>
      </w:r>
      <w:r w:rsidR="001668C2">
        <w:rPr>
          <w:rFonts w:ascii="Times New Roman" w:eastAsia="Times New Roman" w:hAnsi="Times New Roman" w:cs="Times New Roman"/>
          <w:sz w:val="24"/>
          <w:szCs w:val="24"/>
          <w:lang w:eastAsia="it-IT"/>
        </w:rPr>
        <w:t>C</w:t>
      </w:r>
      <w:r w:rsidRPr="00AB4AE3">
        <w:rPr>
          <w:rFonts w:ascii="Times New Roman" w:eastAsia="Times New Roman" w:hAnsi="Times New Roman" w:cs="Times New Roman"/>
          <w:sz w:val="24"/>
          <w:szCs w:val="24"/>
          <w:lang w:eastAsia="it-IT"/>
        </w:rPr>
        <w:t>oncretezza</w:t>
      </w:r>
      <w:r>
        <w:rPr>
          <w:rFonts w:ascii="Times New Roman" w:eastAsia="Times New Roman" w:hAnsi="Times New Roman" w:cs="Times New Roman"/>
          <w:sz w:val="24"/>
          <w:szCs w:val="24"/>
          <w:lang w:eastAsia="it-IT"/>
        </w:rPr>
        <w:t>, in parte compensato dalla diminuzione delle spese per il funzionamento dell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Unità per la valutazione della </w:t>
      </w:r>
      <w:r w:rsidRPr="0079571C">
        <w:rPr>
          <w:rFonts w:ascii="Times New Roman" w:eastAsia="Times New Roman" w:hAnsi="Times New Roman" w:cs="Times New Roman"/>
          <w:i/>
          <w:sz w:val="24"/>
          <w:szCs w:val="24"/>
          <w:lang w:eastAsia="it-IT"/>
        </w:rPr>
        <w:t>performance</w:t>
      </w:r>
      <w:r>
        <w:rPr>
          <w:rFonts w:ascii="Times New Roman" w:eastAsia="Times New Roman" w:hAnsi="Times New Roman" w:cs="Times New Roman"/>
          <w:sz w:val="24"/>
          <w:szCs w:val="24"/>
          <w:lang w:eastAsia="it-IT"/>
        </w:rPr>
        <w:t>.</w:t>
      </w:r>
    </w:p>
    <w:p w14:paraId="63D18BFC" w14:textId="77777777" w:rsidR="006B092E" w:rsidRPr="006B092E" w:rsidRDefault="006B092E" w:rsidP="00600D30">
      <w:pPr>
        <w:spacing w:after="0" w:line="360" w:lineRule="auto"/>
        <w:jc w:val="both"/>
        <w:rPr>
          <w:rFonts w:ascii="Times New Roman" w:eastAsia="Times New Roman" w:hAnsi="Times New Roman" w:cs="Times New Roman"/>
          <w:sz w:val="10"/>
          <w:szCs w:val="24"/>
          <w:lang w:eastAsia="it-IT"/>
        </w:rPr>
      </w:pPr>
    </w:p>
    <w:p w14:paraId="7AA70A89" w14:textId="7902CF81" w:rsidR="00600D30" w:rsidRPr="009E4894" w:rsidRDefault="00600D30" w:rsidP="00600D30">
      <w:pPr>
        <w:spacing w:after="0" w:line="360" w:lineRule="auto"/>
        <w:jc w:val="center"/>
        <w:rPr>
          <w:rFonts w:ascii="Times New Roman" w:eastAsia="Times New Roman" w:hAnsi="Times New Roman" w:cs="Times New Roman"/>
          <w:b/>
          <w:color w:val="000000"/>
          <w:sz w:val="24"/>
          <w:szCs w:val="24"/>
          <w:highlight w:val="green"/>
          <w:lang w:eastAsia="it-IT"/>
        </w:rPr>
      </w:pPr>
      <w:proofErr w:type="spellStart"/>
      <w:r w:rsidRPr="009E4894">
        <w:rPr>
          <w:rFonts w:ascii="Times New Roman" w:eastAsia="Times New Roman" w:hAnsi="Times New Roman" w:cs="Times New Roman"/>
          <w:b/>
          <w:color w:val="000000"/>
          <w:sz w:val="24"/>
          <w:szCs w:val="24"/>
          <w:lang w:eastAsia="it-IT"/>
        </w:rPr>
        <w:t>Tab</w:t>
      </w:r>
      <w:proofErr w:type="spellEnd"/>
      <w:r w:rsidRPr="009E4894">
        <w:rPr>
          <w:rFonts w:ascii="Times New Roman" w:eastAsia="Times New Roman" w:hAnsi="Times New Roman" w:cs="Times New Roman"/>
          <w:b/>
          <w:color w:val="000000"/>
          <w:sz w:val="24"/>
          <w:szCs w:val="24"/>
          <w:lang w:eastAsia="it-IT"/>
        </w:rPr>
        <w:t>. 1</w:t>
      </w:r>
      <w:r>
        <w:rPr>
          <w:rFonts w:ascii="Times New Roman" w:eastAsia="Times New Roman" w:hAnsi="Times New Roman" w:cs="Times New Roman"/>
          <w:b/>
          <w:color w:val="000000"/>
          <w:sz w:val="24"/>
          <w:szCs w:val="24"/>
          <w:lang w:eastAsia="it-IT"/>
        </w:rPr>
        <w:t>8</w:t>
      </w:r>
      <w:r w:rsidRPr="009E4894">
        <w:rPr>
          <w:rFonts w:ascii="Times New Roman" w:eastAsia="Times New Roman" w:hAnsi="Times New Roman" w:cs="Times New Roman"/>
          <w:b/>
          <w:color w:val="000000"/>
          <w:sz w:val="24"/>
          <w:szCs w:val="24"/>
          <w:lang w:eastAsia="it-IT"/>
        </w:rPr>
        <w:t xml:space="preserve"> – </w:t>
      </w:r>
      <w:bookmarkStart w:id="16" w:name="_Hlk66016246"/>
      <w:r w:rsidRPr="009E4894">
        <w:rPr>
          <w:rFonts w:ascii="Times New Roman" w:eastAsia="Times New Roman" w:hAnsi="Times New Roman" w:cs="Times New Roman"/>
          <w:b/>
          <w:color w:val="000000"/>
          <w:sz w:val="24"/>
          <w:szCs w:val="24"/>
          <w:lang w:eastAsia="it-IT"/>
        </w:rPr>
        <w:t>Funzionamento strutture di missione, strutture di supporto ai Commissari straordinari del Governo e altre strutture di supporto</w:t>
      </w:r>
      <w:bookmarkEnd w:id="16"/>
    </w:p>
    <w:p w14:paraId="06438396" w14:textId="4C28727D" w:rsidR="00600D30" w:rsidRDefault="00CF57E5" w:rsidP="00600D30">
      <w:pPr>
        <w:spacing w:after="0" w:line="360" w:lineRule="auto"/>
        <w:jc w:val="center"/>
        <w:rPr>
          <w:rFonts w:ascii="Times New Roman" w:eastAsia="Times New Roman" w:hAnsi="Times New Roman" w:cs="Times New Roman"/>
          <w:b/>
          <w:color w:val="000000"/>
          <w:sz w:val="24"/>
          <w:szCs w:val="24"/>
          <w:highlight w:val="green"/>
          <w:lang w:eastAsia="it-IT"/>
        </w:rPr>
      </w:pPr>
      <w:r w:rsidRPr="00CF57E5">
        <w:rPr>
          <w:noProof/>
          <w:lang w:eastAsia="it-IT"/>
        </w:rPr>
        <w:drawing>
          <wp:inline distT="0" distB="0" distL="0" distR="0" wp14:anchorId="28C63527" wp14:editId="65B884A7">
            <wp:extent cx="3384435" cy="489416"/>
            <wp:effectExtent l="0" t="0" r="0" b="635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6497" cy="494052"/>
                    </a:xfrm>
                    <a:prstGeom prst="rect">
                      <a:avLst/>
                    </a:prstGeom>
                    <a:noFill/>
                    <a:ln>
                      <a:noFill/>
                    </a:ln>
                  </pic:spPr>
                </pic:pic>
              </a:graphicData>
            </a:graphic>
          </wp:inline>
        </w:drawing>
      </w:r>
    </w:p>
    <w:p w14:paraId="671BCB43" w14:textId="18701A3C" w:rsidR="00600D30" w:rsidRPr="009E4894" w:rsidRDefault="00CF57E5" w:rsidP="00600D30">
      <w:pPr>
        <w:spacing w:after="0" w:line="360" w:lineRule="auto"/>
        <w:jc w:val="center"/>
        <w:rPr>
          <w:rFonts w:ascii="Times New Roman" w:eastAsia="Times New Roman" w:hAnsi="Times New Roman" w:cs="Times New Roman"/>
          <w:b/>
          <w:color w:val="000000"/>
          <w:sz w:val="24"/>
          <w:szCs w:val="24"/>
          <w:highlight w:val="green"/>
          <w:lang w:eastAsia="it-IT"/>
        </w:rPr>
      </w:pPr>
      <w:r w:rsidRPr="00CF57E5">
        <w:rPr>
          <w:rFonts w:ascii="Times New Roman" w:eastAsia="Times New Roman" w:hAnsi="Times New Roman" w:cs="Times New Roman"/>
          <w:b/>
          <w:noProof/>
          <w:color w:val="000000"/>
          <w:sz w:val="24"/>
          <w:szCs w:val="24"/>
          <w:lang w:eastAsia="it-IT"/>
        </w:rPr>
        <w:drawing>
          <wp:inline distT="0" distB="0" distL="0" distR="0" wp14:anchorId="6C28017C" wp14:editId="3D095DC7">
            <wp:extent cx="3447557" cy="2183862"/>
            <wp:effectExtent l="0" t="0" r="635" b="698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9084" cy="2203833"/>
                    </a:xfrm>
                    <a:prstGeom prst="rect">
                      <a:avLst/>
                    </a:prstGeom>
                    <a:noFill/>
                  </pic:spPr>
                </pic:pic>
              </a:graphicData>
            </a:graphic>
          </wp:inline>
        </w:drawing>
      </w:r>
    </w:p>
    <w:p w14:paraId="3051A4E7" w14:textId="77777777" w:rsidR="00600D30" w:rsidRPr="009E4894" w:rsidRDefault="00600D30" w:rsidP="00600D30">
      <w:pPr>
        <w:spacing w:after="0" w:line="360" w:lineRule="auto"/>
        <w:jc w:val="center"/>
        <w:rPr>
          <w:rFonts w:ascii="Times New Roman" w:eastAsia="Times New Roman" w:hAnsi="Times New Roman" w:cs="Times New Roman"/>
          <w:b/>
          <w:color w:val="000000"/>
          <w:sz w:val="24"/>
          <w:szCs w:val="24"/>
          <w:highlight w:val="green"/>
          <w:lang w:eastAsia="it-IT"/>
        </w:rPr>
      </w:pPr>
    </w:p>
    <w:p w14:paraId="47300A68" w14:textId="77777777" w:rsidR="00600D30" w:rsidRDefault="00600D30" w:rsidP="00600D30">
      <w:pPr>
        <w:spacing w:after="0" w:line="360" w:lineRule="auto"/>
        <w:rPr>
          <w:rFonts w:ascii="Times New Roman" w:eastAsia="Times New Roman" w:hAnsi="Times New Roman" w:cs="Times New Roman"/>
          <w:b/>
          <w:color w:val="000000"/>
          <w:sz w:val="24"/>
          <w:szCs w:val="24"/>
          <w:lang w:eastAsia="it-IT"/>
        </w:rPr>
      </w:pPr>
    </w:p>
    <w:p w14:paraId="190C257B" w14:textId="31F5DF1B" w:rsidR="00600D30" w:rsidRDefault="00600D30"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736C8B">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736C8B">
        <w:rPr>
          <w:rFonts w:ascii="Times New Roman" w:eastAsia="Times New Roman" w:hAnsi="Times New Roman" w:cs="Times New Roman"/>
          <w:color w:val="000000"/>
          <w:sz w:val="24"/>
          <w:szCs w:val="24"/>
          <w:lang w:eastAsia="it-IT"/>
        </w:rPr>
        <w:t>impegnato per i nuclei previsti presso il Dipartimento per la programmazione e il coordinamento della politica economica passa da euro 3.313.66</w:t>
      </w:r>
      <w:r>
        <w:rPr>
          <w:rFonts w:ascii="Times New Roman" w:eastAsia="Times New Roman" w:hAnsi="Times New Roman" w:cs="Times New Roman"/>
          <w:color w:val="000000"/>
          <w:sz w:val="24"/>
          <w:szCs w:val="24"/>
          <w:lang w:eastAsia="it-IT"/>
        </w:rPr>
        <w:t>2,79</w:t>
      </w:r>
      <w:r w:rsidRPr="00736C8B">
        <w:rPr>
          <w:rFonts w:ascii="Times New Roman" w:eastAsia="Times New Roman" w:hAnsi="Times New Roman" w:cs="Times New Roman"/>
          <w:color w:val="000000"/>
          <w:sz w:val="24"/>
          <w:szCs w:val="24"/>
          <w:lang w:eastAsia="it-IT"/>
        </w:rPr>
        <w:t xml:space="preserve"> </w:t>
      </w:r>
      <w:r w:rsidR="009F77D1">
        <w:rPr>
          <w:rFonts w:ascii="Times New Roman" w:eastAsia="Times New Roman" w:hAnsi="Times New Roman" w:cs="Times New Roman"/>
          <w:color w:val="000000"/>
          <w:sz w:val="24"/>
          <w:szCs w:val="24"/>
          <w:lang w:eastAsia="it-IT"/>
        </w:rPr>
        <w:t>a euro</w:t>
      </w:r>
      <w:r w:rsidRPr="00736C8B">
        <w:rPr>
          <w:rFonts w:ascii="Times New Roman" w:eastAsia="Times New Roman" w:hAnsi="Times New Roman" w:cs="Times New Roman"/>
          <w:color w:val="000000"/>
          <w:sz w:val="24"/>
          <w:szCs w:val="24"/>
          <w:lang w:eastAsia="it-IT"/>
        </w:rPr>
        <w:t xml:space="preserve"> 3.</w:t>
      </w:r>
      <w:r>
        <w:rPr>
          <w:rFonts w:ascii="Times New Roman" w:eastAsia="Times New Roman" w:hAnsi="Times New Roman" w:cs="Times New Roman"/>
          <w:color w:val="000000"/>
          <w:sz w:val="24"/>
          <w:szCs w:val="24"/>
          <w:lang w:eastAsia="it-IT"/>
        </w:rPr>
        <w:t>227.565,06</w:t>
      </w:r>
      <w:r w:rsidR="006B092E">
        <w:rPr>
          <w:rFonts w:ascii="Times New Roman" w:eastAsia="Times New Roman" w:hAnsi="Times New Roman" w:cs="Times New Roman"/>
          <w:color w:val="000000"/>
          <w:sz w:val="24"/>
          <w:szCs w:val="24"/>
          <w:lang w:eastAsia="it-IT"/>
        </w:rPr>
        <w:t xml:space="preserve"> </w:t>
      </w:r>
      <w:r w:rsidR="006B092E" w:rsidRPr="00736C8B">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cfr. </w:t>
      </w:r>
      <w:proofErr w:type="spellStart"/>
      <w:r w:rsidR="006B092E" w:rsidRPr="00736C8B">
        <w:rPr>
          <w:rFonts w:ascii="Times New Roman" w:eastAsia="Times New Roman" w:hAnsi="Times New Roman" w:cs="Times New Roman"/>
          <w:color w:val="000000"/>
          <w:sz w:val="24"/>
          <w:szCs w:val="24"/>
          <w:lang w:eastAsia="it-IT"/>
        </w:rPr>
        <w:t>Tab</w:t>
      </w:r>
      <w:proofErr w:type="spellEnd"/>
      <w:r w:rsidR="006B092E" w:rsidRPr="00736C8B">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 19</w:t>
      </w:r>
      <w:r w:rsidR="006B092E" w:rsidRPr="00736C8B">
        <w:rPr>
          <w:rFonts w:ascii="Times New Roman" w:eastAsia="Times New Roman" w:hAnsi="Times New Roman" w:cs="Times New Roman"/>
          <w:color w:val="000000"/>
          <w:sz w:val="24"/>
          <w:szCs w:val="24"/>
          <w:lang w:eastAsia="it-IT"/>
        </w:rPr>
        <w:t>)</w:t>
      </w:r>
      <w:r w:rsidRPr="00736C8B">
        <w:rPr>
          <w:rFonts w:ascii="Times New Roman" w:eastAsia="Times New Roman" w:hAnsi="Times New Roman" w:cs="Times New Roman"/>
          <w:color w:val="000000"/>
          <w:sz w:val="24"/>
          <w:szCs w:val="24"/>
          <w:lang w:eastAsia="it-IT"/>
        </w:rPr>
        <w:t>, con un</w:t>
      </w:r>
      <w:r>
        <w:rPr>
          <w:rFonts w:ascii="Times New Roman" w:eastAsia="Times New Roman" w:hAnsi="Times New Roman" w:cs="Times New Roman"/>
          <w:color w:val="000000"/>
          <w:sz w:val="24"/>
          <w:szCs w:val="24"/>
          <w:lang w:eastAsia="it-IT"/>
        </w:rPr>
        <w:t>a</w:t>
      </w:r>
      <w:r w:rsidRPr="00736C8B">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diminuzione</w:t>
      </w:r>
      <w:r w:rsidRPr="00736C8B">
        <w:rPr>
          <w:rFonts w:ascii="Times New Roman" w:eastAsia="Times New Roman" w:hAnsi="Times New Roman" w:cs="Times New Roman"/>
          <w:color w:val="000000"/>
          <w:sz w:val="24"/>
          <w:szCs w:val="24"/>
          <w:lang w:eastAsia="it-IT"/>
        </w:rPr>
        <w:t xml:space="preserve"> di euro </w:t>
      </w:r>
      <w:r>
        <w:rPr>
          <w:rFonts w:ascii="Times New Roman" w:eastAsia="Times New Roman" w:hAnsi="Times New Roman" w:cs="Times New Roman"/>
          <w:color w:val="000000"/>
          <w:sz w:val="24"/>
          <w:szCs w:val="24"/>
          <w:lang w:eastAsia="it-IT"/>
        </w:rPr>
        <w:t>86.097,73</w:t>
      </w:r>
      <w:r w:rsidRPr="00736C8B">
        <w:rPr>
          <w:rFonts w:ascii="Times New Roman" w:eastAsia="Times New Roman" w:hAnsi="Times New Roman" w:cs="Times New Roman"/>
          <w:color w:val="000000"/>
          <w:sz w:val="24"/>
          <w:szCs w:val="24"/>
          <w:lang w:eastAsia="it-IT"/>
        </w:rPr>
        <w:t>.</w:t>
      </w:r>
      <w:r w:rsidRPr="00E03E0E">
        <w:rPr>
          <w:rFonts w:ascii="Times New Roman" w:eastAsia="Times New Roman" w:hAnsi="Times New Roman" w:cs="Times New Roman"/>
          <w:color w:val="000000"/>
          <w:sz w:val="24"/>
          <w:szCs w:val="24"/>
          <w:lang w:eastAsia="it-IT"/>
        </w:rPr>
        <w:t xml:space="preserve"> </w:t>
      </w:r>
    </w:p>
    <w:p w14:paraId="2539D171" w14:textId="17F36386" w:rsidR="00600D30" w:rsidRPr="00C93A5A" w:rsidRDefault="00600D30" w:rsidP="00600D30">
      <w:pPr>
        <w:tabs>
          <w:tab w:val="left" w:pos="3770"/>
        </w:tabs>
        <w:spacing w:after="0" w:line="360" w:lineRule="auto"/>
        <w:jc w:val="both"/>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color w:val="000000"/>
          <w:sz w:val="24"/>
          <w:szCs w:val="24"/>
          <w:lang w:eastAsia="it-IT"/>
        </w:rPr>
        <w:lastRenderedPageBreak/>
        <w:t xml:space="preserve">                                                                </w:t>
      </w:r>
      <w:proofErr w:type="spellStart"/>
      <w:r w:rsidRPr="00C93A5A">
        <w:rPr>
          <w:rFonts w:ascii="Times New Roman" w:eastAsia="Times New Roman" w:hAnsi="Times New Roman" w:cs="Times New Roman"/>
          <w:b/>
          <w:color w:val="000000"/>
          <w:sz w:val="24"/>
          <w:szCs w:val="24"/>
          <w:lang w:eastAsia="it-IT"/>
        </w:rPr>
        <w:t>Tab</w:t>
      </w:r>
      <w:proofErr w:type="spellEnd"/>
      <w:r w:rsidRPr="00C93A5A">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19</w:t>
      </w:r>
      <w:r w:rsidRPr="00C93A5A">
        <w:rPr>
          <w:rFonts w:ascii="Times New Roman" w:eastAsia="Times New Roman" w:hAnsi="Times New Roman" w:cs="Times New Roman"/>
          <w:b/>
          <w:color w:val="000000"/>
          <w:sz w:val="24"/>
          <w:szCs w:val="24"/>
          <w:lang w:eastAsia="it-IT"/>
        </w:rPr>
        <w:t xml:space="preserve"> – Organismi DIPE</w:t>
      </w:r>
    </w:p>
    <w:p w14:paraId="3624B24B" w14:textId="504D26A8" w:rsidR="00600D30" w:rsidRDefault="00CF57E5" w:rsidP="00600D30">
      <w:pPr>
        <w:tabs>
          <w:tab w:val="left" w:pos="1965"/>
        </w:tabs>
        <w:spacing w:after="0" w:line="360" w:lineRule="auto"/>
        <w:jc w:val="center"/>
        <w:rPr>
          <w:rFonts w:ascii="Times New Roman" w:eastAsia="Times New Roman" w:hAnsi="Times New Roman" w:cs="Times New Roman"/>
          <w:color w:val="FF0000"/>
          <w:sz w:val="24"/>
          <w:szCs w:val="24"/>
          <w:lang w:eastAsia="it-IT"/>
        </w:rPr>
      </w:pPr>
      <w:r w:rsidRPr="00CF57E5">
        <w:rPr>
          <w:noProof/>
          <w:lang w:eastAsia="it-IT"/>
        </w:rPr>
        <w:drawing>
          <wp:inline distT="0" distB="0" distL="0" distR="0" wp14:anchorId="4C3D33CC" wp14:editId="2B900CF0">
            <wp:extent cx="3627120" cy="38989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38D8C3B5" w14:textId="15B5356F" w:rsidR="00600D30" w:rsidRDefault="00CF57E5" w:rsidP="00600D30">
      <w:pPr>
        <w:tabs>
          <w:tab w:val="left" w:pos="1965"/>
        </w:tabs>
        <w:spacing w:after="0" w:line="360" w:lineRule="auto"/>
        <w:jc w:val="center"/>
        <w:rPr>
          <w:rFonts w:ascii="Times New Roman" w:eastAsia="Times New Roman" w:hAnsi="Times New Roman" w:cs="Times New Roman"/>
          <w:color w:val="FF0000"/>
          <w:sz w:val="24"/>
          <w:szCs w:val="24"/>
          <w:lang w:eastAsia="it-IT"/>
        </w:rPr>
      </w:pPr>
      <w:r>
        <w:rPr>
          <w:rFonts w:ascii="Times New Roman" w:eastAsia="Times New Roman" w:hAnsi="Times New Roman" w:cs="Times New Roman"/>
          <w:noProof/>
          <w:color w:val="FF0000"/>
          <w:sz w:val="24"/>
          <w:szCs w:val="24"/>
          <w:lang w:eastAsia="it-IT"/>
        </w:rPr>
        <w:drawing>
          <wp:inline distT="0" distB="0" distL="0" distR="0" wp14:anchorId="6531C3D0" wp14:editId="2D96BBEB">
            <wp:extent cx="3690241" cy="2337590"/>
            <wp:effectExtent l="0" t="0" r="5715" b="571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8483" cy="2355480"/>
                    </a:xfrm>
                    <a:prstGeom prst="rect">
                      <a:avLst/>
                    </a:prstGeom>
                    <a:noFill/>
                  </pic:spPr>
                </pic:pic>
              </a:graphicData>
            </a:graphic>
          </wp:inline>
        </w:drawing>
      </w:r>
    </w:p>
    <w:p w14:paraId="6ED8D623" w14:textId="77777777" w:rsidR="00600D30" w:rsidRPr="00CA05CA" w:rsidRDefault="00600D30" w:rsidP="00600D30">
      <w:pPr>
        <w:spacing w:after="0" w:line="360" w:lineRule="auto"/>
        <w:jc w:val="center"/>
        <w:rPr>
          <w:rFonts w:ascii="Times New Roman" w:eastAsia="Times New Roman" w:hAnsi="Times New Roman" w:cs="Times New Roman"/>
          <w:b/>
          <w:color w:val="000000"/>
          <w:sz w:val="24"/>
          <w:szCs w:val="24"/>
          <w:lang w:eastAsia="it-IT"/>
        </w:rPr>
      </w:pPr>
    </w:p>
    <w:p w14:paraId="5F20C381" w14:textId="77777777" w:rsidR="009802BE" w:rsidRDefault="009802BE"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0F9BDF53" w14:textId="73327929" w:rsidR="00600D30" w:rsidRDefault="00600D30"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r w:rsidRPr="00575C7D">
        <w:rPr>
          <w:rFonts w:ascii="Times New Roman" w:eastAsia="Times New Roman" w:hAnsi="Times New Roman" w:cs="Times New Roman"/>
          <w:color w:val="000000"/>
          <w:sz w:val="24"/>
          <w:szCs w:val="24"/>
          <w:lang w:eastAsia="it-IT"/>
        </w:rPr>
        <w:t>Per gli affitti nel 202</w:t>
      </w:r>
      <w:r>
        <w:rPr>
          <w:rFonts w:ascii="Times New Roman" w:eastAsia="Times New Roman" w:hAnsi="Times New Roman" w:cs="Times New Roman"/>
          <w:color w:val="000000"/>
          <w:sz w:val="24"/>
          <w:szCs w:val="24"/>
          <w:lang w:eastAsia="it-IT"/>
        </w:rPr>
        <w:t>2</w:t>
      </w:r>
      <w:r w:rsidRPr="00575C7D">
        <w:rPr>
          <w:rFonts w:ascii="Times New Roman" w:eastAsia="Times New Roman" w:hAnsi="Times New Roman" w:cs="Times New Roman"/>
          <w:color w:val="000000"/>
          <w:sz w:val="24"/>
          <w:szCs w:val="24"/>
          <w:lang w:eastAsia="it-IT"/>
        </w:rPr>
        <w:t xml:space="preserve"> </w:t>
      </w:r>
      <w:bookmarkStart w:id="17" w:name="_Hlk102904448"/>
      <w:r w:rsidRPr="00575C7D">
        <w:rPr>
          <w:rFonts w:ascii="Times New Roman" w:eastAsia="Times New Roman" w:hAnsi="Times New Roman" w:cs="Times New Roman"/>
          <w:color w:val="000000"/>
          <w:sz w:val="24"/>
          <w:szCs w:val="24"/>
          <w:lang w:eastAsia="it-IT"/>
        </w:rPr>
        <w:t>si registra un</w:t>
      </w:r>
      <w:r>
        <w:rPr>
          <w:rFonts w:ascii="Times New Roman" w:eastAsia="Times New Roman" w:hAnsi="Times New Roman" w:cs="Times New Roman"/>
          <w:color w:val="000000"/>
          <w:sz w:val="24"/>
          <w:szCs w:val="24"/>
          <w:lang w:eastAsia="it-IT"/>
        </w:rPr>
        <w:t xml:space="preserve"> incremento pari </w:t>
      </w:r>
      <w:r w:rsidR="009F77D1">
        <w:rPr>
          <w:rFonts w:ascii="Times New Roman" w:eastAsia="Times New Roman" w:hAnsi="Times New Roman" w:cs="Times New Roman"/>
          <w:color w:val="000000"/>
          <w:sz w:val="24"/>
          <w:szCs w:val="24"/>
          <w:lang w:eastAsia="it-IT"/>
        </w:rPr>
        <w:t>a euro</w:t>
      </w:r>
      <w:r w:rsidRPr="00346567">
        <w:rPr>
          <w:rFonts w:ascii="Times New Roman" w:hAnsi="Times New Roman" w:cs="Times New Roman"/>
          <w:sz w:val="24"/>
          <w:szCs w:val="24"/>
        </w:rPr>
        <w:t xml:space="preserve"> </w:t>
      </w:r>
      <w:r>
        <w:rPr>
          <w:rFonts w:ascii="Times New Roman" w:hAnsi="Times New Roman" w:cs="Times New Roman"/>
          <w:sz w:val="24"/>
          <w:szCs w:val="24"/>
        </w:rPr>
        <w:t>3.723.880,42</w:t>
      </w:r>
      <w:r w:rsidRPr="00346567">
        <w:rPr>
          <w:rFonts w:ascii="Times New Roman" w:eastAsia="Times New Roman" w:hAnsi="Times New Roman" w:cs="Times New Roman"/>
          <w:color w:val="000000"/>
          <w:sz w:val="24"/>
          <w:szCs w:val="24"/>
          <w:lang w:eastAsia="it-IT"/>
        </w:rPr>
        <w:t>, passando</w:t>
      </w:r>
      <w:r w:rsidRPr="00575C7D">
        <w:rPr>
          <w:rFonts w:ascii="Times New Roman" w:eastAsia="Times New Roman" w:hAnsi="Times New Roman" w:cs="Times New Roman"/>
          <w:color w:val="000000"/>
          <w:sz w:val="24"/>
          <w:szCs w:val="24"/>
          <w:lang w:eastAsia="it-IT"/>
        </w:rPr>
        <w:t xml:space="preserve"> da euro </w:t>
      </w:r>
      <w:r>
        <w:rPr>
          <w:rFonts w:ascii="Times New Roman" w:eastAsia="Times New Roman" w:hAnsi="Times New Roman" w:cs="Times New Roman"/>
          <w:color w:val="000000"/>
          <w:sz w:val="24"/>
          <w:szCs w:val="24"/>
          <w:lang w:eastAsia="it-IT"/>
        </w:rPr>
        <w:t xml:space="preserve">4.168.668,31 </w:t>
      </w:r>
      <w:r w:rsidR="009F77D1">
        <w:rPr>
          <w:rFonts w:ascii="Times New Roman" w:eastAsia="Times New Roman" w:hAnsi="Times New Roman" w:cs="Times New Roman"/>
          <w:color w:val="000000"/>
          <w:sz w:val="24"/>
          <w:szCs w:val="24"/>
          <w:lang w:eastAsia="it-IT"/>
        </w:rPr>
        <w:t>a euro</w:t>
      </w:r>
      <w:r>
        <w:rPr>
          <w:rFonts w:ascii="Times New Roman" w:eastAsia="Times New Roman" w:hAnsi="Times New Roman" w:cs="Times New Roman"/>
          <w:color w:val="000000"/>
          <w:sz w:val="24"/>
          <w:szCs w:val="24"/>
          <w:lang w:eastAsia="it-IT"/>
        </w:rPr>
        <w:t xml:space="preserve"> </w:t>
      </w:r>
      <w:bookmarkEnd w:id="17"/>
      <w:r>
        <w:rPr>
          <w:rFonts w:ascii="Times New Roman" w:eastAsia="Times New Roman" w:hAnsi="Times New Roman" w:cs="Times New Roman"/>
          <w:color w:val="000000"/>
          <w:sz w:val="24"/>
          <w:szCs w:val="24"/>
          <w:lang w:eastAsia="it-IT"/>
        </w:rPr>
        <w:t>7.892.548,73</w:t>
      </w:r>
      <w:r w:rsidR="006B092E">
        <w:rPr>
          <w:rFonts w:ascii="Times New Roman" w:eastAsia="Times New Roman" w:hAnsi="Times New Roman" w:cs="Times New Roman"/>
          <w:color w:val="000000"/>
          <w:sz w:val="24"/>
          <w:szCs w:val="24"/>
          <w:lang w:eastAsia="it-IT"/>
        </w:rPr>
        <w:t xml:space="preserve"> </w:t>
      </w:r>
      <w:r w:rsidR="006B092E" w:rsidRPr="00575C7D">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cfr. </w:t>
      </w:r>
      <w:proofErr w:type="spellStart"/>
      <w:r w:rsidR="006B092E" w:rsidRPr="00575C7D">
        <w:rPr>
          <w:rFonts w:ascii="Times New Roman" w:eastAsia="Times New Roman" w:hAnsi="Times New Roman" w:cs="Times New Roman"/>
          <w:color w:val="000000"/>
          <w:sz w:val="24"/>
          <w:szCs w:val="24"/>
          <w:lang w:eastAsia="it-IT"/>
        </w:rPr>
        <w:t>Tab</w:t>
      </w:r>
      <w:proofErr w:type="spellEnd"/>
      <w:r w:rsidR="006B092E" w:rsidRPr="00575C7D">
        <w:rPr>
          <w:rFonts w:ascii="Times New Roman" w:eastAsia="Times New Roman" w:hAnsi="Times New Roman" w:cs="Times New Roman"/>
          <w:color w:val="000000"/>
          <w:sz w:val="24"/>
          <w:szCs w:val="24"/>
          <w:lang w:eastAsia="it-IT"/>
        </w:rPr>
        <w:t>. 2</w:t>
      </w:r>
      <w:r w:rsidR="006B092E">
        <w:rPr>
          <w:rFonts w:ascii="Times New Roman" w:eastAsia="Times New Roman" w:hAnsi="Times New Roman" w:cs="Times New Roman"/>
          <w:color w:val="000000"/>
          <w:sz w:val="24"/>
          <w:szCs w:val="24"/>
          <w:lang w:eastAsia="it-IT"/>
        </w:rPr>
        <w:t>0</w:t>
      </w:r>
      <w:r w:rsidR="006B092E" w:rsidRPr="00575C7D">
        <w:rPr>
          <w:rFonts w:ascii="Times New Roman" w:eastAsia="Times New Roman" w:hAnsi="Times New Roman" w:cs="Times New Roman"/>
          <w:color w:val="000000"/>
          <w:sz w:val="24"/>
          <w:szCs w:val="24"/>
          <w:lang w:eastAsia="it-IT"/>
        </w:rPr>
        <w:t>)</w:t>
      </w:r>
      <w:r w:rsidRPr="006B15DD">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dovuto alla sottoscrizione dei contratti di locazione per l</w:t>
      </w:r>
      <w:r w:rsidR="00877AAF">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color w:val="000000"/>
          <w:sz w:val="24"/>
          <w:szCs w:val="24"/>
          <w:lang w:eastAsia="it-IT"/>
        </w:rPr>
        <w:t>utilizzo delle sedi di via Alessandria n.</w:t>
      </w:r>
      <w:r w:rsidR="00E67CEA">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220, via della Panetteria n.</w:t>
      </w:r>
      <w:r w:rsidR="001668C2">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18 e piazza Colonna n.</w:t>
      </w:r>
      <w:r w:rsidR="00E67CEA">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366 (Palazzo </w:t>
      </w:r>
      <w:proofErr w:type="spellStart"/>
      <w:r>
        <w:rPr>
          <w:rFonts w:ascii="Times New Roman" w:eastAsia="Times New Roman" w:hAnsi="Times New Roman" w:cs="Times New Roman"/>
          <w:color w:val="000000"/>
          <w:sz w:val="24"/>
          <w:szCs w:val="24"/>
          <w:lang w:eastAsia="it-IT"/>
        </w:rPr>
        <w:t>Wedekind</w:t>
      </w:r>
      <w:proofErr w:type="spellEnd"/>
      <w:r>
        <w:rPr>
          <w:rFonts w:ascii="Times New Roman" w:eastAsia="Times New Roman" w:hAnsi="Times New Roman" w:cs="Times New Roman"/>
          <w:color w:val="000000"/>
          <w:sz w:val="24"/>
          <w:szCs w:val="24"/>
          <w:lang w:eastAsia="it-IT"/>
        </w:rPr>
        <w:t>)</w:t>
      </w:r>
      <w:r w:rsidR="00E96549">
        <w:rPr>
          <w:rFonts w:ascii="Times New Roman" w:eastAsia="Times New Roman" w:hAnsi="Times New Roman" w:cs="Times New Roman"/>
          <w:color w:val="000000"/>
          <w:sz w:val="24"/>
          <w:szCs w:val="24"/>
          <w:lang w:eastAsia="it-IT"/>
        </w:rPr>
        <w:t xml:space="preserve">, </w:t>
      </w:r>
      <w:r w:rsidR="00E96549" w:rsidRPr="00FB36E6">
        <w:rPr>
          <w:rFonts w:ascii="Times New Roman" w:eastAsia="Times New Roman" w:hAnsi="Times New Roman" w:cs="Times New Roman"/>
          <w:color w:val="000000"/>
          <w:sz w:val="24"/>
          <w:szCs w:val="24"/>
          <w:lang w:eastAsia="it-IT"/>
        </w:rPr>
        <w:t>considerate l</w:t>
      </w:r>
      <w:r w:rsidR="00F94D69" w:rsidRPr="00FB36E6">
        <w:rPr>
          <w:rFonts w:ascii="Times New Roman" w:eastAsia="Times New Roman" w:hAnsi="Times New Roman" w:cs="Times New Roman"/>
          <w:color w:val="000000"/>
          <w:sz w:val="24"/>
          <w:szCs w:val="24"/>
          <w:lang w:eastAsia="it-IT"/>
        </w:rPr>
        <w:t xml:space="preserve">e nuove assunzioni </w:t>
      </w:r>
      <w:r w:rsidR="00FB36E6">
        <w:rPr>
          <w:rFonts w:ascii="Times New Roman" w:eastAsia="Times New Roman" w:hAnsi="Times New Roman" w:cs="Times New Roman"/>
          <w:color w:val="000000"/>
          <w:sz w:val="24"/>
          <w:szCs w:val="24"/>
          <w:lang w:eastAsia="it-IT"/>
        </w:rPr>
        <w:t xml:space="preserve">di personale anche </w:t>
      </w:r>
      <w:r w:rsidR="00F94D69" w:rsidRPr="00FB36E6">
        <w:rPr>
          <w:rFonts w:ascii="Times New Roman" w:eastAsia="Times New Roman" w:hAnsi="Times New Roman" w:cs="Times New Roman"/>
          <w:color w:val="000000"/>
          <w:sz w:val="24"/>
          <w:szCs w:val="24"/>
          <w:lang w:eastAsia="it-IT"/>
        </w:rPr>
        <w:t>connesse agli interventi PNRR</w:t>
      </w:r>
      <w:r w:rsidR="00FB36E6" w:rsidRPr="00FB36E6">
        <w:rPr>
          <w:rFonts w:ascii="Times New Roman" w:eastAsia="Times New Roman" w:hAnsi="Times New Roman" w:cs="Times New Roman"/>
          <w:color w:val="000000"/>
          <w:sz w:val="24"/>
          <w:szCs w:val="24"/>
          <w:lang w:eastAsia="it-IT"/>
        </w:rPr>
        <w:t>.</w:t>
      </w:r>
      <w:r w:rsidR="002B5AA3" w:rsidRPr="00E96549">
        <w:rPr>
          <w:rFonts w:ascii="Times New Roman" w:eastAsia="Times New Roman" w:hAnsi="Times New Roman" w:cs="Times New Roman"/>
          <w:color w:val="000000"/>
          <w:sz w:val="24"/>
          <w:szCs w:val="24"/>
          <w:lang w:eastAsia="it-IT"/>
        </w:rPr>
        <w:t xml:space="preserve"> </w:t>
      </w:r>
    </w:p>
    <w:p w14:paraId="69D32820" w14:textId="77777777" w:rsidR="00600D30" w:rsidRDefault="00600D30" w:rsidP="00600D30">
      <w:pPr>
        <w:spacing w:after="0" w:line="360" w:lineRule="auto"/>
        <w:jc w:val="both"/>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color w:val="FF0000"/>
          <w:sz w:val="24"/>
          <w:szCs w:val="24"/>
          <w:lang w:eastAsia="it-IT"/>
        </w:rPr>
        <w:t xml:space="preserve"> </w:t>
      </w:r>
      <w:r w:rsidRPr="00CA05CA">
        <w:rPr>
          <w:rFonts w:ascii="Times New Roman" w:eastAsia="Times New Roman" w:hAnsi="Times New Roman" w:cs="Times New Roman"/>
          <w:b/>
          <w:color w:val="000000"/>
          <w:sz w:val="24"/>
          <w:szCs w:val="24"/>
          <w:lang w:eastAsia="it-IT"/>
        </w:rPr>
        <w:tab/>
      </w:r>
      <w:r w:rsidRPr="00CA05CA">
        <w:rPr>
          <w:rFonts w:ascii="Times New Roman" w:eastAsia="Times New Roman" w:hAnsi="Times New Roman" w:cs="Times New Roman"/>
          <w:b/>
          <w:color w:val="000000"/>
          <w:sz w:val="24"/>
          <w:szCs w:val="24"/>
          <w:lang w:eastAsia="it-IT"/>
        </w:rPr>
        <w:tab/>
      </w:r>
      <w:r w:rsidRPr="00CA05CA">
        <w:rPr>
          <w:rFonts w:ascii="Times New Roman" w:eastAsia="Times New Roman" w:hAnsi="Times New Roman" w:cs="Times New Roman"/>
          <w:b/>
          <w:color w:val="000000"/>
          <w:sz w:val="24"/>
          <w:szCs w:val="24"/>
          <w:lang w:eastAsia="it-IT"/>
        </w:rPr>
        <w:tab/>
      </w:r>
      <w:r w:rsidRPr="00CA05CA">
        <w:rPr>
          <w:rFonts w:ascii="Times New Roman" w:eastAsia="Times New Roman" w:hAnsi="Times New Roman" w:cs="Times New Roman"/>
          <w:b/>
          <w:color w:val="000000"/>
          <w:sz w:val="24"/>
          <w:szCs w:val="24"/>
          <w:lang w:eastAsia="it-IT"/>
        </w:rPr>
        <w:tab/>
      </w:r>
      <w:r w:rsidRPr="00CA05CA">
        <w:rPr>
          <w:rFonts w:ascii="Times New Roman" w:eastAsia="Times New Roman" w:hAnsi="Times New Roman" w:cs="Times New Roman"/>
          <w:b/>
          <w:color w:val="000000"/>
          <w:sz w:val="24"/>
          <w:szCs w:val="24"/>
          <w:lang w:eastAsia="it-IT"/>
        </w:rPr>
        <w:tab/>
      </w: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2</w:t>
      </w:r>
      <w:r>
        <w:rPr>
          <w:rFonts w:ascii="Times New Roman" w:eastAsia="Times New Roman" w:hAnsi="Times New Roman" w:cs="Times New Roman"/>
          <w:b/>
          <w:color w:val="000000"/>
          <w:sz w:val="24"/>
          <w:szCs w:val="24"/>
          <w:lang w:eastAsia="it-IT"/>
        </w:rPr>
        <w:t>0</w:t>
      </w:r>
      <w:r w:rsidRPr="00CA05CA">
        <w:rPr>
          <w:rFonts w:ascii="Times New Roman" w:eastAsia="Times New Roman" w:hAnsi="Times New Roman" w:cs="Times New Roman"/>
          <w:b/>
          <w:color w:val="000000"/>
          <w:sz w:val="24"/>
          <w:szCs w:val="24"/>
          <w:lang w:eastAsia="it-IT"/>
        </w:rPr>
        <w:t xml:space="preserve"> – Fitto locali</w:t>
      </w:r>
    </w:p>
    <w:p w14:paraId="64B73D92" w14:textId="04F8CE71" w:rsidR="00600D30" w:rsidRDefault="00717ED6" w:rsidP="00600D30">
      <w:pPr>
        <w:spacing w:after="0" w:line="360" w:lineRule="auto"/>
        <w:jc w:val="center"/>
        <w:rPr>
          <w:rFonts w:ascii="Times New Roman" w:eastAsia="Times New Roman" w:hAnsi="Times New Roman" w:cs="Times New Roman"/>
          <w:b/>
          <w:color w:val="000000"/>
          <w:sz w:val="24"/>
          <w:szCs w:val="24"/>
          <w:lang w:eastAsia="it-IT"/>
        </w:rPr>
      </w:pPr>
      <w:r w:rsidRPr="00717ED6">
        <w:rPr>
          <w:noProof/>
          <w:lang w:eastAsia="it-IT"/>
        </w:rPr>
        <w:drawing>
          <wp:inline distT="0" distB="0" distL="0" distR="0" wp14:anchorId="13CC45ED" wp14:editId="49B37769">
            <wp:extent cx="3627120" cy="38989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64C20418" w14:textId="503F4406" w:rsidR="00600D30" w:rsidRDefault="00717ED6" w:rsidP="00600D30">
      <w:pPr>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0CB463CD" wp14:editId="7AA36B2A">
            <wp:extent cx="3715953" cy="2246580"/>
            <wp:effectExtent l="0" t="0" r="0" b="190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5166" cy="2258196"/>
                    </a:xfrm>
                    <a:prstGeom prst="rect">
                      <a:avLst/>
                    </a:prstGeom>
                    <a:noFill/>
                  </pic:spPr>
                </pic:pic>
              </a:graphicData>
            </a:graphic>
          </wp:inline>
        </w:drawing>
      </w:r>
    </w:p>
    <w:p w14:paraId="022408CE" w14:textId="6112D29A" w:rsidR="00600D30" w:rsidRDefault="00600D30" w:rsidP="00600D30">
      <w:pPr>
        <w:spacing w:after="0" w:line="360" w:lineRule="auto"/>
        <w:jc w:val="center"/>
        <w:rPr>
          <w:rFonts w:ascii="Times New Roman" w:eastAsia="Times New Roman" w:hAnsi="Times New Roman" w:cs="Times New Roman"/>
          <w:b/>
          <w:color w:val="000000"/>
          <w:sz w:val="24"/>
          <w:szCs w:val="24"/>
          <w:lang w:eastAsia="it-IT"/>
        </w:rPr>
      </w:pPr>
    </w:p>
    <w:p w14:paraId="2A2641FA" w14:textId="77777777" w:rsidR="000759BB" w:rsidRPr="00CA05CA" w:rsidRDefault="000759BB" w:rsidP="00600D30">
      <w:pPr>
        <w:spacing w:after="0" w:line="360" w:lineRule="auto"/>
        <w:jc w:val="center"/>
        <w:rPr>
          <w:rFonts w:ascii="Times New Roman" w:eastAsia="Times New Roman" w:hAnsi="Times New Roman" w:cs="Times New Roman"/>
          <w:b/>
          <w:color w:val="000000"/>
          <w:sz w:val="24"/>
          <w:szCs w:val="24"/>
          <w:lang w:eastAsia="it-IT"/>
        </w:rPr>
      </w:pPr>
    </w:p>
    <w:p w14:paraId="3B727285" w14:textId="0218946E" w:rsidR="00600D30" w:rsidRDefault="00600D30" w:rsidP="00600D30">
      <w:pPr>
        <w:spacing w:after="120" w:line="360" w:lineRule="auto"/>
        <w:jc w:val="both"/>
        <w:rPr>
          <w:rFonts w:ascii="Times New Roman" w:eastAsia="Times New Roman" w:hAnsi="Times New Roman" w:cs="Times New Roman"/>
          <w:sz w:val="24"/>
          <w:szCs w:val="24"/>
          <w:lang w:eastAsia="it-IT"/>
        </w:rPr>
      </w:pPr>
      <w:r w:rsidRPr="00D43450">
        <w:rPr>
          <w:rFonts w:ascii="Times New Roman" w:eastAsia="Times New Roman" w:hAnsi="Times New Roman" w:cs="Times New Roman"/>
          <w:sz w:val="24"/>
          <w:szCs w:val="24"/>
          <w:lang w:eastAsia="it-IT"/>
        </w:rPr>
        <w:lastRenderedPageBreak/>
        <w:t>L</w:t>
      </w:r>
      <w:r w:rsidR="00877AAF">
        <w:rPr>
          <w:rFonts w:ascii="Times New Roman" w:eastAsia="Times New Roman" w:hAnsi="Times New Roman" w:cs="Times New Roman"/>
          <w:sz w:val="24"/>
          <w:szCs w:val="24"/>
          <w:lang w:eastAsia="it-IT"/>
        </w:rPr>
        <w:t>’</w:t>
      </w:r>
      <w:r w:rsidRPr="00D43450">
        <w:rPr>
          <w:rFonts w:ascii="Times New Roman" w:eastAsia="Times New Roman" w:hAnsi="Times New Roman" w:cs="Times New Roman"/>
          <w:sz w:val="24"/>
          <w:szCs w:val="24"/>
          <w:lang w:eastAsia="it-IT"/>
        </w:rPr>
        <w:t xml:space="preserve">impegnato per utenze e canoni </w:t>
      </w:r>
      <w:bookmarkStart w:id="18" w:name="_Hlk102904529"/>
      <w:r w:rsidRPr="00D43450">
        <w:rPr>
          <w:rFonts w:ascii="Times New Roman" w:eastAsia="Times New Roman" w:hAnsi="Times New Roman" w:cs="Times New Roman"/>
          <w:sz w:val="24"/>
          <w:szCs w:val="24"/>
          <w:lang w:eastAsia="it-IT"/>
        </w:rPr>
        <w:t>passa da euro 4.</w:t>
      </w:r>
      <w:r>
        <w:rPr>
          <w:rFonts w:ascii="Times New Roman" w:eastAsia="Times New Roman" w:hAnsi="Times New Roman" w:cs="Times New Roman"/>
          <w:sz w:val="24"/>
          <w:szCs w:val="24"/>
          <w:lang w:eastAsia="it-IT"/>
        </w:rPr>
        <w:t>706.705,87</w:t>
      </w:r>
      <w:r w:rsidR="006B092E">
        <w:rPr>
          <w:rFonts w:ascii="Times New Roman" w:eastAsia="Times New Roman" w:hAnsi="Times New Roman" w:cs="Times New Roman"/>
          <w:sz w:val="24"/>
          <w:szCs w:val="24"/>
          <w:lang w:eastAsia="it-IT"/>
        </w:rPr>
        <w:t xml:space="preserve"> </w:t>
      </w:r>
      <w:r w:rsidRPr="00D43450">
        <w:rPr>
          <w:rFonts w:ascii="Times New Roman" w:eastAsia="Times New Roman" w:hAnsi="Times New Roman" w:cs="Times New Roman"/>
          <w:sz w:val="24"/>
          <w:szCs w:val="24"/>
          <w:lang w:eastAsia="it-IT"/>
        </w:rPr>
        <w:t xml:space="preserve">a euro </w:t>
      </w:r>
      <w:r>
        <w:rPr>
          <w:rFonts w:ascii="Times New Roman" w:eastAsia="Times New Roman" w:hAnsi="Times New Roman" w:cs="Times New Roman"/>
          <w:sz w:val="24"/>
          <w:szCs w:val="24"/>
          <w:lang w:eastAsia="it-IT"/>
        </w:rPr>
        <w:t>7.499.437,40</w:t>
      </w:r>
      <w:r w:rsidR="00072798" w:rsidRPr="00072798">
        <w:rPr>
          <w:rFonts w:ascii="Times New Roman" w:eastAsia="Times New Roman" w:hAnsi="Times New Roman" w:cs="Times New Roman"/>
          <w:sz w:val="24"/>
          <w:szCs w:val="24"/>
          <w:lang w:eastAsia="it-IT"/>
        </w:rPr>
        <w:t xml:space="preserve"> </w:t>
      </w:r>
      <w:r w:rsidR="006B092E" w:rsidRPr="00D43450">
        <w:rPr>
          <w:rFonts w:ascii="Times New Roman" w:eastAsia="Times New Roman" w:hAnsi="Times New Roman" w:cs="Times New Roman"/>
          <w:sz w:val="24"/>
          <w:szCs w:val="24"/>
          <w:lang w:eastAsia="it-IT"/>
        </w:rPr>
        <w:t>(</w:t>
      </w:r>
      <w:r w:rsidR="006B092E">
        <w:rPr>
          <w:rFonts w:ascii="Times New Roman" w:eastAsia="Times New Roman" w:hAnsi="Times New Roman" w:cs="Times New Roman"/>
          <w:sz w:val="24"/>
          <w:szCs w:val="24"/>
          <w:lang w:eastAsia="it-IT"/>
        </w:rPr>
        <w:t xml:space="preserve">cfr. </w:t>
      </w:r>
      <w:proofErr w:type="spellStart"/>
      <w:r w:rsidR="006B092E" w:rsidRPr="00D43450">
        <w:rPr>
          <w:rFonts w:ascii="Times New Roman" w:eastAsia="Times New Roman" w:hAnsi="Times New Roman" w:cs="Times New Roman"/>
          <w:sz w:val="24"/>
          <w:szCs w:val="24"/>
          <w:lang w:eastAsia="it-IT"/>
        </w:rPr>
        <w:t>Tab</w:t>
      </w:r>
      <w:proofErr w:type="spellEnd"/>
      <w:r w:rsidR="006B092E" w:rsidRPr="00D43450">
        <w:rPr>
          <w:rFonts w:ascii="Times New Roman" w:eastAsia="Times New Roman" w:hAnsi="Times New Roman" w:cs="Times New Roman"/>
          <w:sz w:val="24"/>
          <w:szCs w:val="24"/>
          <w:lang w:eastAsia="it-IT"/>
        </w:rPr>
        <w:t xml:space="preserve">. </w:t>
      </w:r>
      <w:r w:rsidR="006B092E">
        <w:rPr>
          <w:rFonts w:ascii="Times New Roman" w:eastAsia="Times New Roman" w:hAnsi="Times New Roman" w:cs="Times New Roman"/>
          <w:sz w:val="24"/>
          <w:szCs w:val="24"/>
          <w:lang w:eastAsia="it-IT"/>
        </w:rPr>
        <w:t>21</w:t>
      </w:r>
      <w:r w:rsidR="006B092E" w:rsidRPr="00D43450">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w:t>
      </w:r>
      <w:r w:rsidRPr="00D43450">
        <w:rPr>
          <w:rFonts w:ascii="Times New Roman" w:eastAsia="Times New Roman" w:hAnsi="Times New Roman" w:cs="Times New Roman"/>
          <w:sz w:val="24"/>
          <w:szCs w:val="24"/>
          <w:lang w:eastAsia="it-IT"/>
        </w:rPr>
        <w:t xml:space="preserve"> con un incremento di euro </w:t>
      </w:r>
      <w:r>
        <w:rPr>
          <w:rFonts w:ascii="Times New Roman" w:eastAsia="Times New Roman" w:hAnsi="Times New Roman" w:cs="Times New Roman"/>
          <w:sz w:val="24"/>
          <w:szCs w:val="24"/>
          <w:lang w:eastAsia="it-IT"/>
        </w:rPr>
        <w:t>2.792.731,53</w:t>
      </w:r>
      <w:bookmarkEnd w:id="18"/>
      <w:r w:rsidR="00A914B4">
        <w:rPr>
          <w:rFonts w:ascii="Times New Roman" w:eastAsia="Times New Roman" w:hAnsi="Times New Roman" w:cs="Times New Roman"/>
          <w:sz w:val="24"/>
          <w:szCs w:val="24"/>
          <w:lang w:eastAsia="it-IT"/>
        </w:rPr>
        <w:t>, dovuto alle maggiori spese di energia elettrica e gas causate dalle</w:t>
      </w:r>
      <w:r w:rsidRPr="001E48B8">
        <w:rPr>
          <w:rFonts w:ascii="Times New Roman" w:eastAsia="Times New Roman" w:hAnsi="Times New Roman" w:cs="Times New Roman"/>
          <w:sz w:val="24"/>
          <w:szCs w:val="24"/>
          <w:lang w:eastAsia="it-IT"/>
        </w:rPr>
        <w:t xml:space="preserve"> tensioni politiche internazionali e della </w:t>
      </w:r>
      <w:r w:rsidR="0053032C">
        <w:rPr>
          <w:rFonts w:ascii="Times New Roman" w:eastAsia="Times New Roman" w:hAnsi="Times New Roman" w:cs="Times New Roman"/>
          <w:sz w:val="24"/>
          <w:szCs w:val="24"/>
          <w:lang w:eastAsia="it-IT"/>
        </w:rPr>
        <w:t>conseg</w:t>
      </w:r>
      <w:r w:rsidR="00A914B4">
        <w:rPr>
          <w:rFonts w:ascii="Times New Roman" w:eastAsia="Times New Roman" w:hAnsi="Times New Roman" w:cs="Times New Roman"/>
          <w:sz w:val="24"/>
          <w:szCs w:val="24"/>
          <w:lang w:eastAsia="it-IT"/>
        </w:rPr>
        <w:t>u</w:t>
      </w:r>
      <w:r w:rsidR="0053032C">
        <w:rPr>
          <w:rFonts w:ascii="Times New Roman" w:eastAsia="Times New Roman" w:hAnsi="Times New Roman" w:cs="Times New Roman"/>
          <w:sz w:val="24"/>
          <w:szCs w:val="24"/>
          <w:lang w:eastAsia="it-IT"/>
        </w:rPr>
        <w:t>e</w:t>
      </w:r>
      <w:r w:rsidR="00A914B4">
        <w:rPr>
          <w:rFonts w:ascii="Times New Roman" w:eastAsia="Times New Roman" w:hAnsi="Times New Roman" w:cs="Times New Roman"/>
          <w:sz w:val="24"/>
          <w:szCs w:val="24"/>
          <w:lang w:eastAsia="it-IT"/>
        </w:rPr>
        <w:t xml:space="preserve">nte </w:t>
      </w:r>
      <w:r w:rsidRPr="001E48B8">
        <w:rPr>
          <w:rFonts w:ascii="Times New Roman" w:eastAsia="Times New Roman" w:hAnsi="Times New Roman" w:cs="Times New Roman"/>
          <w:sz w:val="24"/>
          <w:szCs w:val="24"/>
          <w:lang w:eastAsia="it-IT"/>
        </w:rPr>
        <w:t>crisi energetica.</w:t>
      </w:r>
    </w:p>
    <w:p w14:paraId="0C18B810" w14:textId="15A3F1E7" w:rsidR="00600D30" w:rsidRDefault="00600D30" w:rsidP="00600D30">
      <w:pPr>
        <w:spacing w:after="120" w:line="360" w:lineRule="auto"/>
        <w:ind w:left="2832" w:firstLine="708"/>
        <w:jc w:val="both"/>
        <w:rPr>
          <w:rFonts w:ascii="Times New Roman" w:eastAsia="Times New Roman" w:hAnsi="Times New Roman" w:cs="Times New Roman"/>
          <w:b/>
          <w:color w:val="000000"/>
          <w:sz w:val="24"/>
          <w:szCs w:val="24"/>
          <w:lang w:eastAsia="it-IT"/>
        </w:rPr>
      </w:pP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21</w:t>
      </w:r>
      <w:r w:rsidRPr="00CA05CA">
        <w:rPr>
          <w:rFonts w:ascii="Times New Roman" w:eastAsia="Times New Roman" w:hAnsi="Times New Roman" w:cs="Times New Roman"/>
          <w:b/>
          <w:color w:val="000000"/>
          <w:sz w:val="24"/>
          <w:szCs w:val="24"/>
          <w:lang w:eastAsia="it-IT"/>
        </w:rPr>
        <w:t xml:space="preserve"> – Utenze e canoni</w:t>
      </w:r>
    </w:p>
    <w:p w14:paraId="2B5A0260" w14:textId="6945883F" w:rsidR="00600D30" w:rsidRDefault="00717ED6" w:rsidP="00717ED6">
      <w:pPr>
        <w:spacing w:after="120" w:line="360" w:lineRule="auto"/>
        <w:ind w:left="2832" w:hanging="705"/>
        <w:rPr>
          <w:rFonts w:ascii="Times New Roman" w:eastAsia="Times New Roman" w:hAnsi="Times New Roman" w:cs="Times New Roman"/>
          <w:b/>
          <w:color w:val="000000"/>
          <w:sz w:val="24"/>
          <w:szCs w:val="24"/>
          <w:lang w:eastAsia="it-IT"/>
        </w:rPr>
      </w:pPr>
      <w:r w:rsidRPr="00717ED6">
        <w:rPr>
          <w:noProof/>
          <w:lang w:eastAsia="it-IT"/>
        </w:rPr>
        <w:drawing>
          <wp:inline distT="0" distB="0" distL="0" distR="0" wp14:anchorId="7F31E63C" wp14:editId="3B5AA881">
            <wp:extent cx="3510111" cy="38989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4554" cy="390383"/>
                    </a:xfrm>
                    <a:prstGeom prst="rect">
                      <a:avLst/>
                    </a:prstGeom>
                    <a:noFill/>
                    <a:ln>
                      <a:noFill/>
                    </a:ln>
                  </pic:spPr>
                </pic:pic>
              </a:graphicData>
            </a:graphic>
          </wp:inline>
        </w:drawing>
      </w:r>
    </w:p>
    <w:p w14:paraId="3719D812" w14:textId="15B696F9" w:rsidR="00600D30" w:rsidRPr="00CA05CA" w:rsidRDefault="00717ED6" w:rsidP="00600D30">
      <w:pPr>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139E2362" wp14:editId="43CEA80A">
            <wp:extent cx="3598945" cy="2300130"/>
            <wp:effectExtent l="0" t="0" r="1905" b="508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22345" cy="2315085"/>
                    </a:xfrm>
                    <a:prstGeom prst="rect">
                      <a:avLst/>
                    </a:prstGeom>
                    <a:noFill/>
                  </pic:spPr>
                </pic:pic>
              </a:graphicData>
            </a:graphic>
          </wp:inline>
        </w:drawing>
      </w:r>
    </w:p>
    <w:p w14:paraId="4EEA5444" w14:textId="77777777" w:rsidR="002D2F76" w:rsidRDefault="002D2F76" w:rsidP="00600D30">
      <w:pPr>
        <w:spacing w:after="0" w:line="360" w:lineRule="auto"/>
        <w:jc w:val="both"/>
        <w:rPr>
          <w:rFonts w:ascii="Times New Roman" w:eastAsia="Times New Roman" w:hAnsi="Times New Roman" w:cs="Times New Roman"/>
          <w:color w:val="000000"/>
          <w:sz w:val="24"/>
          <w:szCs w:val="24"/>
          <w:lang w:eastAsia="it-IT"/>
        </w:rPr>
      </w:pPr>
    </w:p>
    <w:p w14:paraId="3FF6D669" w14:textId="77777777" w:rsidR="002D2F76" w:rsidRDefault="002D2F76" w:rsidP="00600D30">
      <w:pPr>
        <w:spacing w:after="0" w:line="360" w:lineRule="auto"/>
        <w:jc w:val="both"/>
        <w:rPr>
          <w:rFonts w:ascii="Times New Roman" w:eastAsia="Times New Roman" w:hAnsi="Times New Roman" w:cs="Times New Roman"/>
          <w:color w:val="000000"/>
          <w:sz w:val="24"/>
          <w:szCs w:val="24"/>
          <w:lang w:eastAsia="it-IT"/>
        </w:rPr>
      </w:pPr>
    </w:p>
    <w:p w14:paraId="3B663047" w14:textId="3F19B689" w:rsidR="00600D30" w:rsidRDefault="00600D30" w:rsidP="00600D30">
      <w:pPr>
        <w:spacing w:after="0" w:line="360" w:lineRule="auto"/>
        <w:jc w:val="both"/>
        <w:rPr>
          <w:rFonts w:ascii="Times New Roman" w:eastAsia="Times New Roman" w:hAnsi="Times New Roman" w:cs="Times New Roman"/>
          <w:color w:val="000000"/>
          <w:sz w:val="24"/>
          <w:szCs w:val="24"/>
          <w:lang w:eastAsia="it-IT"/>
        </w:rPr>
      </w:pPr>
      <w:r w:rsidRPr="00D43450">
        <w:rPr>
          <w:rFonts w:ascii="Times New Roman" w:eastAsia="Times New Roman" w:hAnsi="Times New Roman" w:cs="Times New Roman"/>
          <w:color w:val="000000"/>
          <w:sz w:val="24"/>
          <w:szCs w:val="24"/>
          <w:lang w:eastAsia="it-IT"/>
        </w:rPr>
        <w:t>L</w:t>
      </w:r>
      <w:r w:rsidR="00877AAF">
        <w:rPr>
          <w:rFonts w:ascii="Times New Roman" w:eastAsia="Times New Roman" w:hAnsi="Times New Roman" w:cs="Times New Roman"/>
          <w:color w:val="000000"/>
          <w:sz w:val="24"/>
          <w:szCs w:val="24"/>
          <w:lang w:eastAsia="it-IT"/>
        </w:rPr>
        <w:t>’</w:t>
      </w:r>
      <w:r w:rsidRPr="00D43450">
        <w:rPr>
          <w:rFonts w:ascii="Times New Roman" w:eastAsia="Times New Roman" w:hAnsi="Times New Roman" w:cs="Times New Roman"/>
          <w:color w:val="000000"/>
          <w:sz w:val="24"/>
          <w:szCs w:val="24"/>
          <w:lang w:eastAsia="it-IT"/>
        </w:rPr>
        <w:t>impegnato per comitati, commissioni e organismi istituiti presso la Presidenza del Consiglio dei ministri nel 202</w:t>
      </w:r>
      <w:r>
        <w:rPr>
          <w:rFonts w:ascii="Times New Roman" w:eastAsia="Times New Roman" w:hAnsi="Times New Roman" w:cs="Times New Roman"/>
          <w:color w:val="000000"/>
          <w:sz w:val="24"/>
          <w:szCs w:val="24"/>
          <w:lang w:eastAsia="it-IT"/>
        </w:rPr>
        <w:t>2</w:t>
      </w:r>
      <w:r w:rsidRPr="00D43450">
        <w:rPr>
          <w:rFonts w:ascii="Times New Roman" w:eastAsia="Times New Roman" w:hAnsi="Times New Roman" w:cs="Times New Roman"/>
          <w:color w:val="000000"/>
          <w:sz w:val="24"/>
          <w:szCs w:val="24"/>
          <w:lang w:eastAsia="it-IT"/>
        </w:rPr>
        <w:t xml:space="preserve"> è </w:t>
      </w:r>
      <w:r>
        <w:rPr>
          <w:rFonts w:ascii="Times New Roman" w:eastAsia="Times New Roman" w:hAnsi="Times New Roman" w:cs="Times New Roman"/>
          <w:color w:val="000000"/>
          <w:sz w:val="24"/>
          <w:szCs w:val="24"/>
          <w:lang w:eastAsia="it-IT"/>
        </w:rPr>
        <w:t>aumentato,</w:t>
      </w:r>
      <w:r w:rsidRPr="00D43450">
        <w:rPr>
          <w:rFonts w:ascii="Times New Roman" w:eastAsia="Times New Roman" w:hAnsi="Times New Roman" w:cs="Times New Roman"/>
          <w:color w:val="000000"/>
          <w:sz w:val="24"/>
          <w:szCs w:val="24"/>
          <w:lang w:eastAsia="it-IT"/>
        </w:rPr>
        <w:t xml:space="preserve"> rispetto al 20</w:t>
      </w:r>
      <w:r>
        <w:rPr>
          <w:rFonts w:ascii="Times New Roman" w:eastAsia="Times New Roman" w:hAnsi="Times New Roman" w:cs="Times New Roman"/>
          <w:color w:val="000000"/>
          <w:sz w:val="24"/>
          <w:szCs w:val="24"/>
          <w:lang w:eastAsia="it-IT"/>
        </w:rPr>
        <w:t>21, di euro 44.016,55</w:t>
      </w:r>
      <w:r w:rsidRPr="00D43450">
        <w:rPr>
          <w:rFonts w:ascii="Times New Roman" w:eastAsia="Times New Roman" w:hAnsi="Times New Roman" w:cs="Times New Roman"/>
          <w:color w:val="000000"/>
          <w:sz w:val="24"/>
          <w:szCs w:val="24"/>
          <w:lang w:eastAsia="it-IT"/>
        </w:rPr>
        <w:t xml:space="preserve">, passando </w:t>
      </w:r>
      <w:r w:rsidRPr="00D43450">
        <w:rPr>
          <w:rFonts w:ascii="Times New Roman" w:eastAsia="Times New Roman" w:hAnsi="Times New Roman" w:cs="Times New Roman"/>
          <w:sz w:val="24"/>
          <w:szCs w:val="24"/>
          <w:lang w:eastAsia="it-IT"/>
        </w:rPr>
        <w:t xml:space="preserve">da euro </w:t>
      </w:r>
      <w:r w:rsidRPr="005A73A6">
        <w:rPr>
          <w:rFonts w:ascii="Times New Roman" w:eastAsia="Times New Roman" w:hAnsi="Times New Roman" w:cs="Times New Roman"/>
          <w:sz w:val="24"/>
          <w:szCs w:val="24"/>
          <w:lang w:eastAsia="it-IT"/>
        </w:rPr>
        <w:t>266.628,52</w:t>
      </w:r>
      <w:r w:rsidRPr="002210F3">
        <w:rPr>
          <w:rFonts w:ascii="Times New Roman" w:eastAsia="Times New Roman" w:hAnsi="Times New Roman" w:cs="Times New Roman"/>
          <w:sz w:val="24"/>
          <w:szCs w:val="24"/>
          <w:lang w:eastAsia="it-IT"/>
        </w:rPr>
        <w:t xml:space="preserve"> </w:t>
      </w:r>
      <w:r w:rsidR="009F77D1">
        <w:rPr>
          <w:rFonts w:ascii="Times New Roman" w:eastAsia="Times New Roman" w:hAnsi="Times New Roman" w:cs="Times New Roman"/>
          <w:sz w:val="24"/>
          <w:szCs w:val="24"/>
          <w:lang w:eastAsia="it-IT"/>
        </w:rPr>
        <w:t>a euro</w:t>
      </w:r>
      <w:r w:rsidRPr="00D43450">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310.645,07</w:t>
      </w:r>
      <w:r w:rsidR="006B092E">
        <w:rPr>
          <w:rFonts w:ascii="Times New Roman" w:eastAsia="Times New Roman" w:hAnsi="Times New Roman" w:cs="Times New Roman"/>
          <w:sz w:val="24"/>
          <w:szCs w:val="24"/>
          <w:lang w:eastAsia="it-IT"/>
        </w:rPr>
        <w:t xml:space="preserve"> </w:t>
      </w:r>
      <w:r w:rsidR="006B092E" w:rsidRPr="00D43450">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cfr. </w:t>
      </w:r>
      <w:proofErr w:type="spellStart"/>
      <w:r w:rsidR="006B092E" w:rsidRPr="00D43450">
        <w:rPr>
          <w:rFonts w:ascii="Times New Roman" w:eastAsia="Times New Roman" w:hAnsi="Times New Roman" w:cs="Times New Roman"/>
          <w:color w:val="000000"/>
          <w:sz w:val="24"/>
          <w:szCs w:val="24"/>
          <w:lang w:eastAsia="it-IT"/>
        </w:rPr>
        <w:t>Tab</w:t>
      </w:r>
      <w:proofErr w:type="spellEnd"/>
      <w:r w:rsidR="006B092E" w:rsidRPr="00D43450">
        <w:rPr>
          <w:rFonts w:ascii="Times New Roman" w:eastAsia="Times New Roman" w:hAnsi="Times New Roman" w:cs="Times New Roman"/>
          <w:color w:val="000000"/>
          <w:sz w:val="24"/>
          <w:szCs w:val="24"/>
          <w:lang w:eastAsia="it-IT"/>
        </w:rPr>
        <w:t>. 2</w:t>
      </w:r>
      <w:r w:rsidR="006B092E">
        <w:rPr>
          <w:rFonts w:ascii="Times New Roman" w:eastAsia="Times New Roman" w:hAnsi="Times New Roman" w:cs="Times New Roman"/>
          <w:color w:val="000000"/>
          <w:sz w:val="24"/>
          <w:szCs w:val="24"/>
          <w:lang w:eastAsia="it-IT"/>
        </w:rPr>
        <w:t>2</w:t>
      </w:r>
      <w:r w:rsidR="006B092E" w:rsidRPr="00D43450">
        <w:rPr>
          <w:rFonts w:ascii="Times New Roman" w:eastAsia="Times New Roman" w:hAnsi="Times New Roman" w:cs="Times New Roman"/>
          <w:color w:val="000000"/>
          <w:sz w:val="24"/>
          <w:szCs w:val="24"/>
          <w:lang w:eastAsia="it-IT"/>
        </w:rPr>
        <w:t>)</w:t>
      </w:r>
      <w:r w:rsidR="00A914B4">
        <w:rPr>
          <w:rFonts w:ascii="Times New Roman" w:eastAsia="Times New Roman" w:hAnsi="Times New Roman" w:cs="Times New Roman"/>
          <w:sz w:val="24"/>
          <w:szCs w:val="24"/>
          <w:lang w:eastAsia="it-IT"/>
        </w:rPr>
        <w:t xml:space="preserve">, </w:t>
      </w:r>
      <w:r w:rsidR="00A914B4" w:rsidRPr="00061B9D">
        <w:rPr>
          <w:rFonts w:ascii="Times New Roman" w:eastAsia="Times New Roman" w:hAnsi="Times New Roman" w:cs="Times New Roman"/>
          <w:sz w:val="24"/>
          <w:szCs w:val="24"/>
          <w:lang w:eastAsia="it-IT"/>
        </w:rPr>
        <w:t>dovuto alla ripresa delle attività per l</w:t>
      </w:r>
      <w:r w:rsidR="00877AAF">
        <w:rPr>
          <w:rFonts w:ascii="Times New Roman" w:eastAsia="Times New Roman" w:hAnsi="Times New Roman" w:cs="Times New Roman"/>
          <w:sz w:val="24"/>
          <w:szCs w:val="24"/>
          <w:lang w:eastAsia="it-IT"/>
        </w:rPr>
        <w:t>’</w:t>
      </w:r>
      <w:r w:rsidR="00A914B4" w:rsidRPr="00061B9D">
        <w:rPr>
          <w:rFonts w:ascii="Times New Roman" w:eastAsia="Times New Roman" w:hAnsi="Times New Roman" w:cs="Times New Roman"/>
          <w:sz w:val="24"/>
          <w:szCs w:val="24"/>
          <w:lang w:eastAsia="it-IT"/>
        </w:rPr>
        <w:t xml:space="preserve">allentamento delle misure per il contenimento del </w:t>
      </w:r>
      <w:r w:rsidR="00A914B4" w:rsidRPr="00061B9D">
        <w:rPr>
          <w:rFonts w:ascii="Times New Roman" w:hAnsi="Times New Roman" w:cs="Times New Roman"/>
          <w:sz w:val="24"/>
          <w:szCs w:val="24"/>
        </w:rPr>
        <w:t>COVID-19</w:t>
      </w:r>
      <w:r>
        <w:rPr>
          <w:rFonts w:ascii="Times New Roman" w:eastAsia="Times New Roman" w:hAnsi="Times New Roman" w:cs="Times New Roman"/>
          <w:color w:val="000000"/>
          <w:sz w:val="24"/>
          <w:szCs w:val="24"/>
          <w:lang w:eastAsia="it-IT"/>
        </w:rPr>
        <w:t xml:space="preserve">. </w:t>
      </w:r>
    </w:p>
    <w:p w14:paraId="5A56E23E" w14:textId="2E45A2AE" w:rsidR="00600D30" w:rsidRPr="00600D30" w:rsidRDefault="00600D30" w:rsidP="00600D30">
      <w:pPr>
        <w:spacing w:after="0" w:line="36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sz w:val="24"/>
          <w:szCs w:val="24"/>
          <w:lang w:eastAsia="it-IT"/>
        </w:rPr>
        <w:tab/>
      </w:r>
      <w:r>
        <w:rPr>
          <w:rFonts w:ascii="Times New Roman" w:eastAsia="Times New Roman" w:hAnsi="Times New Roman" w:cs="Times New Roman"/>
          <w:b/>
          <w:sz w:val="24"/>
          <w:szCs w:val="24"/>
          <w:lang w:eastAsia="it-IT"/>
        </w:rPr>
        <w:tab/>
      </w:r>
      <w:r>
        <w:rPr>
          <w:rFonts w:ascii="Times New Roman" w:eastAsia="Times New Roman" w:hAnsi="Times New Roman" w:cs="Times New Roman"/>
          <w:b/>
          <w:sz w:val="24"/>
          <w:szCs w:val="24"/>
          <w:lang w:eastAsia="it-IT"/>
        </w:rPr>
        <w:tab/>
        <w:t xml:space="preserve">  </w:t>
      </w:r>
      <w:proofErr w:type="spellStart"/>
      <w:r w:rsidRPr="0062333E">
        <w:rPr>
          <w:rFonts w:ascii="Times New Roman" w:eastAsia="Times New Roman" w:hAnsi="Times New Roman" w:cs="Times New Roman"/>
          <w:b/>
          <w:sz w:val="24"/>
          <w:szCs w:val="24"/>
          <w:lang w:eastAsia="it-IT"/>
        </w:rPr>
        <w:t>Tab</w:t>
      </w:r>
      <w:proofErr w:type="spellEnd"/>
      <w:r w:rsidRPr="0062333E">
        <w:rPr>
          <w:rFonts w:ascii="Times New Roman" w:eastAsia="Times New Roman" w:hAnsi="Times New Roman" w:cs="Times New Roman"/>
          <w:b/>
          <w:sz w:val="24"/>
          <w:szCs w:val="24"/>
          <w:lang w:eastAsia="it-IT"/>
        </w:rPr>
        <w:t>. 2</w:t>
      </w:r>
      <w:r>
        <w:rPr>
          <w:rFonts w:ascii="Times New Roman" w:eastAsia="Times New Roman" w:hAnsi="Times New Roman" w:cs="Times New Roman"/>
          <w:b/>
          <w:sz w:val="24"/>
          <w:szCs w:val="24"/>
          <w:lang w:eastAsia="it-IT"/>
        </w:rPr>
        <w:t>2</w:t>
      </w:r>
      <w:r w:rsidRPr="0062333E">
        <w:rPr>
          <w:rFonts w:ascii="Times New Roman" w:eastAsia="Times New Roman" w:hAnsi="Times New Roman" w:cs="Times New Roman"/>
          <w:b/>
          <w:sz w:val="24"/>
          <w:szCs w:val="24"/>
          <w:lang w:eastAsia="it-IT"/>
        </w:rPr>
        <w:t xml:space="preserve"> – Comitati, Commissioni e organismi </w:t>
      </w:r>
    </w:p>
    <w:p w14:paraId="5232452E" w14:textId="1D0CE404" w:rsidR="00600D30" w:rsidRDefault="00717ED6" w:rsidP="00600D30">
      <w:pPr>
        <w:tabs>
          <w:tab w:val="left" w:pos="0"/>
        </w:tabs>
        <w:spacing w:after="0" w:line="360" w:lineRule="auto"/>
        <w:jc w:val="center"/>
        <w:rPr>
          <w:rFonts w:ascii="Times New Roman" w:eastAsia="Times New Roman" w:hAnsi="Times New Roman" w:cs="Times New Roman"/>
          <w:sz w:val="24"/>
          <w:szCs w:val="24"/>
          <w:highlight w:val="green"/>
          <w:lang w:eastAsia="it-IT"/>
        </w:rPr>
      </w:pPr>
      <w:r w:rsidRPr="00717ED6">
        <w:rPr>
          <w:noProof/>
          <w:lang w:eastAsia="it-IT"/>
        </w:rPr>
        <w:drawing>
          <wp:inline distT="0" distB="0" distL="0" distR="0" wp14:anchorId="7842D93C" wp14:editId="00FA4A9C">
            <wp:extent cx="3627120" cy="389890"/>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6D94DBB0" w14:textId="3E37CAA8" w:rsidR="00600D30" w:rsidRDefault="00717ED6" w:rsidP="00600D30">
      <w:pPr>
        <w:tabs>
          <w:tab w:val="left" w:pos="0"/>
        </w:tabs>
        <w:spacing w:after="0" w:line="360" w:lineRule="auto"/>
        <w:jc w:val="center"/>
        <w:rPr>
          <w:rFonts w:ascii="Times New Roman" w:eastAsia="Times New Roman" w:hAnsi="Times New Roman" w:cs="Times New Roman"/>
          <w:sz w:val="24"/>
          <w:szCs w:val="24"/>
          <w:highlight w:val="green"/>
          <w:lang w:eastAsia="it-IT"/>
        </w:rPr>
      </w:pPr>
      <w:r w:rsidRPr="00717ED6">
        <w:rPr>
          <w:rFonts w:ascii="Times New Roman" w:eastAsia="Times New Roman" w:hAnsi="Times New Roman" w:cs="Times New Roman"/>
          <w:noProof/>
          <w:sz w:val="24"/>
          <w:szCs w:val="24"/>
          <w:lang w:eastAsia="it-IT"/>
        </w:rPr>
        <w:drawing>
          <wp:inline distT="0" distB="0" distL="0" distR="0" wp14:anchorId="27F10424" wp14:editId="44228411">
            <wp:extent cx="3711051" cy="2228689"/>
            <wp:effectExtent l="0" t="0" r="3810" b="63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1767" cy="2253141"/>
                    </a:xfrm>
                    <a:prstGeom prst="rect">
                      <a:avLst/>
                    </a:prstGeom>
                    <a:noFill/>
                  </pic:spPr>
                </pic:pic>
              </a:graphicData>
            </a:graphic>
          </wp:inline>
        </w:drawing>
      </w:r>
    </w:p>
    <w:p w14:paraId="02BCD0F3" w14:textId="18BDDA1B" w:rsidR="00600D30" w:rsidRDefault="00600D30" w:rsidP="00600D30">
      <w:pPr>
        <w:spacing w:after="0" w:line="360" w:lineRule="auto"/>
        <w:jc w:val="both"/>
        <w:rPr>
          <w:rFonts w:ascii="Times New Roman" w:eastAsia="Times New Roman" w:hAnsi="Times New Roman" w:cs="Times New Roman"/>
          <w:sz w:val="24"/>
          <w:szCs w:val="24"/>
          <w:lang w:eastAsia="it-IT"/>
        </w:rPr>
      </w:pPr>
    </w:p>
    <w:p w14:paraId="4664FFD2" w14:textId="2BB6F61B" w:rsidR="000759BB" w:rsidRDefault="000759BB" w:rsidP="00600D30">
      <w:pPr>
        <w:spacing w:after="0" w:line="360" w:lineRule="auto"/>
        <w:jc w:val="both"/>
        <w:rPr>
          <w:rFonts w:ascii="Times New Roman" w:eastAsia="Times New Roman" w:hAnsi="Times New Roman" w:cs="Times New Roman"/>
          <w:sz w:val="24"/>
          <w:szCs w:val="24"/>
          <w:lang w:eastAsia="it-IT"/>
        </w:rPr>
      </w:pPr>
    </w:p>
    <w:p w14:paraId="250C22FB" w14:textId="77777777" w:rsidR="000759BB" w:rsidRDefault="000759BB" w:rsidP="00600D30">
      <w:pPr>
        <w:spacing w:after="0" w:line="360" w:lineRule="auto"/>
        <w:jc w:val="both"/>
        <w:rPr>
          <w:rFonts w:ascii="Times New Roman" w:eastAsia="Times New Roman" w:hAnsi="Times New Roman" w:cs="Times New Roman"/>
          <w:sz w:val="24"/>
          <w:szCs w:val="24"/>
          <w:lang w:eastAsia="it-IT"/>
        </w:rPr>
      </w:pPr>
    </w:p>
    <w:p w14:paraId="183BDC98" w14:textId="2D3F6101" w:rsidR="00600D30" w:rsidRDefault="00600D30" w:rsidP="009802BE">
      <w:pPr>
        <w:spacing w:after="0" w:line="360" w:lineRule="auto"/>
        <w:jc w:val="both"/>
        <w:rPr>
          <w:rFonts w:ascii="Times New Roman" w:eastAsia="Times New Roman" w:hAnsi="Times New Roman" w:cs="Times New Roman"/>
          <w:b/>
          <w:color w:val="000000"/>
          <w:sz w:val="24"/>
          <w:szCs w:val="24"/>
          <w:lang w:eastAsia="it-IT"/>
        </w:rPr>
      </w:pPr>
      <w:r w:rsidRPr="007C5E74">
        <w:rPr>
          <w:rFonts w:ascii="Times New Roman" w:eastAsia="Times New Roman" w:hAnsi="Times New Roman" w:cs="Times New Roman"/>
          <w:color w:val="000000"/>
          <w:sz w:val="24"/>
          <w:szCs w:val="24"/>
          <w:lang w:eastAsia="it-IT"/>
        </w:rPr>
        <w:t>Per convegni, mostre e relazioni pubbliche</w:t>
      </w:r>
      <w:r>
        <w:rPr>
          <w:rFonts w:ascii="Times New Roman" w:eastAsia="Times New Roman" w:hAnsi="Times New Roman" w:cs="Times New Roman"/>
          <w:color w:val="000000"/>
          <w:sz w:val="24"/>
          <w:szCs w:val="24"/>
          <w:lang w:eastAsia="it-IT"/>
        </w:rPr>
        <w:t>,</w:t>
      </w:r>
      <w:r w:rsidRPr="007C5E74">
        <w:rPr>
          <w:rFonts w:ascii="Times New Roman" w:eastAsia="Times New Roman" w:hAnsi="Times New Roman" w:cs="Times New Roman"/>
          <w:color w:val="000000"/>
          <w:sz w:val="24"/>
          <w:szCs w:val="24"/>
          <w:lang w:eastAsia="it-IT"/>
        </w:rPr>
        <w:t xml:space="preserve"> la spesa sostenuta nel 202</w:t>
      </w:r>
      <w:r>
        <w:rPr>
          <w:rFonts w:ascii="Times New Roman" w:eastAsia="Times New Roman" w:hAnsi="Times New Roman" w:cs="Times New Roman"/>
          <w:color w:val="000000"/>
          <w:sz w:val="24"/>
          <w:szCs w:val="24"/>
          <w:lang w:eastAsia="it-IT"/>
        </w:rPr>
        <w:t>2</w:t>
      </w:r>
      <w:r w:rsidRPr="007C5E74">
        <w:rPr>
          <w:rFonts w:ascii="Times New Roman" w:eastAsia="Times New Roman" w:hAnsi="Times New Roman" w:cs="Times New Roman"/>
          <w:color w:val="000000"/>
          <w:sz w:val="24"/>
          <w:szCs w:val="24"/>
          <w:lang w:eastAsia="it-IT"/>
        </w:rPr>
        <w:t xml:space="preserve"> è </w:t>
      </w:r>
      <w:r w:rsidR="00775234">
        <w:rPr>
          <w:rFonts w:ascii="Times New Roman" w:eastAsia="Times New Roman" w:hAnsi="Times New Roman" w:cs="Times New Roman"/>
          <w:color w:val="000000"/>
          <w:sz w:val="24"/>
          <w:szCs w:val="24"/>
          <w:lang w:eastAsia="it-IT"/>
        </w:rPr>
        <w:t xml:space="preserve">lievemente </w:t>
      </w:r>
      <w:r>
        <w:rPr>
          <w:rFonts w:ascii="Times New Roman" w:eastAsia="Times New Roman" w:hAnsi="Times New Roman" w:cs="Times New Roman"/>
          <w:color w:val="000000"/>
          <w:sz w:val="24"/>
          <w:szCs w:val="24"/>
          <w:lang w:eastAsia="it-IT"/>
        </w:rPr>
        <w:t>diminuita di euro 9.760,00</w:t>
      </w:r>
      <w:r w:rsidRPr="007C5E74">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passando da euro 52.460,00</w:t>
      </w:r>
      <w:r w:rsidRPr="007C5E74">
        <w:rPr>
          <w:rFonts w:ascii="Times New Roman" w:eastAsia="Times New Roman" w:hAnsi="Times New Roman" w:cs="Times New Roman"/>
          <w:color w:val="000000"/>
          <w:sz w:val="24"/>
          <w:szCs w:val="24"/>
          <w:lang w:eastAsia="it-IT"/>
        </w:rPr>
        <w:t xml:space="preserve"> </w:t>
      </w:r>
      <w:r w:rsidR="009F77D1">
        <w:rPr>
          <w:rFonts w:ascii="Times New Roman" w:eastAsia="Times New Roman" w:hAnsi="Times New Roman" w:cs="Times New Roman"/>
          <w:color w:val="000000"/>
          <w:sz w:val="24"/>
          <w:szCs w:val="24"/>
          <w:lang w:eastAsia="it-IT"/>
        </w:rPr>
        <w:t>a euro</w:t>
      </w:r>
      <w:r w:rsidRPr="007C5E74">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42.700,00</w:t>
      </w:r>
      <w:r w:rsidRPr="007C5E74">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cfr. </w:t>
      </w:r>
      <w:proofErr w:type="spellStart"/>
      <w:r w:rsidRPr="007C5E74">
        <w:rPr>
          <w:rFonts w:ascii="Times New Roman" w:eastAsia="Times New Roman" w:hAnsi="Times New Roman" w:cs="Times New Roman"/>
          <w:color w:val="000000"/>
          <w:sz w:val="24"/>
          <w:szCs w:val="24"/>
          <w:lang w:eastAsia="it-IT"/>
        </w:rPr>
        <w:t>Tab</w:t>
      </w:r>
      <w:proofErr w:type="spellEnd"/>
      <w:r w:rsidRPr="007C5E74">
        <w:rPr>
          <w:rFonts w:ascii="Times New Roman" w:eastAsia="Times New Roman" w:hAnsi="Times New Roman" w:cs="Times New Roman"/>
          <w:color w:val="000000"/>
          <w:sz w:val="24"/>
          <w:szCs w:val="24"/>
          <w:lang w:eastAsia="it-IT"/>
        </w:rPr>
        <w:t>. 2</w:t>
      </w:r>
      <w:r>
        <w:rPr>
          <w:rFonts w:ascii="Times New Roman" w:eastAsia="Times New Roman" w:hAnsi="Times New Roman" w:cs="Times New Roman"/>
          <w:color w:val="000000"/>
          <w:sz w:val="24"/>
          <w:szCs w:val="24"/>
          <w:lang w:eastAsia="it-IT"/>
        </w:rPr>
        <w:t>3</w:t>
      </w:r>
      <w:r w:rsidRPr="007C5E74">
        <w:rPr>
          <w:rFonts w:ascii="Times New Roman" w:eastAsia="Times New Roman" w:hAnsi="Times New Roman" w:cs="Times New Roman"/>
          <w:color w:val="000000"/>
          <w:sz w:val="24"/>
          <w:szCs w:val="24"/>
          <w:lang w:eastAsia="it-IT"/>
        </w:rPr>
        <w:t>).</w:t>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t xml:space="preserve">                  </w:t>
      </w: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2</w:t>
      </w:r>
      <w:r>
        <w:rPr>
          <w:rFonts w:ascii="Times New Roman" w:eastAsia="Times New Roman" w:hAnsi="Times New Roman" w:cs="Times New Roman"/>
          <w:b/>
          <w:color w:val="000000"/>
          <w:sz w:val="24"/>
          <w:szCs w:val="24"/>
          <w:lang w:eastAsia="it-IT"/>
        </w:rPr>
        <w:t xml:space="preserve">3 </w:t>
      </w:r>
      <w:r w:rsidRPr="00CA05CA">
        <w:rPr>
          <w:rFonts w:ascii="Times New Roman" w:eastAsia="Times New Roman" w:hAnsi="Times New Roman" w:cs="Times New Roman"/>
          <w:b/>
          <w:color w:val="000000"/>
          <w:sz w:val="24"/>
          <w:szCs w:val="24"/>
          <w:lang w:eastAsia="it-IT"/>
        </w:rPr>
        <w:t>– Relazioni pubbliche, convegni e mostre</w:t>
      </w:r>
    </w:p>
    <w:p w14:paraId="6633F3AD" w14:textId="6852E861" w:rsidR="00717ED6" w:rsidRDefault="00717ED6" w:rsidP="00717ED6">
      <w:pPr>
        <w:tabs>
          <w:tab w:val="left" w:pos="0"/>
        </w:tabs>
        <w:spacing w:after="0" w:line="360" w:lineRule="auto"/>
        <w:jc w:val="center"/>
        <w:rPr>
          <w:rFonts w:ascii="Times New Roman" w:eastAsia="Times New Roman" w:hAnsi="Times New Roman" w:cs="Times New Roman"/>
          <w:b/>
          <w:color w:val="000000"/>
          <w:sz w:val="24"/>
          <w:szCs w:val="24"/>
          <w:lang w:eastAsia="it-IT"/>
        </w:rPr>
      </w:pPr>
      <w:r w:rsidRPr="00717ED6">
        <w:rPr>
          <w:noProof/>
          <w:lang w:eastAsia="it-IT"/>
        </w:rPr>
        <w:drawing>
          <wp:inline distT="0" distB="0" distL="0" distR="0" wp14:anchorId="295973A9" wp14:editId="656B8179">
            <wp:extent cx="3627120" cy="459105"/>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7120" cy="459105"/>
                    </a:xfrm>
                    <a:prstGeom prst="rect">
                      <a:avLst/>
                    </a:prstGeom>
                    <a:noFill/>
                    <a:ln>
                      <a:noFill/>
                    </a:ln>
                  </pic:spPr>
                </pic:pic>
              </a:graphicData>
            </a:graphic>
          </wp:inline>
        </w:drawing>
      </w:r>
    </w:p>
    <w:p w14:paraId="4B8A75AE" w14:textId="142859F2" w:rsidR="00600D30" w:rsidRPr="00CA05CA" w:rsidRDefault="00600D30" w:rsidP="00600D30">
      <w:pPr>
        <w:spacing w:after="0" w:line="360" w:lineRule="auto"/>
        <w:jc w:val="center"/>
        <w:rPr>
          <w:rFonts w:ascii="Times New Roman" w:eastAsia="Times New Roman" w:hAnsi="Times New Roman" w:cs="Times New Roman"/>
          <w:b/>
          <w:color w:val="000000"/>
          <w:sz w:val="24"/>
          <w:szCs w:val="24"/>
          <w:lang w:eastAsia="it-IT"/>
        </w:rPr>
      </w:pPr>
      <w:r w:rsidRPr="00200949">
        <w:rPr>
          <w:noProof/>
        </w:rPr>
        <w:t xml:space="preserve"> </w:t>
      </w:r>
      <w:r w:rsidR="00717ED6">
        <w:rPr>
          <w:noProof/>
          <w:lang w:eastAsia="it-IT"/>
        </w:rPr>
        <w:drawing>
          <wp:inline distT="0" distB="0" distL="0" distR="0" wp14:anchorId="085F6A26" wp14:editId="75D3B97F">
            <wp:extent cx="3678891" cy="2221838"/>
            <wp:effectExtent l="0" t="0" r="0" b="762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6108" cy="2232236"/>
                    </a:xfrm>
                    <a:prstGeom prst="rect">
                      <a:avLst/>
                    </a:prstGeom>
                    <a:noFill/>
                  </pic:spPr>
                </pic:pic>
              </a:graphicData>
            </a:graphic>
          </wp:inline>
        </w:drawing>
      </w:r>
    </w:p>
    <w:p w14:paraId="5FEC5AC8" w14:textId="77777777" w:rsidR="002D2F76" w:rsidRDefault="002D2F76" w:rsidP="00600D30">
      <w:pPr>
        <w:tabs>
          <w:tab w:val="left" w:pos="1965"/>
        </w:tabs>
        <w:spacing w:after="0" w:line="360" w:lineRule="auto"/>
        <w:jc w:val="both"/>
        <w:rPr>
          <w:rFonts w:ascii="Times New Roman" w:eastAsia="Times New Roman" w:hAnsi="Times New Roman" w:cs="Times New Roman"/>
          <w:sz w:val="24"/>
          <w:szCs w:val="24"/>
          <w:lang w:eastAsia="it-IT"/>
        </w:rPr>
      </w:pPr>
    </w:p>
    <w:p w14:paraId="057C0962" w14:textId="77777777" w:rsidR="002D2F76" w:rsidRDefault="002D2F76" w:rsidP="00600D30">
      <w:pPr>
        <w:tabs>
          <w:tab w:val="left" w:pos="1965"/>
        </w:tabs>
        <w:spacing w:after="0" w:line="360" w:lineRule="auto"/>
        <w:jc w:val="both"/>
        <w:rPr>
          <w:rFonts w:ascii="Times New Roman" w:eastAsia="Times New Roman" w:hAnsi="Times New Roman" w:cs="Times New Roman"/>
          <w:sz w:val="24"/>
          <w:szCs w:val="24"/>
          <w:lang w:eastAsia="it-IT"/>
        </w:rPr>
      </w:pPr>
    </w:p>
    <w:p w14:paraId="132152C4" w14:textId="56444E75" w:rsidR="00600D30" w:rsidRDefault="00600D30" w:rsidP="009802BE">
      <w:pPr>
        <w:tabs>
          <w:tab w:val="left" w:pos="1965"/>
        </w:tabs>
        <w:spacing w:after="0" w:line="360" w:lineRule="auto"/>
        <w:jc w:val="both"/>
        <w:rPr>
          <w:rFonts w:ascii="Times New Roman" w:eastAsia="Times New Roman" w:hAnsi="Times New Roman" w:cs="Times New Roman"/>
          <w:b/>
          <w:color w:val="000000"/>
          <w:sz w:val="24"/>
          <w:szCs w:val="24"/>
          <w:lang w:eastAsia="it-IT"/>
        </w:rPr>
      </w:pPr>
      <w:r w:rsidRPr="00D43450">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D43450">
        <w:rPr>
          <w:rFonts w:ascii="Times New Roman" w:eastAsia="Times New Roman" w:hAnsi="Times New Roman" w:cs="Times New Roman"/>
          <w:sz w:val="24"/>
          <w:szCs w:val="24"/>
          <w:lang w:eastAsia="it-IT"/>
        </w:rPr>
        <w:t>impegnato relativo agli oneri di mobilità, ossia ai servizi di accompagnamento “dedicato” e di pronta reperibilità nell</w:t>
      </w:r>
      <w:r w:rsidR="00877AAF">
        <w:rPr>
          <w:rFonts w:ascii="Times New Roman" w:eastAsia="Times New Roman" w:hAnsi="Times New Roman" w:cs="Times New Roman"/>
          <w:sz w:val="24"/>
          <w:szCs w:val="24"/>
          <w:lang w:eastAsia="it-IT"/>
        </w:rPr>
        <w:t>’</w:t>
      </w:r>
      <w:r w:rsidRPr="00D43450">
        <w:rPr>
          <w:rFonts w:ascii="Times New Roman" w:eastAsia="Times New Roman" w:hAnsi="Times New Roman" w:cs="Times New Roman"/>
          <w:sz w:val="24"/>
          <w:szCs w:val="24"/>
          <w:lang w:eastAsia="it-IT"/>
        </w:rPr>
        <w:t>anno 202</w:t>
      </w:r>
      <w:r>
        <w:rPr>
          <w:rFonts w:ascii="Times New Roman" w:eastAsia="Times New Roman" w:hAnsi="Times New Roman" w:cs="Times New Roman"/>
          <w:sz w:val="24"/>
          <w:szCs w:val="24"/>
          <w:lang w:eastAsia="it-IT"/>
        </w:rPr>
        <w:t>2,</w:t>
      </w:r>
      <w:r w:rsidRPr="00D43450">
        <w:rPr>
          <w:rFonts w:ascii="Times New Roman" w:eastAsia="Times New Roman" w:hAnsi="Times New Roman" w:cs="Times New Roman"/>
          <w:sz w:val="24"/>
          <w:szCs w:val="24"/>
          <w:lang w:eastAsia="it-IT"/>
        </w:rPr>
        <w:t xml:space="preserve"> </w:t>
      </w:r>
      <w:bookmarkStart w:id="19" w:name="_Hlk102905435"/>
      <w:r w:rsidRPr="00D43450">
        <w:rPr>
          <w:rFonts w:ascii="Times New Roman" w:eastAsia="Times New Roman" w:hAnsi="Times New Roman" w:cs="Times New Roman"/>
          <w:sz w:val="24"/>
          <w:szCs w:val="24"/>
          <w:lang w:eastAsia="it-IT"/>
        </w:rPr>
        <w:t>presenta un</w:t>
      </w:r>
      <w:r>
        <w:rPr>
          <w:rFonts w:ascii="Times New Roman" w:eastAsia="Times New Roman" w:hAnsi="Times New Roman" w:cs="Times New Roman"/>
          <w:sz w:val="24"/>
          <w:szCs w:val="24"/>
          <w:lang w:eastAsia="it-IT"/>
        </w:rPr>
        <w:t xml:space="preserve">a </w:t>
      </w:r>
      <w:r w:rsidR="00775234">
        <w:rPr>
          <w:rFonts w:ascii="Times New Roman" w:eastAsia="Times New Roman" w:hAnsi="Times New Roman" w:cs="Times New Roman"/>
          <w:sz w:val="24"/>
          <w:szCs w:val="24"/>
          <w:lang w:eastAsia="it-IT"/>
        </w:rPr>
        <w:t xml:space="preserve">lieve </w:t>
      </w:r>
      <w:r>
        <w:rPr>
          <w:rFonts w:ascii="Times New Roman" w:eastAsia="Times New Roman" w:hAnsi="Times New Roman" w:cs="Times New Roman"/>
          <w:sz w:val="24"/>
          <w:szCs w:val="24"/>
          <w:lang w:eastAsia="it-IT"/>
        </w:rPr>
        <w:t>diminuzione</w:t>
      </w:r>
      <w:r w:rsidRPr="00D43450">
        <w:rPr>
          <w:rFonts w:ascii="Times New Roman" w:eastAsia="Times New Roman" w:hAnsi="Times New Roman" w:cs="Times New Roman"/>
          <w:sz w:val="24"/>
          <w:szCs w:val="24"/>
          <w:lang w:eastAsia="it-IT"/>
        </w:rPr>
        <w:t xml:space="preserve"> di euro </w:t>
      </w:r>
      <w:r>
        <w:rPr>
          <w:rFonts w:ascii="Times New Roman" w:eastAsia="Times New Roman" w:hAnsi="Times New Roman" w:cs="Times New Roman"/>
          <w:sz w:val="24"/>
          <w:szCs w:val="24"/>
          <w:lang w:eastAsia="it-IT"/>
        </w:rPr>
        <w:t xml:space="preserve">7.854,42 </w:t>
      </w:r>
      <w:r w:rsidRPr="00D43450">
        <w:rPr>
          <w:rFonts w:ascii="Times New Roman" w:eastAsia="Times New Roman" w:hAnsi="Times New Roman" w:cs="Times New Roman"/>
          <w:sz w:val="24"/>
          <w:szCs w:val="24"/>
          <w:lang w:eastAsia="it-IT"/>
        </w:rPr>
        <w:t>rispetto a quello del 20</w:t>
      </w:r>
      <w:r>
        <w:rPr>
          <w:rFonts w:ascii="Times New Roman" w:eastAsia="Times New Roman" w:hAnsi="Times New Roman" w:cs="Times New Roman"/>
          <w:sz w:val="24"/>
          <w:szCs w:val="24"/>
          <w:lang w:eastAsia="it-IT"/>
        </w:rPr>
        <w:t>21</w:t>
      </w:r>
      <w:r w:rsidRPr="00D43450">
        <w:rPr>
          <w:rFonts w:ascii="Times New Roman" w:eastAsia="Times New Roman" w:hAnsi="Times New Roman" w:cs="Times New Roman"/>
          <w:sz w:val="24"/>
          <w:szCs w:val="24"/>
          <w:lang w:eastAsia="it-IT"/>
        </w:rPr>
        <w:t xml:space="preserve">, passando da euro </w:t>
      </w:r>
      <w:r>
        <w:rPr>
          <w:rFonts w:ascii="Times New Roman" w:eastAsia="Times New Roman" w:hAnsi="Times New Roman" w:cs="Times New Roman"/>
          <w:sz w:val="24"/>
          <w:szCs w:val="24"/>
          <w:lang w:eastAsia="it-IT"/>
        </w:rPr>
        <w:t xml:space="preserve">221.957,15 </w:t>
      </w:r>
      <w:r w:rsidR="009F77D1">
        <w:rPr>
          <w:rFonts w:ascii="Times New Roman" w:eastAsia="Times New Roman" w:hAnsi="Times New Roman" w:cs="Times New Roman"/>
          <w:sz w:val="24"/>
          <w:szCs w:val="24"/>
          <w:lang w:eastAsia="it-IT"/>
        </w:rPr>
        <w:t>a euro</w:t>
      </w:r>
      <w:r w:rsidRPr="00D43450">
        <w:rPr>
          <w:rFonts w:ascii="Times New Roman" w:eastAsia="Times New Roman" w:hAnsi="Times New Roman" w:cs="Times New Roman"/>
          <w:sz w:val="24"/>
          <w:szCs w:val="24"/>
          <w:lang w:eastAsia="it-IT"/>
        </w:rPr>
        <w:t xml:space="preserve"> </w:t>
      </w:r>
      <w:bookmarkEnd w:id="19"/>
      <w:r>
        <w:rPr>
          <w:rFonts w:ascii="Times New Roman" w:eastAsia="Times New Roman" w:hAnsi="Times New Roman" w:cs="Times New Roman"/>
          <w:sz w:val="24"/>
          <w:szCs w:val="24"/>
          <w:lang w:eastAsia="it-IT"/>
        </w:rPr>
        <w:t>214.102,7</w:t>
      </w:r>
      <w:r w:rsidR="006B092E">
        <w:rPr>
          <w:rFonts w:ascii="Times New Roman" w:eastAsia="Times New Roman" w:hAnsi="Times New Roman" w:cs="Times New Roman"/>
          <w:sz w:val="24"/>
          <w:szCs w:val="24"/>
          <w:lang w:eastAsia="it-IT"/>
        </w:rPr>
        <w:t xml:space="preserve">3 </w:t>
      </w:r>
      <w:r w:rsidR="006B092E" w:rsidRPr="00D43450">
        <w:rPr>
          <w:rFonts w:ascii="Times New Roman" w:eastAsia="Times New Roman" w:hAnsi="Times New Roman" w:cs="Times New Roman"/>
          <w:sz w:val="24"/>
          <w:szCs w:val="24"/>
          <w:lang w:eastAsia="it-IT"/>
        </w:rPr>
        <w:t>(</w:t>
      </w:r>
      <w:r w:rsidR="006B092E">
        <w:rPr>
          <w:rFonts w:ascii="Times New Roman" w:eastAsia="Times New Roman" w:hAnsi="Times New Roman" w:cs="Times New Roman"/>
          <w:sz w:val="24"/>
          <w:szCs w:val="24"/>
          <w:lang w:eastAsia="it-IT"/>
        </w:rPr>
        <w:t xml:space="preserve">cfr. </w:t>
      </w:r>
      <w:proofErr w:type="spellStart"/>
      <w:r w:rsidR="006B092E" w:rsidRPr="00D43450">
        <w:rPr>
          <w:rFonts w:ascii="Times New Roman" w:eastAsia="Times New Roman" w:hAnsi="Times New Roman" w:cs="Times New Roman"/>
          <w:sz w:val="24"/>
          <w:szCs w:val="24"/>
          <w:lang w:eastAsia="it-IT"/>
        </w:rPr>
        <w:t>Tab</w:t>
      </w:r>
      <w:proofErr w:type="spellEnd"/>
      <w:r w:rsidR="006B092E" w:rsidRPr="00D43450">
        <w:rPr>
          <w:rFonts w:ascii="Times New Roman" w:eastAsia="Times New Roman" w:hAnsi="Times New Roman" w:cs="Times New Roman"/>
          <w:sz w:val="24"/>
          <w:szCs w:val="24"/>
          <w:lang w:eastAsia="it-IT"/>
        </w:rPr>
        <w:t xml:space="preserve">. </w:t>
      </w:r>
      <w:r w:rsidR="006B092E">
        <w:rPr>
          <w:rFonts w:ascii="Times New Roman" w:eastAsia="Times New Roman" w:hAnsi="Times New Roman" w:cs="Times New Roman"/>
          <w:sz w:val="24"/>
          <w:szCs w:val="24"/>
          <w:lang w:eastAsia="it-IT"/>
        </w:rPr>
        <w:t>24</w:t>
      </w:r>
      <w:r w:rsidR="006B092E" w:rsidRPr="00D43450">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7E3C13">
        <w:rPr>
          <w:rFonts w:ascii="Times New Roman" w:eastAsia="Times New Roman" w:hAnsi="Times New Roman" w:cs="Times New Roman"/>
          <w:sz w:val="24"/>
          <w:szCs w:val="24"/>
          <w:lang w:eastAsia="it-IT"/>
        </w:rPr>
        <w:t xml:space="preserve">dovuto alla </w:t>
      </w:r>
      <w:r w:rsidR="00775234">
        <w:rPr>
          <w:rFonts w:ascii="Times New Roman" w:eastAsia="Times New Roman" w:hAnsi="Times New Roman" w:cs="Times New Roman"/>
          <w:sz w:val="24"/>
          <w:szCs w:val="24"/>
          <w:lang w:eastAsia="it-IT"/>
        </w:rPr>
        <w:t>riduzione</w:t>
      </w:r>
      <w:r w:rsidRPr="007E3C13">
        <w:rPr>
          <w:rFonts w:ascii="Times New Roman" w:eastAsia="Times New Roman" w:hAnsi="Times New Roman" w:cs="Times New Roman"/>
          <w:sz w:val="24"/>
          <w:szCs w:val="24"/>
          <w:lang w:eastAsia="it-IT"/>
        </w:rPr>
        <w:t xml:space="preserve"> delle spese per premi assicurativi</w:t>
      </w:r>
      <w:r>
        <w:rPr>
          <w:rFonts w:ascii="Times New Roman" w:eastAsia="Times New Roman" w:hAnsi="Times New Roman" w:cs="Times New Roman"/>
          <w:sz w:val="24"/>
          <w:szCs w:val="24"/>
          <w:lang w:eastAsia="it-IT"/>
        </w:rPr>
        <w:t xml:space="preserve"> </w:t>
      </w:r>
      <w:r w:rsidRPr="007E3C13">
        <w:rPr>
          <w:rFonts w:ascii="Times New Roman" w:eastAsia="Times New Roman" w:hAnsi="Times New Roman" w:cs="Times New Roman"/>
          <w:sz w:val="24"/>
          <w:szCs w:val="24"/>
          <w:lang w:eastAsia="it-IT"/>
        </w:rPr>
        <w:t>e</w:t>
      </w:r>
      <w:r w:rsidR="00810E82">
        <w:rPr>
          <w:rFonts w:ascii="Times New Roman" w:eastAsia="Times New Roman" w:hAnsi="Times New Roman" w:cs="Times New Roman"/>
          <w:sz w:val="24"/>
          <w:szCs w:val="24"/>
          <w:lang w:eastAsia="it-IT"/>
        </w:rPr>
        <w:t xml:space="preserve"> </w:t>
      </w:r>
      <w:r w:rsidRPr="007E3C13">
        <w:rPr>
          <w:rFonts w:ascii="Times New Roman" w:eastAsia="Times New Roman" w:hAnsi="Times New Roman" w:cs="Times New Roman"/>
          <w:sz w:val="24"/>
          <w:szCs w:val="24"/>
          <w:lang w:eastAsia="it-IT"/>
        </w:rPr>
        <w:t>oneri di mobilità sostanzialmente compressi a seguito dell</w:t>
      </w:r>
      <w:r w:rsidR="00877AAF">
        <w:rPr>
          <w:rFonts w:ascii="Times New Roman" w:eastAsia="Times New Roman" w:hAnsi="Times New Roman" w:cs="Times New Roman"/>
          <w:sz w:val="24"/>
          <w:szCs w:val="24"/>
          <w:lang w:eastAsia="it-IT"/>
        </w:rPr>
        <w:t>’</w:t>
      </w:r>
      <w:r w:rsidRPr="007E3C13">
        <w:rPr>
          <w:rFonts w:ascii="Times New Roman" w:eastAsia="Times New Roman" w:hAnsi="Times New Roman" w:cs="Times New Roman"/>
          <w:sz w:val="24"/>
          <w:szCs w:val="24"/>
          <w:lang w:eastAsia="it-IT"/>
        </w:rPr>
        <w:t>applicazione da parte del comune di Roma, a decorrere dall</w:t>
      </w:r>
      <w:r w:rsidR="00877AAF">
        <w:rPr>
          <w:rFonts w:ascii="Times New Roman" w:eastAsia="Times New Roman" w:hAnsi="Times New Roman" w:cs="Times New Roman"/>
          <w:sz w:val="24"/>
          <w:szCs w:val="24"/>
          <w:lang w:eastAsia="it-IT"/>
        </w:rPr>
        <w:t>’</w:t>
      </w:r>
      <w:r w:rsidRPr="007E3C13">
        <w:rPr>
          <w:rFonts w:ascii="Times New Roman" w:eastAsia="Times New Roman" w:hAnsi="Times New Roman" w:cs="Times New Roman"/>
          <w:sz w:val="24"/>
          <w:szCs w:val="24"/>
          <w:lang w:eastAsia="it-IT"/>
        </w:rPr>
        <w:t>esercizio finanziario 2022, di tariffe per l</w:t>
      </w:r>
      <w:r w:rsidR="00877AAF">
        <w:rPr>
          <w:rFonts w:ascii="Times New Roman" w:eastAsia="Times New Roman" w:hAnsi="Times New Roman" w:cs="Times New Roman"/>
          <w:sz w:val="24"/>
          <w:szCs w:val="24"/>
          <w:lang w:eastAsia="it-IT"/>
        </w:rPr>
        <w:t>’</w:t>
      </w:r>
      <w:r w:rsidRPr="007E3C13">
        <w:rPr>
          <w:rFonts w:ascii="Times New Roman" w:eastAsia="Times New Roman" w:hAnsi="Times New Roman" w:cs="Times New Roman"/>
          <w:sz w:val="24"/>
          <w:szCs w:val="24"/>
          <w:lang w:eastAsia="it-IT"/>
        </w:rPr>
        <w:t>accesso alla ZTL calmierate e particolarmente vantaggiose rispetto</w:t>
      </w:r>
      <w:r>
        <w:rPr>
          <w:rFonts w:ascii="Times New Roman" w:eastAsia="Times New Roman" w:hAnsi="Times New Roman" w:cs="Times New Roman"/>
          <w:sz w:val="24"/>
          <w:szCs w:val="24"/>
          <w:lang w:eastAsia="it-IT"/>
        </w:rPr>
        <w:t xml:space="preserve"> </w:t>
      </w:r>
      <w:r w:rsidRPr="007E3C13">
        <w:rPr>
          <w:rFonts w:ascii="Times New Roman" w:eastAsia="Times New Roman" w:hAnsi="Times New Roman" w:cs="Times New Roman"/>
          <w:sz w:val="24"/>
          <w:szCs w:val="24"/>
          <w:lang w:eastAsia="it-IT"/>
        </w:rPr>
        <w:t>a quelle applicate in precedenza.</w:t>
      </w:r>
    </w:p>
    <w:p w14:paraId="0070F5A2" w14:textId="77777777" w:rsidR="00600D30" w:rsidRDefault="00600D30" w:rsidP="00600D30">
      <w:pPr>
        <w:tabs>
          <w:tab w:val="left" w:pos="1965"/>
        </w:tabs>
        <w:spacing w:after="0" w:line="360" w:lineRule="auto"/>
        <w:jc w:val="center"/>
        <w:rPr>
          <w:rFonts w:ascii="Times New Roman" w:eastAsia="Times New Roman" w:hAnsi="Times New Roman" w:cs="Times New Roman"/>
          <w:b/>
          <w:color w:val="000000"/>
          <w:sz w:val="24"/>
          <w:szCs w:val="24"/>
          <w:lang w:eastAsia="it-IT"/>
        </w:rPr>
      </w:pP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24</w:t>
      </w:r>
      <w:r w:rsidRPr="00CA05CA">
        <w:rPr>
          <w:rFonts w:ascii="Times New Roman" w:eastAsia="Times New Roman" w:hAnsi="Times New Roman" w:cs="Times New Roman"/>
          <w:b/>
          <w:color w:val="000000"/>
          <w:sz w:val="24"/>
          <w:szCs w:val="24"/>
          <w:lang w:eastAsia="it-IT"/>
        </w:rPr>
        <w:t xml:space="preserve"> – Mobilità</w:t>
      </w:r>
    </w:p>
    <w:p w14:paraId="088C05D2" w14:textId="2921373A" w:rsidR="00600D30" w:rsidRDefault="00717ED6" w:rsidP="00600D30">
      <w:pPr>
        <w:spacing w:after="0" w:line="360" w:lineRule="auto"/>
        <w:jc w:val="center"/>
        <w:rPr>
          <w:rFonts w:ascii="Times New Roman" w:eastAsia="Times New Roman" w:hAnsi="Times New Roman" w:cs="Times New Roman"/>
          <w:b/>
          <w:color w:val="000000"/>
          <w:sz w:val="24"/>
          <w:szCs w:val="24"/>
          <w:lang w:eastAsia="it-IT"/>
        </w:rPr>
      </w:pPr>
      <w:r w:rsidRPr="00717ED6">
        <w:rPr>
          <w:noProof/>
          <w:lang w:eastAsia="it-IT"/>
        </w:rPr>
        <w:drawing>
          <wp:inline distT="0" distB="0" distL="0" distR="0" wp14:anchorId="151CA92C" wp14:editId="4ADA05E6">
            <wp:extent cx="3627120" cy="389890"/>
            <wp:effectExtent l="0" t="0" r="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7EC80514" w14:textId="179AB86E" w:rsidR="00600D30" w:rsidRPr="00CA05CA" w:rsidRDefault="00717ED6" w:rsidP="00600D30">
      <w:pPr>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5C05DEA2" wp14:editId="6D2BE7B1">
            <wp:extent cx="3683127" cy="2145550"/>
            <wp:effectExtent l="0" t="0" r="0" b="762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8208" cy="2165986"/>
                    </a:xfrm>
                    <a:prstGeom prst="rect">
                      <a:avLst/>
                    </a:prstGeom>
                    <a:noFill/>
                  </pic:spPr>
                </pic:pic>
              </a:graphicData>
            </a:graphic>
          </wp:inline>
        </w:drawing>
      </w:r>
    </w:p>
    <w:p w14:paraId="5A77DA05" w14:textId="77777777" w:rsidR="00600D30" w:rsidRDefault="00600D30" w:rsidP="00600D30">
      <w:pPr>
        <w:spacing w:after="0" w:line="360" w:lineRule="auto"/>
        <w:jc w:val="both"/>
        <w:rPr>
          <w:rFonts w:ascii="Times New Roman" w:eastAsia="Times New Roman" w:hAnsi="Times New Roman" w:cs="Times New Roman"/>
          <w:color w:val="000000"/>
          <w:sz w:val="24"/>
          <w:szCs w:val="24"/>
          <w:lang w:eastAsia="it-IT"/>
        </w:rPr>
      </w:pPr>
    </w:p>
    <w:p w14:paraId="206DDFF6" w14:textId="55D70983" w:rsidR="00600D30" w:rsidRDefault="00600D30" w:rsidP="009802BE">
      <w:pPr>
        <w:spacing w:after="0" w:line="360" w:lineRule="auto"/>
        <w:jc w:val="both"/>
        <w:rPr>
          <w:rFonts w:ascii="Times New Roman" w:eastAsia="Times New Roman" w:hAnsi="Times New Roman" w:cs="Times New Roman"/>
          <w:b/>
          <w:color w:val="000000"/>
          <w:sz w:val="24"/>
          <w:szCs w:val="24"/>
          <w:lang w:eastAsia="it-IT"/>
        </w:rPr>
      </w:pPr>
      <w:r w:rsidRPr="006E6135">
        <w:rPr>
          <w:rFonts w:ascii="Times New Roman" w:eastAsia="Times New Roman" w:hAnsi="Times New Roman" w:cs="Times New Roman"/>
          <w:sz w:val="24"/>
          <w:szCs w:val="24"/>
          <w:lang w:eastAsia="it-IT"/>
        </w:rPr>
        <w:lastRenderedPageBreak/>
        <w:t>Risultano</w:t>
      </w:r>
      <w:r>
        <w:rPr>
          <w:rFonts w:ascii="Times New Roman" w:eastAsia="Times New Roman" w:hAnsi="Times New Roman" w:cs="Times New Roman"/>
          <w:sz w:val="24"/>
          <w:szCs w:val="24"/>
          <w:lang w:eastAsia="it-IT"/>
        </w:rPr>
        <w:t xml:space="preserve"> </w:t>
      </w:r>
      <w:r w:rsidRPr="006E6135">
        <w:rPr>
          <w:rFonts w:ascii="Times New Roman" w:eastAsia="Times New Roman" w:hAnsi="Times New Roman" w:cs="Times New Roman"/>
          <w:sz w:val="24"/>
          <w:szCs w:val="24"/>
          <w:lang w:eastAsia="it-IT"/>
        </w:rPr>
        <w:t xml:space="preserve">in </w:t>
      </w:r>
      <w:r>
        <w:rPr>
          <w:rFonts w:ascii="Times New Roman" w:eastAsia="Times New Roman" w:hAnsi="Times New Roman" w:cs="Times New Roman"/>
          <w:sz w:val="24"/>
          <w:szCs w:val="24"/>
          <w:lang w:eastAsia="it-IT"/>
        </w:rPr>
        <w:t>aumento</w:t>
      </w:r>
      <w:r w:rsidRPr="006E6135">
        <w:rPr>
          <w:rFonts w:ascii="Times New Roman" w:eastAsia="Times New Roman" w:hAnsi="Times New Roman" w:cs="Times New Roman"/>
          <w:sz w:val="24"/>
          <w:szCs w:val="24"/>
          <w:lang w:eastAsia="it-IT"/>
        </w:rPr>
        <w:t xml:space="preserve"> gli</w:t>
      </w:r>
      <w:r w:rsidRPr="00575C7D">
        <w:rPr>
          <w:rFonts w:ascii="Times New Roman" w:eastAsia="Times New Roman" w:hAnsi="Times New Roman" w:cs="Times New Roman"/>
          <w:sz w:val="24"/>
          <w:szCs w:val="24"/>
          <w:lang w:eastAsia="it-IT"/>
        </w:rPr>
        <w:t xml:space="preserve"> oneri per missioni </w:t>
      </w:r>
      <w:r>
        <w:rPr>
          <w:rFonts w:ascii="Times New Roman" w:eastAsia="Times New Roman" w:hAnsi="Times New Roman" w:cs="Times New Roman"/>
          <w:sz w:val="24"/>
          <w:szCs w:val="24"/>
          <w:lang w:eastAsia="it-IT"/>
        </w:rPr>
        <w:t>per euro 996.600,89, passando</w:t>
      </w:r>
      <w:r w:rsidRPr="00575C7D">
        <w:rPr>
          <w:rFonts w:ascii="Times New Roman" w:eastAsia="Times New Roman" w:hAnsi="Times New Roman" w:cs="Times New Roman"/>
          <w:sz w:val="24"/>
          <w:szCs w:val="24"/>
          <w:lang w:eastAsia="it-IT"/>
        </w:rPr>
        <w:t xml:space="preserve"> </w:t>
      </w:r>
      <w:bookmarkStart w:id="20" w:name="_Hlk66033422"/>
      <w:r w:rsidRPr="00575C7D">
        <w:rPr>
          <w:rFonts w:ascii="Times New Roman" w:eastAsia="Times New Roman" w:hAnsi="Times New Roman" w:cs="Times New Roman"/>
          <w:sz w:val="24"/>
          <w:szCs w:val="24"/>
          <w:lang w:eastAsia="it-IT"/>
        </w:rPr>
        <w:t xml:space="preserve">da euro </w:t>
      </w:r>
      <w:r>
        <w:rPr>
          <w:rFonts w:ascii="Times New Roman" w:eastAsia="Times New Roman" w:hAnsi="Times New Roman" w:cs="Times New Roman"/>
          <w:sz w:val="24"/>
          <w:szCs w:val="24"/>
          <w:lang w:eastAsia="it-IT"/>
        </w:rPr>
        <w:t>739.243,86</w:t>
      </w:r>
      <w:r w:rsidRPr="004440A1">
        <w:rPr>
          <w:rFonts w:ascii="Times New Roman" w:eastAsia="Times New Roman" w:hAnsi="Times New Roman" w:cs="Times New Roman"/>
          <w:sz w:val="24"/>
          <w:szCs w:val="24"/>
          <w:lang w:eastAsia="it-IT"/>
        </w:rPr>
        <w:t xml:space="preserve"> </w:t>
      </w:r>
      <w:r w:rsidR="009F77D1">
        <w:rPr>
          <w:rFonts w:ascii="Times New Roman" w:eastAsia="Times New Roman" w:hAnsi="Times New Roman" w:cs="Times New Roman"/>
          <w:sz w:val="24"/>
          <w:szCs w:val="24"/>
          <w:lang w:eastAsia="it-IT"/>
        </w:rPr>
        <w:t>a euro</w:t>
      </w:r>
      <w:r w:rsidRPr="00575C7D">
        <w:rPr>
          <w:rFonts w:ascii="Times New Roman" w:eastAsia="Times New Roman" w:hAnsi="Times New Roman" w:cs="Times New Roman"/>
          <w:sz w:val="24"/>
          <w:szCs w:val="24"/>
          <w:lang w:eastAsia="it-IT"/>
        </w:rPr>
        <w:t xml:space="preserve"> </w:t>
      </w:r>
      <w:bookmarkStart w:id="21" w:name="_Hlk128758917"/>
      <w:r>
        <w:rPr>
          <w:rFonts w:ascii="Times New Roman" w:eastAsia="Times New Roman" w:hAnsi="Times New Roman" w:cs="Times New Roman"/>
          <w:sz w:val="24"/>
          <w:szCs w:val="24"/>
          <w:lang w:eastAsia="it-IT"/>
        </w:rPr>
        <w:t>1.735.844,75</w:t>
      </w:r>
      <w:r w:rsidR="006B092E">
        <w:rPr>
          <w:rFonts w:ascii="Times New Roman" w:eastAsia="Times New Roman" w:hAnsi="Times New Roman" w:cs="Times New Roman"/>
          <w:sz w:val="24"/>
          <w:szCs w:val="24"/>
          <w:lang w:eastAsia="it-IT"/>
        </w:rPr>
        <w:t xml:space="preserve"> </w:t>
      </w:r>
      <w:r w:rsidR="006B092E" w:rsidRPr="00575C7D">
        <w:rPr>
          <w:rFonts w:ascii="Times New Roman" w:eastAsia="Times New Roman" w:hAnsi="Times New Roman" w:cs="Times New Roman"/>
          <w:sz w:val="24"/>
          <w:szCs w:val="24"/>
          <w:lang w:eastAsia="it-IT"/>
        </w:rPr>
        <w:t>(</w:t>
      </w:r>
      <w:r w:rsidR="006B092E">
        <w:rPr>
          <w:rFonts w:ascii="Times New Roman" w:eastAsia="Times New Roman" w:hAnsi="Times New Roman" w:cs="Times New Roman"/>
          <w:sz w:val="24"/>
          <w:szCs w:val="24"/>
          <w:lang w:eastAsia="it-IT"/>
        </w:rPr>
        <w:t xml:space="preserve">cfr. </w:t>
      </w:r>
      <w:proofErr w:type="spellStart"/>
      <w:r w:rsidR="006B092E" w:rsidRPr="00575C7D">
        <w:rPr>
          <w:rFonts w:ascii="Times New Roman" w:eastAsia="Times New Roman" w:hAnsi="Times New Roman" w:cs="Times New Roman"/>
          <w:sz w:val="24"/>
          <w:szCs w:val="24"/>
          <w:lang w:eastAsia="it-IT"/>
        </w:rPr>
        <w:t>Tab</w:t>
      </w:r>
      <w:proofErr w:type="spellEnd"/>
      <w:r w:rsidR="006B092E" w:rsidRPr="00575C7D">
        <w:rPr>
          <w:rFonts w:ascii="Times New Roman" w:eastAsia="Times New Roman" w:hAnsi="Times New Roman" w:cs="Times New Roman"/>
          <w:sz w:val="24"/>
          <w:szCs w:val="24"/>
          <w:lang w:eastAsia="it-IT"/>
        </w:rPr>
        <w:t xml:space="preserve">. </w:t>
      </w:r>
      <w:r w:rsidR="006B092E">
        <w:rPr>
          <w:rFonts w:ascii="Times New Roman" w:eastAsia="Times New Roman" w:hAnsi="Times New Roman" w:cs="Times New Roman"/>
          <w:sz w:val="24"/>
          <w:szCs w:val="24"/>
          <w:lang w:eastAsia="it-IT"/>
        </w:rPr>
        <w:t>25</w:t>
      </w:r>
      <w:r w:rsidR="006B092E" w:rsidRPr="005959A8">
        <w:rPr>
          <w:rFonts w:ascii="Times New Roman" w:eastAsia="Times New Roman" w:hAnsi="Times New Roman" w:cs="Times New Roman"/>
          <w:sz w:val="24"/>
          <w:szCs w:val="24"/>
          <w:lang w:eastAsia="it-IT"/>
        </w:rPr>
        <w:t>)</w:t>
      </w:r>
      <w:r w:rsidR="00A04DC6">
        <w:rPr>
          <w:rFonts w:ascii="Times New Roman" w:eastAsia="Times New Roman" w:hAnsi="Times New Roman" w:cs="Times New Roman"/>
          <w:sz w:val="24"/>
          <w:szCs w:val="24"/>
          <w:lang w:eastAsia="it-IT"/>
        </w:rPr>
        <w:t xml:space="preserve">, </w:t>
      </w:r>
      <w:r w:rsidR="00A04DC6" w:rsidRPr="00061B9D">
        <w:rPr>
          <w:rFonts w:ascii="Times New Roman" w:eastAsia="Times New Roman" w:hAnsi="Times New Roman" w:cs="Times New Roman"/>
          <w:sz w:val="24"/>
          <w:szCs w:val="24"/>
          <w:lang w:eastAsia="it-IT"/>
        </w:rPr>
        <w:t>considerata la ripresa delle attività per l</w:t>
      </w:r>
      <w:r w:rsidR="00877AAF">
        <w:rPr>
          <w:rFonts w:ascii="Times New Roman" w:eastAsia="Times New Roman" w:hAnsi="Times New Roman" w:cs="Times New Roman"/>
          <w:sz w:val="24"/>
          <w:szCs w:val="24"/>
          <w:lang w:eastAsia="it-IT"/>
        </w:rPr>
        <w:t>’</w:t>
      </w:r>
      <w:r w:rsidR="00A04DC6" w:rsidRPr="00061B9D">
        <w:rPr>
          <w:rFonts w:ascii="Times New Roman" w:eastAsia="Times New Roman" w:hAnsi="Times New Roman" w:cs="Times New Roman"/>
          <w:sz w:val="24"/>
          <w:szCs w:val="24"/>
          <w:lang w:eastAsia="it-IT"/>
        </w:rPr>
        <w:t xml:space="preserve">allentamento delle misure per il contenimento del </w:t>
      </w:r>
      <w:r w:rsidR="00A04DC6" w:rsidRPr="00061B9D">
        <w:rPr>
          <w:rFonts w:ascii="Times New Roman" w:hAnsi="Times New Roman" w:cs="Times New Roman"/>
          <w:sz w:val="24"/>
          <w:szCs w:val="24"/>
        </w:rPr>
        <w:t>COVID-19</w:t>
      </w:r>
      <w:bookmarkEnd w:id="20"/>
      <w:bookmarkEnd w:id="21"/>
      <w:r w:rsidRPr="005959A8">
        <w:rPr>
          <w:rFonts w:ascii="Times New Roman" w:eastAsia="Times New Roman" w:hAnsi="Times New Roman" w:cs="Times New Roman"/>
          <w:sz w:val="24"/>
          <w:szCs w:val="24"/>
          <w:lang w:eastAsia="it-IT"/>
        </w:rPr>
        <w:t>.</w:t>
      </w:r>
      <w:r w:rsidR="00A02037">
        <w:rPr>
          <w:rFonts w:ascii="Times New Roman" w:eastAsia="Times New Roman" w:hAnsi="Times New Roman" w:cs="Times New Roman"/>
          <w:sz w:val="24"/>
          <w:szCs w:val="24"/>
          <w:lang w:eastAsia="it-IT"/>
        </w:rPr>
        <w:t xml:space="preserve"> </w:t>
      </w:r>
      <w:r w:rsidR="00F7665E" w:rsidRPr="00AF547B">
        <w:rPr>
          <w:rFonts w:ascii="Times New Roman" w:eastAsia="Times New Roman" w:hAnsi="Times New Roman" w:cs="Times New Roman"/>
          <w:sz w:val="24"/>
          <w:szCs w:val="24"/>
          <w:lang w:eastAsia="it-IT"/>
        </w:rPr>
        <w:t>Va evidenziato che nell</w:t>
      </w:r>
      <w:r w:rsidR="00877AAF" w:rsidRPr="00AF547B">
        <w:rPr>
          <w:rFonts w:ascii="Times New Roman" w:eastAsia="Times New Roman" w:hAnsi="Times New Roman" w:cs="Times New Roman"/>
          <w:sz w:val="24"/>
          <w:szCs w:val="24"/>
          <w:lang w:eastAsia="it-IT"/>
        </w:rPr>
        <w:t>’</w:t>
      </w:r>
      <w:r w:rsidR="00F7665E" w:rsidRPr="00AF547B">
        <w:rPr>
          <w:rFonts w:ascii="Times New Roman" w:eastAsia="Times New Roman" w:hAnsi="Times New Roman" w:cs="Times New Roman"/>
          <w:sz w:val="24"/>
          <w:szCs w:val="24"/>
          <w:lang w:eastAsia="it-IT"/>
        </w:rPr>
        <w:t>ambito delle somme impegnate nel 2022, euro 257.778,72 sono riferiti agli oneri relativi alle diarie corrisposte a titolo di rimborso delle spese di soggiorno a Roma de</w:t>
      </w:r>
      <w:r w:rsidR="00810E82" w:rsidRPr="00AF547B">
        <w:rPr>
          <w:rFonts w:ascii="Times New Roman" w:eastAsia="Times New Roman" w:hAnsi="Times New Roman" w:cs="Times New Roman"/>
          <w:sz w:val="24"/>
          <w:szCs w:val="24"/>
          <w:lang w:eastAsia="it-IT"/>
        </w:rPr>
        <w:t>i</w:t>
      </w:r>
      <w:r w:rsidR="00F7665E" w:rsidRPr="00AF547B">
        <w:rPr>
          <w:rFonts w:ascii="Times New Roman" w:eastAsia="Times New Roman" w:hAnsi="Times New Roman" w:cs="Times New Roman"/>
          <w:sz w:val="24"/>
          <w:szCs w:val="24"/>
          <w:lang w:eastAsia="it-IT"/>
        </w:rPr>
        <w:t xml:space="preserve"> Ministri senza portafoglio e Sottosegretari di Stato membri di Governo non parlamentari</w:t>
      </w:r>
      <w:r w:rsidR="0092007D" w:rsidRPr="00AF547B">
        <w:rPr>
          <w:rFonts w:ascii="Times New Roman" w:eastAsia="Times New Roman" w:hAnsi="Times New Roman" w:cs="Times New Roman"/>
          <w:sz w:val="24"/>
          <w:szCs w:val="24"/>
          <w:lang w:eastAsia="it-IT"/>
        </w:rPr>
        <w:t>, ai sensi della legge 9 novembre 1999, n. 418 e della legge 31 ottobre 1965, n.</w:t>
      </w:r>
      <w:r w:rsidR="00810E82" w:rsidRPr="00AF547B">
        <w:rPr>
          <w:rFonts w:ascii="Times New Roman" w:eastAsia="Times New Roman" w:hAnsi="Times New Roman" w:cs="Times New Roman"/>
          <w:sz w:val="24"/>
          <w:szCs w:val="24"/>
          <w:lang w:eastAsia="it-IT"/>
        </w:rPr>
        <w:t xml:space="preserve"> </w:t>
      </w:r>
      <w:r w:rsidR="0092007D" w:rsidRPr="00AF547B">
        <w:rPr>
          <w:rFonts w:ascii="Times New Roman" w:eastAsia="Times New Roman" w:hAnsi="Times New Roman" w:cs="Times New Roman"/>
          <w:sz w:val="24"/>
          <w:szCs w:val="24"/>
          <w:lang w:eastAsia="it-IT"/>
        </w:rPr>
        <w:t>1261</w:t>
      </w:r>
      <w:r w:rsidR="00305FCD" w:rsidRPr="00AF547B">
        <w:rPr>
          <w:rStyle w:val="Rimandonotaapidipagina"/>
          <w:rFonts w:ascii="Times New Roman" w:eastAsia="Times New Roman" w:hAnsi="Times New Roman" w:cs="Times New Roman"/>
          <w:lang w:eastAsia="it-IT"/>
        </w:rPr>
        <w:footnoteReference w:id="12"/>
      </w:r>
      <w:r w:rsidR="0092007D" w:rsidRPr="00AF547B">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b/>
          <w:color w:val="000000"/>
          <w:sz w:val="24"/>
          <w:szCs w:val="24"/>
          <w:lang w:eastAsia="it-IT"/>
        </w:rPr>
        <w:t xml:space="preserve"> </w:t>
      </w:r>
    </w:p>
    <w:p w14:paraId="32359EA2" w14:textId="77777777" w:rsidR="00600D30" w:rsidRPr="00CA05CA" w:rsidRDefault="00600D30" w:rsidP="00600D30">
      <w:pPr>
        <w:spacing w:after="0" w:line="360" w:lineRule="auto"/>
        <w:ind w:left="2832" w:firstLine="708"/>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color w:val="000000"/>
          <w:sz w:val="24"/>
          <w:szCs w:val="24"/>
          <w:lang w:eastAsia="it-IT"/>
        </w:rPr>
        <w:t xml:space="preserve"> </w:t>
      </w: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2</w:t>
      </w:r>
      <w:r>
        <w:rPr>
          <w:rFonts w:ascii="Times New Roman" w:eastAsia="Times New Roman" w:hAnsi="Times New Roman" w:cs="Times New Roman"/>
          <w:b/>
          <w:color w:val="000000"/>
          <w:sz w:val="24"/>
          <w:szCs w:val="24"/>
          <w:lang w:eastAsia="it-IT"/>
        </w:rPr>
        <w:t xml:space="preserve">5 </w:t>
      </w:r>
      <w:r w:rsidRPr="00CA05CA">
        <w:rPr>
          <w:rFonts w:ascii="Times New Roman" w:eastAsia="Times New Roman" w:hAnsi="Times New Roman" w:cs="Times New Roman"/>
          <w:b/>
          <w:color w:val="000000"/>
          <w:sz w:val="24"/>
          <w:szCs w:val="24"/>
          <w:lang w:eastAsia="it-IT"/>
        </w:rPr>
        <w:t>– Missioni</w:t>
      </w:r>
    </w:p>
    <w:p w14:paraId="4E138484" w14:textId="7BFE8E87" w:rsidR="00600D30" w:rsidRDefault="00717ED6" w:rsidP="00600D30">
      <w:pPr>
        <w:spacing w:after="0" w:line="360" w:lineRule="auto"/>
        <w:jc w:val="center"/>
        <w:rPr>
          <w:rFonts w:ascii="Times New Roman" w:eastAsia="Times New Roman" w:hAnsi="Times New Roman" w:cs="Times New Roman"/>
          <w:b/>
          <w:color w:val="000000"/>
          <w:sz w:val="24"/>
          <w:szCs w:val="24"/>
          <w:lang w:eastAsia="it-IT"/>
        </w:rPr>
      </w:pPr>
      <w:r w:rsidRPr="00717ED6">
        <w:rPr>
          <w:noProof/>
          <w:lang w:eastAsia="it-IT"/>
        </w:rPr>
        <w:drawing>
          <wp:inline distT="0" distB="0" distL="0" distR="0" wp14:anchorId="5B0CF3D8" wp14:editId="10CBF83A">
            <wp:extent cx="3627120" cy="389890"/>
            <wp:effectExtent l="0" t="0" r="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5DCFA9B9" w14:textId="1EFA58A1" w:rsidR="00600D30" w:rsidRDefault="00717ED6" w:rsidP="00600D30">
      <w:pPr>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365F139E" wp14:editId="48995703">
            <wp:extent cx="3712240" cy="2240457"/>
            <wp:effectExtent l="0" t="0" r="2540" b="762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7036" cy="2255422"/>
                    </a:xfrm>
                    <a:prstGeom prst="rect">
                      <a:avLst/>
                    </a:prstGeom>
                    <a:noFill/>
                  </pic:spPr>
                </pic:pic>
              </a:graphicData>
            </a:graphic>
          </wp:inline>
        </w:drawing>
      </w:r>
    </w:p>
    <w:p w14:paraId="1BE54BC3" w14:textId="77777777" w:rsidR="009802BE" w:rsidRPr="00FD27CF" w:rsidRDefault="009802BE" w:rsidP="00600D30">
      <w:pPr>
        <w:spacing w:after="0" w:line="360" w:lineRule="auto"/>
        <w:jc w:val="both"/>
        <w:rPr>
          <w:rFonts w:ascii="Times New Roman" w:eastAsia="Times New Roman" w:hAnsi="Times New Roman" w:cs="Times New Roman"/>
          <w:sz w:val="12"/>
          <w:szCs w:val="24"/>
          <w:lang w:eastAsia="it-IT"/>
        </w:rPr>
      </w:pPr>
    </w:p>
    <w:p w14:paraId="7CF44674" w14:textId="0EA7AA4E" w:rsidR="00A02037" w:rsidRDefault="00600D30" w:rsidP="009802BE">
      <w:pPr>
        <w:spacing w:after="0" w:line="360" w:lineRule="auto"/>
        <w:jc w:val="both"/>
        <w:rPr>
          <w:rFonts w:ascii="Times New Roman" w:eastAsia="Times New Roman" w:hAnsi="Times New Roman" w:cs="Times New Roman"/>
          <w:b/>
          <w:color w:val="000000"/>
          <w:sz w:val="24"/>
          <w:szCs w:val="24"/>
          <w:lang w:eastAsia="it-IT"/>
        </w:rPr>
      </w:pPr>
      <w:r w:rsidRPr="00575C7D">
        <w:rPr>
          <w:rFonts w:ascii="Times New Roman" w:eastAsia="Times New Roman" w:hAnsi="Times New Roman" w:cs="Times New Roman"/>
          <w:sz w:val="24"/>
          <w:szCs w:val="24"/>
          <w:lang w:eastAsia="it-IT"/>
        </w:rPr>
        <w:t>Risultano</w:t>
      </w:r>
      <w:r>
        <w:rPr>
          <w:rFonts w:ascii="Times New Roman" w:eastAsia="Times New Roman" w:hAnsi="Times New Roman" w:cs="Times New Roman"/>
          <w:sz w:val="24"/>
          <w:szCs w:val="24"/>
          <w:lang w:eastAsia="it-IT"/>
        </w:rPr>
        <w:t xml:space="preserve"> in aumento di euro 10.119,45 anche le spese di </w:t>
      </w:r>
      <w:r w:rsidRPr="00575C7D">
        <w:rPr>
          <w:rFonts w:ascii="Times New Roman" w:eastAsia="Times New Roman" w:hAnsi="Times New Roman" w:cs="Times New Roman"/>
          <w:sz w:val="24"/>
          <w:szCs w:val="24"/>
          <w:lang w:eastAsia="it-IT"/>
        </w:rPr>
        <w:t xml:space="preserve">rappresentanza che passano </w:t>
      </w:r>
      <w:bookmarkStart w:id="22" w:name="_Hlk66036488"/>
      <w:r w:rsidRPr="00575C7D">
        <w:rPr>
          <w:rFonts w:ascii="Times New Roman" w:eastAsia="Times New Roman" w:hAnsi="Times New Roman" w:cs="Times New Roman"/>
          <w:sz w:val="24"/>
          <w:szCs w:val="24"/>
          <w:lang w:eastAsia="it-IT"/>
        </w:rPr>
        <w:t xml:space="preserve">da euro </w:t>
      </w:r>
      <w:r>
        <w:rPr>
          <w:rFonts w:ascii="Times New Roman" w:eastAsia="Times New Roman" w:hAnsi="Times New Roman" w:cs="Times New Roman"/>
          <w:sz w:val="24"/>
          <w:szCs w:val="24"/>
          <w:lang w:eastAsia="it-IT"/>
        </w:rPr>
        <w:t xml:space="preserve">39.452,98 </w:t>
      </w:r>
      <w:r w:rsidR="009F77D1">
        <w:rPr>
          <w:rFonts w:ascii="Times New Roman" w:eastAsia="Times New Roman" w:hAnsi="Times New Roman" w:cs="Times New Roman"/>
          <w:sz w:val="24"/>
          <w:szCs w:val="24"/>
          <w:lang w:eastAsia="it-IT"/>
        </w:rPr>
        <w:t>a euro</w:t>
      </w:r>
      <w:r w:rsidRPr="00575C7D">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49.572,43</w:t>
      </w:r>
      <w:bookmarkEnd w:id="22"/>
      <w:r w:rsidR="006C6004">
        <w:rPr>
          <w:rFonts w:ascii="Times New Roman" w:eastAsia="Times New Roman" w:hAnsi="Times New Roman" w:cs="Times New Roman"/>
          <w:sz w:val="24"/>
          <w:szCs w:val="24"/>
          <w:lang w:eastAsia="it-IT"/>
        </w:rPr>
        <w:t xml:space="preserve"> </w:t>
      </w:r>
      <w:r w:rsidRPr="00575C7D">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cfr. </w:t>
      </w:r>
      <w:proofErr w:type="spellStart"/>
      <w:r w:rsidRPr="00575C7D">
        <w:rPr>
          <w:rFonts w:ascii="Times New Roman" w:eastAsia="Times New Roman" w:hAnsi="Times New Roman" w:cs="Times New Roman"/>
          <w:sz w:val="24"/>
          <w:szCs w:val="24"/>
          <w:lang w:eastAsia="it-IT"/>
        </w:rPr>
        <w:t>Tab</w:t>
      </w:r>
      <w:proofErr w:type="spellEnd"/>
      <w:r w:rsidRPr="00575C7D">
        <w:rPr>
          <w:rFonts w:ascii="Times New Roman" w:eastAsia="Times New Roman" w:hAnsi="Times New Roman" w:cs="Times New Roman"/>
          <w:sz w:val="24"/>
          <w:szCs w:val="24"/>
          <w:lang w:eastAsia="it-IT"/>
        </w:rPr>
        <w:t>. 2</w:t>
      </w:r>
      <w:r>
        <w:rPr>
          <w:rFonts w:ascii="Times New Roman" w:eastAsia="Times New Roman" w:hAnsi="Times New Roman" w:cs="Times New Roman"/>
          <w:sz w:val="24"/>
          <w:szCs w:val="24"/>
          <w:lang w:eastAsia="it-IT"/>
        </w:rPr>
        <w:t>6</w:t>
      </w:r>
      <w:r w:rsidRPr="00575C7D">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w:t>
      </w:r>
    </w:p>
    <w:p w14:paraId="46122596" w14:textId="76DFA61B" w:rsidR="00600D30" w:rsidRPr="005E7508" w:rsidRDefault="00600D30" w:rsidP="00600D30">
      <w:pPr>
        <w:spacing w:after="0" w:line="360" w:lineRule="auto"/>
        <w:jc w:val="center"/>
        <w:rPr>
          <w:rFonts w:ascii="Times New Roman" w:eastAsia="Times New Roman" w:hAnsi="Times New Roman" w:cs="Times New Roman"/>
          <w:b/>
          <w:color w:val="000000"/>
          <w:sz w:val="24"/>
          <w:szCs w:val="24"/>
          <w:lang w:eastAsia="it-IT"/>
        </w:rPr>
      </w:pP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2</w:t>
      </w:r>
      <w:r>
        <w:rPr>
          <w:rFonts w:ascii="Times New Roman" w:eastAsia="Times New Roman" w:hAnsi="Times New Roman" w:cs="Times New Roman"/>
          <w:b/>
          <w:color w:val="000000"/>
          <w:sz w:val="24"/>
          <w:szCs w:val="24"/>
          <w:lang w:eastAsia="it-IT"/>
        </w:rPr>
        <w:t>6</w:t>
      </w:r>
      <w:r w:rsidRPr="00CA05CA">
        <w:rPr>
          <w:rFonts w:ascii="Times New Roman" w:eastAsia="Times New Roman" w:hAnsi="Times New Roman" w:cs="Times New Roman"/>
          <w:b/>
          <w:color w:val="000000"/>
          <w:sz w:val="24"/>
          <w:szCs w:val="24"/>
          <w:lang w:eastAsia="it-IT"/>
        </w:rPr>
        <w:t xml:space="preserve"> – Rappresentanza</w:t>
      </w:r>
    </w:p>
    <w:p w14:paraId="084416C1" w14:textId="114B9C9A" w:rsidR="009802BE" w:rsidRDefault="00717ED6" w:rsidP="009802BE">
      <w:pPr>
        <w:spacing w:after="0" w:line="360" w:lineRule="auto"/>
        <w:jc w:val="center"/>
        <w:rPr>
          <w:rFonts w:ascii="Times New Roman" w:eastAsia="Times New Roman" w:hAnsi="Times New Roman" w:cs="Times New Roman"/>
          <w:b/>
          <w:color w:val="0000FF"/>
          <w:sz w:val="24"/>
          <w:szCs w:val="24"/>
          <w:lang w:eastAsia="it-IT"/>
        </w:rPr>
      </w:pPr>
      <w:r w:rsidRPr="00717ED6">
        <w:rPr>
          <w:noProof/>
          <w:lang w:eastAsia="it-IT"/>
        </w:rPr>
        <w:drawing>
          <wp:inline distT="0" distB="0" distL="0" distR="0" wp14:anchorId="451D9B37" wp14:editId="506B749D">
            <wp:extent cx="3627120" cy="389890"/>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37453E97" w14:textId="43F05900" w:rsidR="00600D30" w:rsidRPr="00CA05CA" w:rsidRDefault="00717ED6" w:rsidP="00600D30">
      <w:pPr>
        <w:spacing w:after="0" w:line="360" w:lineRule="auto"/>
        <w:jc w:val="center"/>
        <w:rPr>
          <w:rFonts w:ascii="Times New Roman" w:eastAsia="Times New Roman" w:hAnsi="Times New Roman" w:cs="Times New Roman"/>
          <w:b/>
          <w:color w:val="0000FF"/>
          <w:sz w:val="24"/>
          <w:szCs w:val="24"/>
          <w:lang w:eastAsia="it-IT"/>
        </w:rPr>
      </w:pPr>
      <w:r>
        <w:rPr>
          <w:rFonts w:ascii="Times New Roman" w:eastAsia="Times New Roman" w:hAnsi="Times New Roman" w:cs="Times New Roman"/>
          <w:b/>
          <w:noProof/>
          <w:color w:val="0000FF"/>
          <w:sz w:val="24"/>
          <w:szCs w:val="24"/>
          <w:lang w:eastAsia="it-IT"/>
        </w:rPr>
        <w:drawing>
          <wp:inline distT="0" distB="0" distL="0" distR="0" wp14:anchorId="09645B2B" wp14:editId="5F100FAA">
            <wp:extent cx="3719899" cy="2259624"/>
            <wp:effectExtent l="0" t="0" r="0" b="762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0155" cy="2296226"/>
                    </a:xfrm>
                    <a:prstGeom prst="rect">
                      <a:avLst/>
                    </a:prstGeom>
                    <a:noFill/>
                  </pic:spPr>
                </pic:pic>
              </a:graphicData>
            </a:graphic>
          </wp:inline>
        </w:drawing>
      </w:r>
    </w:p>
    <w:p w14:paraId="7FF74D98" w14:textId="600A8FEC" w:rsidR="00600D30" w:rsidRDefault="00600D30" w:rsidP="00600D30">
      <w:pPr>
        <w:spacing w:after="0" w:line="360" w:lineRule="auto"/>
        <w:jc w:val="both"/>
        <w:rPr>
          <w:rFonts w:ascii="Times New Roman" w:eastAsia="Times New Roman" w:hAnsi="Times New Roman" w:cs="Times New Roman"/>
          <w:sz w:val="24"/>
          <w:szCs w:val="24"/>
          <w:lang w:eastAsia="it-IT"/>
        </w:rPr>
      </w:pPr>
      <w:r w:rsidRPr="00CA05CA">
        <w:rPr>
          <w:rFonts w:ascii="Times New Roman" w:eastAsia="Times New Roman" w:hAnsi="Times New Roman" w:cs="Times New Roman"/>
          <w:color w:val="000000"/>
          <w:sz w:val="24"/>
          <w:szCs w:val="24"/>
          <w:lang w:eastAsia="it-IT"/>
        </w:rPr>
        <w:lastRenderedPageBreak/>
        <w:t>L</w:t>
      </w:r>
      <w:r w:rsidR="00877AAF">
        <w:rPr>
          <w:rFonts w:ascii="Times New Roman" w:eastAsia="Times New Roman" w:hAnsi="Times New Roman" w:cs="Times New Roman"/>
          <w:color w:val="000000"/>
          <w:sz w:val="24"/>
          <w:szCs w:val="24"/>
          <w:lang w:eastAsia="it-IT"/>
        </w:rPr>
        <w:t>’</w:t>
      </w:r>
      <w:r w:rsidRPr="00CA05CA">
        <w:rPr>
          <w:rFonts w:ascii="Times New Roman" w:eastAsia="Times New Roman" w:hAnsi="Times New Roman" w:cs="Times New Roman"/>
          <w:color w:val="000000"/>
          <w:sz w:val="24"/>
          <w:szCs w:val="24"/>
          <w:lang w:eastAsia="it-IT"/>
        </w:rPr>
        <w:t>impegnato per eventi istituzionali nel 20</w:t>
      </w:r>
      <w:r>
        <w:rPr>
          <w:rFonts w:ascii="Times New Roman" w:eastAsia="Times New Roman" w:hAnsi="Times New Roman" w:cs="Times New Roman"/>
          <w:color w:val="000000"/>
          <w:sz w:val="24"/>
          <w:szCs w:val="24"/>
          <w:lang w:eastAsia="it-IT"/>
        </w:rPr>
        <w:t>22</w:t>
      </w:r>
      <w:r w:rsidRPr="00CA05CA">
        <w:rPr>
          <w:rFonts w:ascii="Times New Roman" w:eastAsia="Times New Roman" w:hAnsi="Times New Roman" w:cs="Times New Roman"/>
          <w:color w:val="000000"/>
          <w:sz w:val="24"/>
          <w:szCs w:val="24"/>
          <w:lang w:eastAsia="it-IT"/>
        </w:rPr>
        <w:t xml:space="preserve"> </w:t>
      </w:r>
      <w:r>
        <w:rPr>
          <w:rFonts w:ascii="Times New Roman" w:eastAsia="Times New Roman" w:hAnsi="Times New Roman" w:cs="Times New Roman"/>
          <w:color w:val="000000"/>
          <w:sz w:val="24"/>
          <w:szCs w:val="24"/>
          <w:lang w:eastAsia="it-IT"/>
        </w:rPr>
        <w:t xml:space="preserve">risulta in aumento </w:t>
      </w:r>
      <w:r w:rsidRPr="00CA05CA">
        <w:rPr>
          <w:rFonts w:ascii="Times New Roman" w:eastAsia="Times New Roman" w:hAnsi="Times New Roman" w:cs="Times New Roman"/>
          <w:color w:val="000000"/>
          <w:sz w:val="24"/>
          <w:szCs w:val="24"/>
          <w:lang w:eastAsia="it-IT"/>
        </w:rPr>
        <w:t xml:space="preserve">di euro </w:t>
      </w:r>
      <w:r>
        <w:rPr>
          <w:rFonts w:ascii="Times New Roman" w:eastAsia="Times New Roman" w:hAnsi="Times New Roman" w:cs="Times New Roman"/>
          <w:sz w:val="24"/>
          <w:szCs w:val="24"/>
          <w:lang w:eastAsia="it-IT"/>
        </w:rPr>
        <w:t>132.890,14</w:t>
      </w:r>
      <w:r w:rsidR="00841B77">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Pr="00CA05CA">
        <w:rPr>
          <w:rFonts w:ascii="Times New Roman" w:eastAsia="Times New Roman" w:hAnsi="Times New Roman" w:cs="Times New Roman"/>
          <w:sz w:val="24"/>
          <w:szCs w:val="24"/>
          <w:lang w:eastAsia="it-IT"/>
        </w:rPr>
        <w:t xml:space="preserve">passando </w:t>
      </w:r>
      <w:r>
        <w:rPr>
          <w:rFonts w:ascii="Times New Roman" w:eastAsia="Times New Roman" w:hAnsi="Times New Roman" w:cs="Times New Roman"/>
          <w:sz w:val="24"/>
          <w:szCs w:val="24"/>
          <w:lang w:eastAsia="it-IT"/>
        </w:rPr>
        <w:t>229.352,49</w:t>
      </w:r>
      <w:r w:rsidRPr="00190E19">
        <w:rPr>
          <w:rFonts w:ascii="Times New Roman" w:eastAsia="Times New Roman" w:hAnsi="Times New Roman" w:cs="Times New Roman"/>
          <w:sz w:val="24"/>
          <w:szCs w:val="24"/>
          <w:lang w:eastAsia="it-IT"/>
        </w:rPr>
        <w:t xml:space="preserve"> </w:t>
      </w:r>
      <w:r w:rsidR="009F77D1">
        <w:rPr>
          <w:rFonts w:ascii="Times New Roman" w:eastAsia="Times New Roman" w:hAnsi="Times New Roman" w:cs="Times New Roman"/>
          <w:sz w:val="24"/>
          <w:szCs w:val="24"/>
          <w:lang w:eastAsia="it-IT"/>
        </w:rPr>
        <w:t>a euro</w:t>
      </w:r>
      <w:r w:rsidRPr="00190E19">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362.242,63</w:t>
      </w:r>
      <w:r w:rsidR="006B092E" w:rsidRPr="006B092E">
        <w:rPr>
          <w:rFonts w:ascii="Times New Roman" w:eastAsia="Times New Roman" w:hAnsi="Times New Roman" w:cs="Times New Roman"/>
          <w:color w:val="000000"/>
          <w:sz w:val="24"/>
          <w:szCs w:val="24"/>
          <w:lang w:eastAsia="it-IT"/>
        </w:rPr>
        <w:t xml:space="preserve"> </w:t>
      </w:r>
      <w:r w:rsidR="006B092E" w:rsidRPr="00CA05CA">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cfr. </w:t>
      </w:r>
      <w:proofErr w:type="spellStart"/>
      <w:r w:rsidR="006B092E" w:rsidRPr="00CA05CA">
        <w:rPr>
          <w:rFonts w:ascii="Times New Roman" w:eastAsia="Times New Roman" w:hAnsi="Times New Roman" w:cs="Times New Roman"/>
          <w:color w:val="000000"/>
          <w:sz w:val="24"/>
          <w:szCs w:val="24"/>
          <w:lang w:eastAsia="it-IT"/>
        </w:rPr>
        <w:t>Tab</w:t>
      </w:r>
      <w:proofErr w:type="spellEnd"/>
      <w:r w:rsidR="006B092E" w:rsidRPr="00CA05CA">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 xml:space="preserve"> 27</w:t>
      </w:r>
      <w:r w:rsidR="006B092E" w:rsidRPr="00CA05CA">
        <w:rPr>
          <w:rFonts w:ascii="Times New Roman" w:eastAsia="Times New Roman" w:hAnsi="Times New Roman" w:cs="Times New Roman"/>
          <w:color w:val="000000"/>
          <w:sz w:val="24"/>
          <w:szCs w:val="24"/>
          <w:lang w:eastAsia="it-IT"/>
        </w:rPr>
        <w:t>)</w:t>
      </w:r>
      <w:r w:rsidR="006B092E">
        <w:rPr>
          <w:rFonts w:ascii="Times New Roman" w:eastAsia="Times New Roman" w:hAnsi="Times New Roman" w:cs="Times New Roman"/>
          <w:color w:val="000000"/>
          <w:sz w:val="24"/>
          <w:szCs w:val="24"/>
          <w:lang w:eastAsia="it-IT"/>
        </w:rPr>
        <w:t>,</w:t>
      </w:r>
      <w:r w:rsidR="00A04DC6">
        <w:rPr>
          <w:rFonts w:ascii="Times New Roman" w:eastAsia="Times New Roman" w:hAnsi="Times New Roman" w:cs="Times New Roman"/>
          <w:sz w:val="24"/>
          <w:szCs w:val="24"/>
          <w:lang w:eastAsia="it-IT"/>
        </w:rPr>
        <w:t xml:space="preserve"> </w:t>
      </w:r>
      <w:r w:rsidR="00A04DC6" w:rsidRPr="00061B9D">
        <w:rPr>
          <w:rFonts w:ascii="Times New Roman" w:eastAsia="Times New Roman" w:hAnsi="Times New Roman" w:cs="Times New Roman"/>
          <w:sz w:val="24"/>
          <w:szCs w:val="24"/>
          <w:lang w:eastAsia="it-IT"/>
        </w:rPr>
        <w:t>dovuto alla ripresa delle attività per l</w:t>
      </w:r>
      <w:r w:rsidR="00877AAF">
        <w:rPr>
          <w:rFonts w:ascii="Times New Roman" w:eastAsia="Times New Roman" w:hAnsi="Times New Roman" w:cs="Times New Roman"/>
          <w:sz w:val="24"/>
          <w:szCs w:val="24"/>
          <w:lang w:eastAsia="it-IT"/>
        </w:rPr>
        <w:t>’</w:t>
      </w:r>
      <w:r w:rsidR="00A04DC6" w:rsidRPr="00061B9D">
        <w:rPr>
          <w:rFonts w:ascii="Times New Roman" w:eastAsia="Times New Roman" w:hAnsi="Times New Roman" w:cs="Times New Roman"/>
          <w:sz w:val="24"/>
          <w:szCs w:val="24"/>
          <w:lang w:eastAsia="it-IT"/>
        </w:rPr>
        <w:t xml:space="preserve">allentamento delle misure per il contenimento del </w:t>
      </w:r>
      <w:r w:rsidR="00A04DC6" w:rsidRPr="00061B9D">
        <w:rPr>
          <w:rFonts w:ascii="Times New Roman" w:hAnsi="Times New Roman" w:cs="Times New Roman"/>
          <w:sz w:val="24"/>
          <w:szCs w:val="24"/>
        </w:rPr>
        <w:t>COVID-19</w:t>
      </w:r>
      <w:r w:rsidR="00A02037">
        <w:rPr>
          <w:rFonts w:ascii="Times New Roman" w:hAnsi="Times New Roman" w:cs="Times New Roman"/>
          <w:sz w:val="24"/>
          <w:szCs w:val="24"/>
        </w:rPr>
        <w:t>.</w:t>
      </w:r>
    </w:p>
    <w:p w14:paraId="0BF94C74" w14:textId="77777777" w:rsidR="00600D30" w:rsidRDefault="00600D30" w:rsidP="00600D30">
      <w:pPr>
        <w:spacing w:after="0" w:line="360" w:lineRule="auto"/>
        <w:jc w:val="center"/>
        <w:rPr>
          <w:rFonts w:ascii="Times New Roman" w:eastAsia="Times New Roman" w:hAnsi="Times New Roman" w:cs="Times New Roman"/>
          <w:b/>
          <w:color w:val="000000"/>
          <w:sz w:val="24"/>
          <w:szCs w:val="24"/>
          <w:lang w:eastAsia="it-IT"/>
        </w:rPr>
      </w:pP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 xml:space="preserve">27 </w:t>
      </w:r>
      <w:r w:rsidRPr="00CA05CA">
        <w:rPr>
          <w:rFonts w:ascii="Times New Roman" w:eastAsia="Times New Roman" w:hAnsi="Times New Roman" w:cs="Times New Roman"/>
          <w:b/>
          <w:color w:val="000000"/>
          <w:sz w:val="24"/>
          <w:szCs w:val="24"/>
          <w:lang w:eastAsia="it-IT"/>
        </w:rPr>
        <w:t>– Eventi istituzionali</w:t>
      </w:r>
    </w:p>
    <w:p w14:paraId="75F6BB34" w14:textId="369ABE8D" w:rsidR="00600D30" w:rsidRDefault="00717ED6" w:rsidP="00600D30">
      <w:pPr>
        <w:spacing w:after="0" w:line="360" w:lineRule="auto"/>
        <w:jc w:val="center"/>
        <w:rPr>
          <w:rFonts w:ascii="Times New Roman" w:eastAsia="Times New Roman" w:hAnsi="Times New Roman" w:cs="Times New Roman"/>
          <w:b/>
          <w:color w:val="000000"/>
          <w:sz w:val="24"/>
          <w:szCs w:val="24"/>
          <w:lang w:eastAsia="it-IT"/>
        </w:rPr>
      </w:pPr>
      <w:r w:rsidRPr="00717ED6">
        <w:rPr>
          <w:noProof/>
          <w:lang w:eastAsia="it-IT"/>
        </w:rPr>
        <w:drawing>
          <wp:inline distT="0" distB="0" distL="0" distR="0" wp14:anchorId="42EA7F35" wp14:editId="75757873">
            <wp:extent cx="3627120" cy="446405"/>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7120" cy="446405"/>
                    </a:xfrm>
                    <a:prstGeom prst="rect">
                      <a:avLst/>
                    </a:prstGeom>
                    <a:noFill/>
                    <a:ln>
                      <a:noFill/>
                    </a:ln>
                  </pic:spPr>
                </pic:pic>
              </a:graphicData>
            </a:graphic>
          </wp:inline>
        </w:drawing>
      </w:r>
    </w:p>
    <w:p w14:paraId="1578BB85" w14:textId="0AC0B42C" w:rsidR="00600D30" w:rsidRPr="00CA05CA" w:rsidRDefault="00717ED6" w:rsidP="00600D30">
      <w:pPr>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6C1F9624" wp14:editId="4B066ABD">
            <wp:extent cx="3717323" cy="2209109"/>
            <wp:effectExtent l="0" t="0" r="0" b="127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4472" cy="2225243"/>
                    </a:xfrm>
                    <a:prstGeom prst="rect">
                      <a:avLst/>
                    </a:prstGeom>
                    <a:noFill/>
                  </pic:spPr>
                </pic:pic>
              </a:graphicData>
            </a:graphic>
          </wp:inline>
        </w:drawing>
      </w:r>
    </w:p>
    <w:p w14:paraId="53BE9A15" w14:textId="77777777" w:rsidR="00600D30" w:rsidRDefault="00600D30" w:rsidP="00600D30">
      <w:pPr>
        <w:tabs>
          <w:tab w:val="left" w:pos="1965"/>
        </w:tabs>
        <w:spacing w:after="0" w:line="360" w:lineRule="auto"/>
        <w:jc w:val="both"/>
        <w:rPr>
          <w:rFonts w:ascii="Times New Roman" w:eastAsia="Times New Roman" w:hAnsi="Times New Roman" w:cs="Times New Roman"/>
          <w:color w:val="000000"/>
          <w:sz w:val="24"/>
          <w:szCs w:val="24"/>
          <w:lang w:eastAsia="it-IT"/>
        </w:rPr>
      </w:pPr>
    </w:p>
    <w:p w14:paraId="75FF69E8" w14:textId="77777777" w:rsidR="009802BE" w:rsidRDefault="009802BE" w:rsidP="00600D30">
      <w:pPr>
        <w:spacing w:after="120" w:line="360" w:lineRule="auto"/>
        <w:jc w:val="both"/>
        <w:rPr>
          <w:rFonts w:ascii="Times New Roman" w:eastAsia="Times New Roman" w:hAnsi="Times New Roman" w:cs="Times New Roman"/>
          <w:sz w:val="24"/>
          <w:szCs w:val="24"/>
          <w:lang w:eastAsia="it-IT"/>
        </w:rPr>
      </w:pPr>
    </w:p>
    <w:p w14:paraId="2FEA65B4" w14:textId="3AA13832" w:rsidR="00600D30" w:rsidRDefault="00600D30" w:rsidP="009802BE">
      <w:pPr>
        <w:spacing w:after="120" w:line="360" w:lineRule="auto"/>
        <w:jc w:val="both"/>
        <w:rPr>
          <w:rFonts w:ascii="Times New Roman" w:eastAsia="Times New Roman" w:hAnsi="Times New Roman" w:cs="Times New Roman"/>
          <w:b/>
          <w:color w:val="000000"/>
          <w:sz w:val="24"/>
          <w:szCs w:val="24"/>
          <w:lang w:eastAsia="it-IT"/>
        </w:rPr>
      </w:pPr>
      <w:r w:rsidRPr="00D43450">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D43450">
        <w:rPr>
          <w:rFonts w:ascii="Times New Roman" w:eastAsia="Times New Roman" w:hAnsi="Times New Roman" w:cs="Times New Roman"/>
          <w:sz w:val="24"/>
          <w:szCs w:val="24"/>
          <w:lang w:eastAsia="it-IT"/>
        </w:rPr>
        <w:t xml:space="preserve">impegnato per la formazione del personale passa da euro </w:t>
      </w:r>
      <w:r>
        <w:rPr>
          <w:rFonts w:ascii="Times New Roman" w:eastAsia="Times New Roman" w:hAnsi="Times New Roman" w:cs="Times New Roman"/>
          <w:sz w:val="24"/>
          <w:szCs w:val="24"/>
          <w:lang w:eastAsia="it-IT"/>
        </w:rPr>
        <w:t xml:space="preserve">189.498,30 </w:t>
      </w:r>
      <w:r w:rsidR="009F77D1">
        <w:rPr>
          <w:rFonts w:ascii="Times New Roman" w:eastAsia="Times New Roman" w:hAnsi="Times New Roman" w:cs="Times New Roman"/>
          <w:sz w:val="24"/>
          <w:szCs w:val="24"/>
          <w:lang w:eastAsia="it-IT"/>
        </w:rPr>
        <w:t>a euro</w:t>
      </w:r>
      <w:r w:rsidRPr="00D43450">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211.317,02</w:t>
      </w:r>
      <w:r w:rsidR="006B092E">
        <w:rPr>
          <w:rFonts w:ascii="Times New Roman" w:eastAsia="Times New Roman" w:hAnsi="Times New Roman" w:cs="Times New Roman"/>
          <w:sz w:val="24"/>
          <w:szCs w:val="24"/>
          <w:lang w:eastAsia="it-IT"/>
        </w:rPr>
        <w:t xml:space="preserve"> </w:t>
      </w:r>
      <w:r w:rsidR="006B092E" w:rsidRPr="00D43450">
        <w:rPr>
          <w:rFonts w:ascii="Times New Roman" w:eastAsia="Times New Roman" w:hAnsi="Times New Roman" w:cs="Times New Roman"/>
          <w:sz w:val="24"/>
          <w:szCs w:val="24"/>
          <w:lang w:eastAsia="it-IT"/>
        </w:rPr>
        <w:t>(</w:t>
      </w:r>
      <w:r w:rsidR="006B092E">
        <w:rPr>
          <w:rFonts w:ascii="Times New Roman" w:eastAsia="Times New Roman" w:hAnsi="Times New Roman" w:cs="Times New Roman"/>
          <w:sz w:val="24"/>
          <w:szCs w:val="24"/>
          <w:lang w:eastAsia="it-IT"/>
        </w:rPr>
        <w:t xml:space="preserve">cfr. </w:t>
      </w:r>
      <w:proofErr w:type="spellStart"/>
      <w:r w:rsidR="006B092E" w:rsidRPr="00D43450">
        <w:rPr>
          <w:rFonts w:ascii="Times New Roman" w:eastAsia="Times New Roman" w:hAnsi="Times New Roman" w:cs="Times New Roman"/>
          <w:sz w:val="24"/>
          <w:szCs w:val="24"/>
          <w:lang w:eastAsia="it-IT"/>
        </w:rPr>
        <w:t>Tab</w:t>
      </w:r>
      <w:proofErr w:type="spellEnd"/>
      <w:r w:rsidR="006B092E" w:rsidRPr="00D43450">
        <w:rPr>
          <w:rFonts w:ascii="Times New Roman" w:eastAsia="Times New Roman" w:hAnsi="Times New Roman" w:cs="Times New Roman"/>
          <w:sz w:val="24"/>
          <w:szCs w:val="24"/>
          <w:lang w:eastAsia="it-IT"/>
        </w:rPr>
        <w:t xml:space="preserve">. </w:t>
      </w:r>
      <w:r w:rsidR="006B092E">
        <w:rPr>
          <w:rFonts w:ascii="Times New Roman" w:eastAsia="Times New Roman" w:hAnsi="Times New Roman" w:cs="Times New Roman"/>
          <w:sz w:val="24"/>
          <w:szCs w:val="24"/>
          <w:lang w:eastAsia="it-IT"/>
        </w:rPr>
        <w:t>28</w:t>
      </w:r>
      <w:r w:rsidR="006B092E" w:rsidRPr="00D43450">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in aumento </w:t>
      </w:r>
      <w:r w:rsidRPr="00D43450">
        <w:rPr>
          <w:rFonts w:ascii="Times New Roman" w:eastAsia="Times New Roman" w:hAnsi="Times New Roman" w:cs="Times New Roman"/>
          <w:sz w:val="24"/>
          <w:szCs w:val="24"/>
          <w:lang w:eastAsia="it-IT"/>
        </w:rPr>
        <w:t xml:space="preserve">di euro </w:t>
      </w:r>
      <w:r>
        <w:rPr>
          <w:rFonts w:ascii="Times New Roman" w:eastAsia="Times New Roman" w:hAnsi="Times New Roman" w:cs="Times New Roman"/>
          <w:sz w:val="24"/>
          <w:szCs w:val="24"/>
          <w:lang w:eastAsia="it-IT"/>
        </w:rPr>
        <w:t>21.818,72</w:t>
      </w:r>
      <w:r w:rsidRPr="00CF3DC3">
        <w:rPr>
          <w:rFonts w:ascii="Times New Roman" w:eastAsia="Times New Roman" w:hAnsi="Times New Roman" w:cs="Times New Roman"/>
          <w:sz w:val="24"/>
          <w:szCs w:val="24"/>
          <w:lang w:eastAsia="it-IT"/>
        </w:rPr>
        <w:t>.</w:t>
      </w:r>
      <w:r w:rsidRPr="00CA05CA">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p>
    <w:p w14:paraId="4E4C80B5" w14:textId="77777777" w:rsidR="00600D30" w:rsidRDefault="00600D30" w:rsidP="00600D30">
      <w:pPr>
        <w:tabs>
          <w:tab w:val="left" w:pos="1890"/>
        </w:tabs>
        <w:spacing w:after="0" w:line="360" w:lineRule="auto"/>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r>
        <w:rPr>
          <w:rFonts w:ascii="Times New Roman" w:eastAsia="Times New Roman" w:hAnsi="Times New Roman" w:cs="Times New Roman"/>
          <w:b/>
          <w:color w:val="000000"/>
          <w:sz w:val="24"/>
          <w:szCs w:val="24"/>
          <w:lang w:eastAsia="it-IT"/>
        </w:rPr>
        <w:tab/>
      </w:r>
      <w:proofErr w:type="spellStart"/>
      <w:r w:rsidRPr="00CA05CA">
        <w:rPr>
          <w:rFonts w:ascii="Times New Roman" w:eastAsia="Times New Roman" w:hAnsi="Times New Roman" w:cs="Times New Roman"/>
          <w:b/>
          <w:color w:val="000000"/>
          <w:sz w:val="24"/>
          <w:szCs w:val="24"/>
          <w:lang w:eastAsia="it-IT"/>
        </w:rPr>
        <w:t>Tab</w:t>
      </w:r>
      <w:proofErr w:type="spellEnd"/>
      <w:r w:rsidRPr="00CA05CA">
        <w:rPr>
          <w:rFonts w:ascii="Times New Roman" w:eastAsia="Times New Roman" w:hAnsi="Times New Roman" w:cs="Times New Roman"/>
          <w:b/>
          <w:color w:val="000000"/>
          <w:sz w:val="24"/>
          <w:szCs w:val="24"/>
          <w:lang w:eastAsia="it-IT"/>
        </w:rPr>
        <w:t xml:space="preserve">. </w:t>
      </w:r>
      <w:r>
        <w:rPr>
          <w:rFonts w:ascii="Times New Roman" w:eastAsia="Times New Roman" w:hAnsi="Times New Roman" w:cs="Times New Roman"/>
          <w:b/>
          <w:color w:val="000000"/>
          <w:sz w:val="24"/>
          <w:szCs w:val="24"/>
          <w:lang w:eastAsia="it-IT"/>
        </w:rPr>
        <w:t>28</w:t>
      </w:r>
      <w:r w:rsidRPr="00CA05CA">
        <w:rPr>
          <w:rFonts w:ascii="Times New Roman" w:eastAsia="Times New Roman" w:hAnsi="Times New Roman" w:cs="Times New Roman"/>
          <w:b/>
          <w:color w:val="000000"/>
          <w:sz w:val="24"/>
          <w:szCs w:val="24"/>
          <w:lang w:eastAsia="it-IT"/>
        </w:rPr>
        <w:t xml:space="preserve"> - Formazione</w:t>
      </w:r>
    </w:p>
    <w:p w14:paraId="67F2832E" w14:textId="628E72F5" w:rsidR="00600D30" w:rsidRDefault="00E87EA0" w:rsidP="00600D30">
      <w:pPr>
        <w:spacing w:after="0" w:line="360" w:lineRule="auto"/>
        <w:jc w:val="center"/>
        <w:rPr>
          <w:rFonts w:ascii="Times New Roman" w:eastAsia="Times New Roman" w:hAnsi="Times New Roman" w:cs="Times New Roman"/>
          <w:b/>
          <w:color w:val="000000"/>
          <w:sz w:val="24"/>
          <w:szCs w:val="24"/>
          <w:lang w:eastAsia="it-IT"/>
        </w:rPr>
      </w:pPr>
      <w:r w:rsidRPr="00E87EA0">
        <w:rPr>
          <w:noProof/>
          <w:lang w:eastAsia="it-IT"/>
        </w:rPr>
        <w:drawing>
          <wp:inline distT="0" distB="0" distL="0" distR="0" wp14:anchorId="440838DE" wp14:editId="72D14D46">
            <wp:extent cx="3627120" cy="389890"/>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27120" cy="389890"/>
                    </a:xfrm>
                    <a:prstGeom prst="rect">
                      <a:avLst/>
                    </a:prstGeom>
                    <a:noFill/>
                    <a:ln>
                      <a:noFill/>
                    </a:ln>
                  </pic:spPr>
                </pic:pic>
              </a:graphicData>
            </a:graphic>
          </wp:inline>
        </w:drawing>
      </w:r>
    </w:p>
    <w:p w14:paraId="5D9F7D56" w14:textId="7102F84F" w:rsidR="00600D30" w:rsidRPr="00CA05CA" w:rsidRDefault="00E87EA0" w:rsidP="00600D30">
      <w:pPr>
        <w:spacing w:after="0" w:line="360" w:lineRule="auto"/>
        <w:jc w:val="center"/>
        <w:rPr>
          <w:rFonts w:ascii="Times New Roman" w:eastAsia="Times New Roman" w:hAnsi="Times New Roman" w:cs="Times New Roman"/>
          <w:b/>
          <w:color w:val="000000"/>
          <w:sz w:val="24"/>
          <w:szCs w:val="24"/>
          <w:lang w:eastAsia="it-IT"/>
        </w:rPr>
      </w:pPr>
      <w:r>
        <w:rPr>
          <w:rFonts w:ascii="Times New Roman" w:eastAsia="Times New Roman" w:hAnsi="Times New Roman" w:cs="Times New Roman"/>
          <w:b/>
          <w:noProof/>
          <w:color w:val="000000"/>
          <w:sz w:val="24"/>
          <w:szCs w:val="24"/>
          <w:lang w:eastAsia="it-IT"/>
        </w:rPr>
        <w:drawing>
          <wp:inline distT="0" distB="0" distL="0" distR="0" wp14:anchorId="315202F5" wp14:editId="281DC261">
            <wp:extent cx="3681905" cy="2217028"/>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18947" cy="2239332"/>
                    </a:xfrm>
                    <a:prstGeom prst="rect">
                      <a:avLst/>
                    </a:prstGeom>
                    <a:noFill/>
                  </pic:spPr>
                </pic:pic>
              </a:graphicData>
            </a:graphic>
          </wp:inline>
        </w:drawing>
      </w:r>
    </w:p>
    <w:p w14:paraId="54BFFE0B" w14:textId="77777777" w:rsidR="006B092E" w:rsidRDefault="00600D30" w:rsidP="00600D30">
      <w:pPr>
        <w:spacing w:after="0" w:line="360" w:lineRule="auto"/>
        <w:ind w:left="1416" w:firstLine="708"/>
        <w:rPr>
          <w:rFonts w:ascii="Times New Roman" w:eastAsia="Times New Roman" w:hAnsi="Times New Roman" w:cs="Times New Roman"/>
          <w:b/>
          <w:color w:val="000000"/>
          <w:sz w:val="24"/>
          <w:szCs w:val="24"/>
          <w:lang w:eastAsia="it-IT"/>
        </w:rPr>
      </w:pPr>
      <w:r w:rsidRPr="00CA05CA">
        <w:rPr>
          <w:rFonts w:ascii="Times New Roman" w:eastAsia="Times New Roman" w:hAnsi="Times New Roman" w:cs="Times New Roman"/>
          <w:b/>
          <w:color w:val="000000"/>
          <w:sz w:val="24"/>
          <w:szCs w:val="24"/>
          <w:lang w:eastAsia="it-IT"/>
        </w:rPr>
        <w:t xml:space="preserve">     </w:t>
      </w:r>
    </w:p>
    <w:p w14:paraId="49065C7C" w14:textId="77777777" w:rsidR="006B092E" w:rsidRDefault="006B092E" w:rsidP="00600D30">
      <w:pPr>
        <w:spacing w:after="0" w:line="360" w:lineRule="auto"/>
        <w:ind w:left="1416" w:firstLine="708"/>
        <w:rPr>
          <w:rFonts w:ascii="Times New Roman" w:eastAsia="Times New Roman" w:hAnsi="Times New Roman" w:cs="Times New Roman"/>
          <w:b/>
          <w:color w:val="000000"/>
          <w:sz w:val="24"/>
          <w:szCs w:val="24"/>
          <w:lang w:eastAsia="it-IT"/>
        </w:rPr>
      </w:pPr>
    </w:p>
    <w:p w14:paraId="4A982F39" w14:textId="59666A3C" w:rsidR="00600D30" w:rsidRDefault="00600D30" w:rsidP="00600D30">
      <w:pPr>
        <w:spacing w:after="0" w:line="360" w:lineRule="auto"/>
        <w:ind w:left="1416" w:firstLine="708"/>
        <w:rPr>
          <w:rFonts w:ascii="Times New Roman" w:eastAsia="Times New Roman" w:hAnsi="Times New Roman" w:cs="Times New Roman"/>
          <w:b/>
          <w:color w:val="000000"/>
          <w:sz w:val="24"/>
          <w:szCs w:val="24"/>
          <w:lang w:eastAsia="it-IT"/>
        </w:rPr>
      </w:pPr>
      <w:r w:rsidRPr="00CA05CA">
        <w:rPr>
          <w:rFonts w:ascii="Times New Roman" w:eastAsia="Times New Roman" w:hAnsi="Times New Roman" w:cs="Times New Roman"/>
          <w:b/>
          <w:color w:val="000000"/>
          <w:sz w:val="24"/>
          <w:szCs w:val="24"/>
          <w:lang w:eastAsia="it-IT"/>
        </w:rPr>
        <w:t xml:space="preserve"> </w:t>
      </w:r>
    </w:p>
    <w:p w14:paraId="0CDA556C" w14:textId="2A03FA09" w:rsidR="008335F2" w:rsidRDefault="008335F2" w:rsidP="00600D30">
      <w:pPr>
        <w:spacing w:after="0" w:line="360" w:lineRule="auto"/>
        <w:jc w:val="both"/>
        <w:rPr>
          <w:rFonts w:ascii="Times New Roman" w:eastAsia="Times New Roman" w:hAnsi="Times New Roman" w:cs="Times New Roman"/>
          <w:b/>
          <w:sz w:val="24"/>
          <w:szCs w:val="24"/>
          <w:lang w:eastAsia="it-IT"/>
        </w:rPr>
      </w:pPr>
    </w:p>
    <w:p w14:paraId="39334F89" w14:textId="3BE6334B" w:rsidR="00600D30" w:rsidRPr="00053730" w:rsidRDefault="00600D30" w:rsidP="00600D30">
      <w:pPr>
        <w:spacing w:after="0" w:line="360" w:lineRule="auto"/>
        <w:jc w:val="both"/>
        <w:rPr>
          <w:rFonts w:ascii="Times New Roman" w:eastAsia="Times New Roman" w:hAnsi="Times New Roman" w:cs="Times New Roman"/>
          <w:b/>
          <w:sz w:val="24"/>
          <w:szCs w:val="24"/>
          <w:lang w:eastAsia="it-IT"/>
        </w:rPr>
      </w:pPr>
      <w:r w:rsidRPr="00053730">
        <w:rPr>
          <w:rFonts w:ascii="Times New Roman" w:eastAsia="Times New Roman" w:hAnsi="Times New Roman" w:cs="Times New Roman"/>
          <w:b/>
          <w:sz w:val="24"/>
          <w:szCs w:val="24"/>
          <w:lang w:eastAsia="it-IT"/>
        </w:rPr>
        <w:lastRenderedPageBreak/>
        <w:t>7.4.</w:t>
      </w:r>
      <w:r w:rsidR="00775234">
        <w:rPr>
          <w:rFonts w:ascii="Times New Roman" w:eastAsia="Times New Roman" w:hAnsi="Times New Roman" w:cs="Times New Roman"/>
          <w:b/>
          <w:sz w:val="24"/>
          <w:szCs w:val="24"/>
          <w:lang w:eastAsia="it-IT"/>
        </w:rPr>
        <w:t>4</w:t>
      </w:r>
      <w:r w:rsidRPr="00053730">
        <w:rPr>
          <w:rFonts w:ascii="Times New Roman" w:eastAsia="Times New Roman" w:hAnsi="Times New Roman" w:cs="Times New Roman"/>
          <w:b/>
          <w:sz w:val="24"/>
          <w:szCs w:val="24"/>
          <w:lang w:eastAsia="it-IT"/>
        </w:rPr>
        <w:t xml:space="preserve"> Impegnato per beni e servizi dalla Protezione civile</w:t>
      </w:r>
    </w:p>
    <w:p w14:paraId="007F0720" w14:textId="58ECDD81" w:rsidR="00600D30" w:rsidRPr="00053730" w:rsidRDefault="00600D30" w:rsidP="00600D30">
      <w:pPr>
        <w:spacing w:after="0" w:line="360" w:lineRule="auto"/>
        <w:jc w:val="both"/>
        <w:rPr>
          <w:rFonts w:ascii="Times New Roman" w:eastAsia="Times New Roman" w:hAnsi="Times New Roman" w:cs="Times New Roman"/>
          <w:sz w:val="24"/>
          <w:szCs w:val="24"/>
          <w:lang w:eastAsia="it-IT"/>
        </w:rPr>
      </w:pPr>
      <w:bookmarkStart w:id="23" w:name="_Hlk131585999"/>
      <w:r w:rsidRPr="00053730">
        <w:rPr>
          <w:rFonts w:ascii="Times New Roman" w:hAnsi="Times New Roman" w:cs="Times New Roman"/>
          <w:bCs/>
          <w:sz w:val="24"/>
          <w:szCs w:val="24"/>
        </w:rPr>
        <w:t>Le somme impegnate dalla Protezione civile per beni e servizi</w:t>
      </w:r>
      <w:bookmarkEnd w:id="23"/>
      <w:r w:rsidRPr="00053730">
        <w:rPr>
          <w:rFonts w:ascii="Times New Roman" w:hAnsi="Times New Roman" w:cs="Times New Roman"/>
          <w:bCs/>
          <w:sz w:val="24"/>
          <w:szCs w:val="24"/>
        </w:rPr>
        <w:t>, ammontano per il 202</w:t>
      </w:r>
      <w:r>
        <w:rPr>
          <w:rFonts w:ascii="Times New Roman" w:hAnsi="Times New Roman" w:cs="Times New Roman"/>
          <w:bCs/>
          <w:sz w:val="24"/>
          <w:szCs w:val="24"/>
        </w:rPr>
        <w:t>2</w:t>
      </w:r>
      <w:r w:rsidRPr="00053730">
        <w:rPr>
          <w:rFonts w:ascii="Times New Roman" w:hAnsi="Times New Roman" w:cs="Times New Roman"/>
          <w:bCs/>
          <w:sz w:val="24"/>
          <w:szCs w:val="24"/>
        </w:rPr>
        <w:t xml:space="preserve"> </w:t>
      </w:r>
      <w:r w:rsidR="009F77D1">
        <w:rPr>
          <w:rFonts w:ascii="Times New Roman" w:hAnsi="Times New Roman" w:cs="Times New Roman"/>
          <w:bCs/>
          <w:sz w:val="24"/>
          <w:szCs w:val="24"/>
        </w:rPr>
        <w:t>a euro</w:t>
      </w:r>
      <w:r w:rsidRPr="00053730">
        <w:rPr>
          <w:rFonts w:ascii="Times New Roman" w:hAnsi="Times New Roman" w:cs="Times New Roman"/>
          <w:bCs/>
          <w:sz w:val="24"/>
          <w:szCs w:val="24"/>
        </w:rPr>
        <w:t xml:space="preserve"> </w:t>
      </w:r>
      <w:r>
        <w:rPr>
          <w:rFonts w:ascii="Times New Roman" w:hAnsi="Times New Roman" w:cs="Times New Roman"/>
          <w:bCs/>
          <w:sz w:val="24"/>
          <w:szCs w:val="24"/>
        </w:rPr>
        <w:t>22.740.244,31</w:t>
      </w:r>
      <w:r w:rsidRPr="00053730">
        <w:rPr>
          <w:rFonts w:ascii="Times New Roman" w:hAnsi="Times New Roman" w:cs="Times New Roman"/>
          <w:bCs/>
          <w:sz w:val="24"/>
          <w:szCs w:val="24"/>
        </w:rPr>
        <w:t xml:space="preserve">, da euro </w:t>
      </w:r>
      <w:r>
        <w:rPr>
          <w:rFonts w:ascii="Times New Roman" w:hAnsi="Times New Roman" w:cs="Times New Roman"/>
          <w:bCs/>
          <w:sz w:val="24"/>
          <w:szCs w:val="24"/>
        </w:rPr>
        <w:t xml:space="preserve">25.063.941,06 nel 2021, </w:t>
      </w:r>
      <w:r w:rsidRPr="00053730">
        <w:rPr>
          <w:rFonts w:ascii="Times New Roman" w:hAnsi="Times New Roman" w:cs="Times New Roman"/>
          <w:bCs/>
          <w:sz w:val="24"/>
          <w:szCs w:val="24"/>
        </w:rPr>
        <w:t xml:space="preserve">con </w:t>
      </w:r>
      <w:r>
        <w:rPr>
          <w:rFonts w:ascii="Times New Roman" w:hAnsi="Times New Roman" w:cs="Times New Roman"/>
          <w:bCs/>
          <w:sz w:val="24"/>
          <w:szCs w:val="24"/>
        </w:rPr>
        <w:t>una diminuzione di e</w:t>
      </w:r>
      <w:r w:rsidRPr="00053730">
        <w:rPr>
          <w:rFonts w:ascii="Times New Roman" w:hAnsi="Times New Roman" w:cs="Times New Roman"/>
          <w:bCs/>
          <w:sz w:val="24"/>
          <w:szCs w:val="24"/>
        </w:rPr>
        <w:t xml:space="preserve">uro </w:t>
      </w:r>
      <w:r>
        <w:rPr>
          <w:rFonts w:ascii="Times New Roman" w:hAnsi="Times New Roman" w:cs="Times New Roman"/>
          <w:bCs/>
          <w:sz w:val="24"/>
          <w:szCs w:val="24"/>
        </w:rPr>
        <w:t>2.323.696,75</w:t>
      </w:r>
      <w:r w:rsidRPr="00053730">
        <w:rPr>
          <w:rFonts w:ascii="Times New Roman" w:hAnsi="Times New Roman" w:cs="Times New Roman"/>
          <w:bCs/>
          <w:sz w:val="24"/>
          <w:szCs w:val="24"/>
        </w:rPr>
        <w:t xml:space="preserve">. </w:t>
      </w:r>
    </w:p>
    <w:p w14:paraId="24410DA0" w14:textId="11ABD1BF" w:rsidR="00BE41F0" w:rsidRDefault="00600D30" w:rsidP="00BE41F0">
      <w:pPr>
        <w:spacing w:after="0" w:line="360" w:lineRule="auto"/>
        <w:jc w:val="both"/>
        <w:rPr>
          <w:rFonts w:ascii="Times New Roman" w:eastAsia="Times New Roman" w:hAnsi="Times New Roman" w:cs="Times New Roman"/>
          <w:b/>
          <w:sz w:val="24"/>
          <w:szCs w:val="24"/>
          <w:lang w:eastAsia="it-IT"/>
        </w:rPr>
      </w:pPr>
      <w:r w:rsidRPr="00053730">
        <w:rPr>
          <w:rFonts w:ascii="Times New Roman" w:eastAsia="Times New Roman" w:hAnsi="Times New Roman" w:cs="Times New Roman"/>
          <w:sz w:val="24"/>
          <w:szCs w:val="24"/>
          <w:lang w:eastAsia="it-IT"/>
        </w:rPr>
        <w:t>Si fornisce</w:t>
      </w:r>
      <w:r>
        <w:rPr>
          <w:rFonts w:ascii="Times New Roman" w:eastAsia="Times New Roman" w:hAnsi="Times New Roman" w:cs="Times New Roman"/>
          <w:sz w:val="24"/>
          <w:szCs w:val="24"/>
          <w:lang w:eastAsia="it-IT"/>
        </w:rPr>
        <w:t>,</w:t>
      </w:r>
      <w:r w:rsidRPr="00053730">
        <w:rPr>
          <w:rFonts w:ascii="Times New Roman" w:eastAsia="Times New Roman" w:hAnsi="Times New Roman" w:cs="Times New Roman"/>
          <w:sz w:val="24"/>
          <w:szCs w:val="24"/>
          <w:lang w:eastAsia="it-IT"/>
        </w:rPr>
        <w:t xml:space="preserve"> nella </w:t>
      </w:r>
      <w:r>
        <w:rPr>
          <w:rFonts w:ascii="Times New Roman" w:eastAsia="Times New Roman" w:hAnsi="Times New Roman" w:cs="Times New Roman"/>
          <w:sz w:val="24"/>
          <w:szCs w:val="24"/>
          <w:lang w:eastAsia="it-IT"/>
        </w:rPr>
        <w:t xml:space="preserve">sottostante </w:t>
      </w:r>
      <w:r w:rsidRPr="00053730">
        <w:rPr>
          <w:rFonts w:ascii="Times New Roman" w:eastAsia="Times New Roman" w:hAnsi="Times New Roman" w:cs="Times New Roman"/>
          <w:sz w:val="24"/>
          <w:szCs w:val="24"/>
          <w:lang w:eastAsia="it-IT"/>
        </w:rPr>
        <w:t>Tab</w:t>
      </w:r>
      <w:r>
        <w:rPr>
          <w:rFonts w:ascii="Times New Roman" w:eastAsia="Times New Roman" w:hAnsi="Times New Roman" w:cs="Times New Roman"/>
          <w:sz w:val="24"/>
          <w:szCs w:val="24"/>
          <w:lang w:eastAsia="it-IT"/>
        </w:rPr>
        <w:t xml:space="preserve">ella </w:t>
      </w:r>
      <w:r w:rsidR="00366B85">
        <w:rPr>
          <w:rFonts w:ascii="Times New Roman" w:eastAsia="Times New Roman" w:hAnsi="Times New Roman" w:cs="Times New Roman"/>
          <w:sz w:val="24"/>
          <w:szCs w:val="24"/>
          <w:lang w:eastAsia="it-IT"/>
        </w:rPr>
        <w:t>29</w:t>
      </w:r>
      <w:r>
        <w:rPr>
          <w:rFonts w:ascii="Times New Roman" w:eastAsia="Times New Roman" w:hAnsi="Times New Roman" w:cs="Times New Roman"/>
          <w:sz w:val="24"/>
          <w:szCs w:val="24"/>
          <w:lang w:eastAsia="it-IT"/>
        </w:rPr>
        <w:t>,</w:t>
      </w:r>
      <w:r w:rsidRPr="00053730">
        <w:rPr>
          <w:rFonts w:ascii="Times New Roman" w:eastAsia="Times New Roman" w:hAnsi="Times New Roman" w:cs="Times New Roman"/>
          <w:sz w:val="24"/>
          <w:szCs w:val="24"/>
          <w:lang w:eastAsia="it-IT"/>
        </w:rPr>
        <w:t xml:space="preserve"> una disaggregazione per singole tipologie di spesa delle somme impegnate nel 202</w:t>
      </w:r>
      <w:r>
        <w:rPr>
          <w:rFonts w:ascii="Times New Roman" w:eastAsia="Times New Roman" w:hAnsi="Times New Roman" w:cs="Times New Roman"/>
          <w:sz w:val="24"/>
          <w:szCs w:val="24"/>
          <w:lang w:eastAsia="it-IT"/>
        </w:rPr>
        <w:t>2</w:t>
      </w:r>
      <w:r w:rsidRPr="00053730">
        <w:rPr>
          <w:rFonts w:ascii="Times New Roman" w:eastAsia="Times New Roman" w:hAnsi="Times New Roman" w:cs="Times New Roman"/>
          <w:sz w:val="24"/>
          <w:szCs w:val="24"/>
          <w:lang w:eastAsia="it-IT"/>
        </w:rPr>
        <w:t xml:space="preserve"> per beni e servizi riferiti alla sola Protezione civile, confrontate con quelle impegnate nel 20</w:t>
      </w:r>
      <w:r>
        <w:rPr>
          <w:rFonts w:ascii="Times New Roman" w:eastAsia="Times New Roman" w:hAnsi="Times New Roman" w:cs="Times New Roman"/>
          <w:sz w:val="24"/>
          <w:szCs w:val="24"/>
          <w:lang w:eastAsia="it-IT"/>
        </w:rPr>
        <w:t>21</w:t>
      </w:r>
      <w:r w:rsidRPr="00053730">
        <w:rPr>
          <w:rFonts w:ascii="Times New Roman" w:eastAsia="Times New Roman" w:hAnsi="Times New Roman" w:cs="Times New Roman"/>
          <w:sz w:val="24"/>
          <w:szCs w:val="24"/>
          <w:lang w:eastAsia="it-IT"/>
        </w:rPr>
        <w:t>.</w:t>
      </w:r>
      <w:r w:rsidRPr="00CA05CA">
        <w:rPr>
          <w:rFonts w:ascii="Times New Roman" w:eastAsia="Times New Roman" w:hAnsi="Times New Roman" w:cs="Times New Roman"/>
          <w:sz w:val="24"/>
          <w:szCs w:val="24"/>
          <w:lang w:eastAsia="it-IT"/>
        </w:rPr>
        <w:t xml:space="preserve"> </w:t>
      </w:r>
      <w:r w:rsidRPr="00CA05CA">
        <w:rPr>
          <w:rFonts w:ascii="Times New Roman" w:eastAsia="Times New Roman" w:hAnsi="Times New Roman" w:cs="Times New Roman"/>
          <w:sz w:val="24"/>
          <w:szCs w:val="24"/>
          <w:lang w:eastAsia="it-IT"/>
        </w:rPr>
        <w:tab/>
      </w:r>
    </w:p>
    <w:p w14:paraId="6EB4730A" w14:textId="3ABB7B8B" w:rsidR="00600D30" w:rsidRPr="00BE41F0" w:rsidRDefault="00600D30" w:rsidP="00BE41F0">
      <w:pPr>
        <w:spacing w:after="0" w:line="360" w:lineRule="auto"/>
        <w:jc w:val="center"/>
        <w:rPr>
          <w:rFonts w:ascii="Times New Roman" w:eastAsia="Times New Roman" w:hAnsi="Times New Roman" w:cs="Times New Roman"/>
          <w:b/>
          <w:sz w:val="24"/>
          <w:szCs w:val="24"/>
          <w:lang w:eastAsia="it-IT"/>
        </w:rPr>
      </w:pPr>
      <w:proofErr w:type="spellStart"/>
      <w:r w:rsidRPr="00CA05CA">
        <w:rPr>
          <w:rFonts w:ascii="Times New Roman" w:eastAsia="Times New Roman" w:hAnsi="Times New Roman" w:cs="Times New Roman"/>
          <w:b/>
          <w:sz w:val="24"/>
          <w:szCs w:val="24"/>
          <w:lang w:eastAsia="it-IT"/>
        </w:rPr>
        <w:t>Tab</w:t>
      </w:r>
      <w:proofErr w:type="spellEnd"/>
      <w:r w:rsidRPr="00CA05CA">
        <w:rPr>
          <w:rFonts w:ascii="Times New Roman" w:eastAsia="Times New Roman" w:hAnsi="Times New Roman" w:cs="Times New Roman"/>
          <w:b/>
          <w:sz w:val="24"/>
          <w:szCs w:val="24"/>
          <w:lang w:eastAsia="it-IT"/>
        </w:rPr>
        <w:t xml:space="preserve">. </w:t>
      </w:r>
      <w:r w:rsidR="00775234">
        <w:rPr>
          <w:rFonts w:ascii="Times New Roman" w:eastAsia="Times New Roman" w:hAnsi="Times New Roman" w:cs="Times New Roman"/>
          <w:b/>
          <w:sz w:val="24"/>
          <w:szCs w:val="24"/>
          <w:lang w:eastAsia="it-IT"/>
        </w:rPr>
        <w:t>29</w:t>
      </w:r>
      <w:r>
        <w:rPr>
          <w:rFonts w:ascii="Times New Roman" w:eastAsia="Times New Roman" w:hAnsi="Times New Roman" w:cs="Times New Roman"/>
          <w:b/>
          <w:sz w:val="24"/>
          <w:szCs w:val="24"/>
          <w:lang w:eastAsia="it-IT"/>
        </w:rPr>
        <w:t xml:space="preserve"> </w:t>
      </w:r>
      <w:r w:rsidRPr="00CA05CA">
        <w:rPr>
          <w:rFonts w:ascii="Times New Roman" w:eastAsia="Times New Roman" w:hAnsi="Times New Roman" w:cs="Times New Roman"/>
          <w:b/>
          <w:sz w:val="24"/>
          <w:szCs w:val="24"/>
          <w:lang w:eastAsia="it-IT"/>
        </w:rPr>
        <w:t>– Composizione beni e servizi Protezione civile</w:t>
      </w:r>
      <w:r w:rsidRPr="008E0C27">
        <w:rPr>
          <w:noProof/>
          <w:lang w:eastAsia="it-IT"/>
        </w:rPr>
        <w:drawing>
          <wp:inline distT="0" distB="0" distL="0" distR="0" wp14:anchorId="6CE12ED7" wp14:editId="418C2A4C">
            <wp:extent cx="3860165" cy="2857500"/>
            <wp:effectExtent l="0" t="0" r="698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15902" cy="2898759"/>
                    </a:xfrm>
                    <a:prstGeom prst="rect">
                      <a:avLst/>
                    </a:prstGeom>
                    <a:noFill/>
                    <a:ln>
                      <a:noFill/>
                    </a:ln>
                  </pic:spPr>
                </pic:pic>
              </a:graphicData>
            </a:graphic>
          </wp:inline>
        </w:drawing>
      </w:r>
    </w:p>
    <w:p w14:paraId="1BAE29A7" w14:textId="77777777" w:rsidR="00600D30" w:rsidRPr="00CA05CA" w:rsidRDefault="00600D30" w:rsidP="00600D30">
      <w:pPr>
        <w:spacing w:after="0" w:line="360" w:lineRule="auto"/>
        <w:jc w:val="center"/>
        <w:rPr>
          <w:rFonts w:ascii="Times New Roman" w:eastAsia="Times New Roman" w:hAnsi="Times New Roman" w:cs="Times New Roman"/>
          <w:sz w:val="24"/>
          <w:szCs w:val="24"/>
          <w:lang w:eastAsia="it-IT"/>
        </w:rPr>
      </w:pPr>
    </w:p>
    <w:p w14:paraId="0380B3D4" w14:textId="6E082B36" w:rsidR="00600D30" w:rsidRPr="00D6229E" w:rsidRDefault="00600D30" w:rsidP="00600D30">
      <w:pPr>
        <w:spacing w:after="0" w:line="360" w:lineRule="auto"/>
        <w:jc w:val="both"/>
        <w:rPr>
          <w:rFonts w:ascii="Times New Roman" w:eastAsia="Times New Roman" w:hAnsi="Times New Roman" w:cs="Times New Roman"/>
          <w:sz w:val="24"/>
          <w:szCs w:val="24"/>
          <w:lang w:eastAsia="it-IT"/>
        </w:rPr>
      </w:pPr>
      <w:r w:rsidRPr="00B009BD">
        <w:rPr>
          <w:rFonts w:ascii="Times New Roman" w:eastAsia="Times New Roman" w:hAnsi="Times New Roman" w:cs="Times New Roman"/>
          <w:sz w:val="24"/>
          <w:szCs w:val="24"/>
          <w:lang w:eastAsia="it-IT"/>
        </w:rPr>
        <w:t>Dall</w:t>
      </w:r>
      <w:r w:rsidR="00877AAF">
        <w:rPr>
          <w:rFonts w:ascii="Times New Roman" w:eastAsia="Times New Roman" w:hAnsi="Times New Roman" w:cs="Times New Roman"/>
          <w:sz w:val="24"/>
          <w:szCs w:val="24"/>
          <w:lang w:eastAsia="it-IT"/>
        </w:rPr>
        <w:t>’</w:t>
      </w:r>
      <w:r w:rsidRPr="00B009BD">
        <w:rPr>
          <w:rFonts w:ascii="Times New Roman" w:eastAsia="Times New Roman" w:hAnsi="Times New Roman" w:cs="Times New Roman"/>
          <w:sz w:val="24"/>
          <w:szCs w:val="24"/>
          <w:lang w:eastAsia="it-IT"/>
        </w:rPr>
        <w:t>analisi in dettaglio si rileva l</w:t>
      </w:r>
      <w:r>
        <w:rPr>
          <w:rFonts w:ascii="Times New Roman" w:eastAsia="Times New Roman" w:hAnsi="Times New Roman" w:cs="Times New Roman"/>
          <w:sz w:val="24"/>
          <w:szCs w:val="24"/>
          <w:lang w:eastAsia="it-IT"/>
        </w:rPr>
        <w:t>a diminuzione</w:t>
      </w:r>
      <w:r w:rsidRPr="00B009BD">
        <w:rPr>
          <w:rFonts w:ascii="Times New Roman" w:eastAsia="Times New Roman" w:hAnsi="Times New Roman" w:cs="Times New Roman"/>
          <w:sz w:val="24"/>
          <w:szCs w:val="24"/>
          <w:lang w:eastAsia="it-IT"/>
        </w:rPr>
        <w:t xml:space="preserve"> dell</w:t>
      </w:r>
      <w:r w:rsidR="00877AAF">
        <w:rPr>
          <w:rFonts w:ascii="Times New Roman" w:eastAsia="Times New Roman" w:hAnsi="Times New Roman" w:cs="Times New Roman"/>
          <w:sz w:val="24"/>
          <w:szCs w:val="24"/>
          <w:lang w:eastAsia="it-IT"/>
        </w:rPr>
        <w:t>’</w:t>
      </w:r>
      <w:r w:rsidRPr="00B009BD">
        <w:rPr>
          <w:rFonts w:ascii="Times New Roman" w:eastAsia="Times New Roman" w:hAnsi="Times New Roman" w:cs="Times New Roman"/>
          <w:sz w:val="24"/>
          <w:szCs w:val="24"/>
          <w:lang w:eastAsia="it-IT"/>
        </w:rPr>
        <w:t xml:space="preserve">impegnato per beni e servizi della Protezione civile, </w:t>
      </w:r>
      <w:r w:rsidRPr="00D6229E">
        <w:rPr>
          <w:rFonts w:ascii="Times New Roman" w:eastAsia="Times New Roman" w:hAnsi="Times New Roman" w:cs="Times New Roman"/>
          <w:sz w:val="24"/>
          <w:szCs w:val="24"/>
          <w:lang w:eastAsia="it-IT"/>
        </w:rPr>
        <w:t>da ascrivere principalmente alla diminuzione della voce fitti, gestione e manutenzione degli apparati tecnologici, utenze e manutenzione ordinaria. Risulta in aumento, in misura prevalente, l</w:t>
      </w:r>
      <w:r w:rsidR="00877AAF">
        <w:rPr>
          <w:rFonts w:ascii="Times New Roman" w:eastAsia="Times New Roman" w:hAnsi="Times New Roman" w:cs="Times New Roman"/>
          <w:sz w:val="24"/>
          <w:szCs w:val="24"/>
          <w:lang w:eastAsia="it-IT"/>
        </w:rPr>
        <w:t>’</w:t>
      </w:r>
      <w:r w:rsidRPr="00D6229E">
        <w:rPr>
          <w:rFonts w:ascii="Times New Roman" w:eastAsia="Times New Roman" w:hAnsi="Times New Roman" w:cs="Times New Roman"/>
          <w:sz w:val="24"/>
          <w:szCs w:val="24"/>
          <w:lang w:eastAsia="it-IT"/>
        </w:rPr>
        <w:t>impegnato relativo alla spesa per liti e onorari, missioni, trasporto aereo e documentazione e informazione sull</w:t>
      </w:r>
      <w:r w:rsidR="00877AAF">
        <w:rPr>
          <w:rFonts w:ascii="Times New Roman" w:eastAsia="Times New Roman" w:hAnsi="Times New Roman" w:cs="Times New Roman"/>
          <w:sz w:val="24"/>
          <w:szCs w:val="24"/>
          <w:lang w:eastAsia="it-IT"/>
        </w:rPr>
        <w:t>’</w:t>
      </w:r>
      <w:r w:rsidRPr="00D6229E">
        <w:rPr>
          <w:rFonts w:ascii="Times New Roman" w:eastAsia="Times New Roman" w:hAnsi="Times New Roman" w:cs="Times New Roman"/>
          <w:sz w:val="24"/>
          <w:szCs w:val="24"/>
          <w:lang w:eastAsia="it-IT"/>
        </w:rPr>
        <w:t>attività di Protezione civile.</w:t>
      </w:r>
    </w:p>
    <w:p w14:paraId="7B7F7C6A" w14:textId="77777777" w:rsidR="00600D30" w:rsidRDefault="00600D30" w:rsidP="00CE6817">
      <w:pPr>
        <w:spacing w:after="0" w:line="360" w:lineRule="auto"/>
        <w:jc w:val="both"/>
        <w:rPr>
          <w:rFonts w:ascii="Times New Roman" w:eastAsia="Times New Roman" w:hAnsi="Times New Roman" w:cs="Times New Roman"/>
          <w:b/>
          <w:sz w:val="24"/>
          <w:szCs w:val="24"/>
          <w:lang w:eastAsia="it-IT"/>
        </w:rPr>
      </w:pPr>
    </w:p>
    <w:p w14:paraId="64D4FBBF" w14:textId="3FB41A5E" w:rsidR="00083F7B" w:rsidRDefault="00083F7B" w:rsidP="00083F7B">
      <w:pPr>
        <w:spacing w:after="0" w:line="360" w:lineRule="auto"/>
        <w:jc w:val="both"/>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t>7.4.</w:t>
      </w:r>
      <w:r w:rsidR="00775234">
        <w:rPr>
          <w:rFonts w:ascii="Times New Roman" w:eastAsia="Times New Roman" w:hAnsi="Times New Roman" w:cs="Times New Roman"/>
          <w:b/>
          <w:sz w:val="24"/>
          <w:szCs w:val="24"/>
          <w:lang w:eastAsia="it-IT"/>
        </w:rPr>
        <w:t>5</w:t>
      </w:r>
      <w:r>
        <w:rPr>
          <w:rFonts w:ascii="Times New Roman" w:eastAsia="Times New Roman" w:hAnsi="Times New Roman" w:cs="Times New Roman"/>
          <w:b/>
          <w:sz w:val="24"/>
          <w:szCs w:val="24"/>
          <w:lang w:eastAsia="it-IT"/>
        </w:rPr>
        <w:t xml:space="preserve"> Impegnato per interventi</w:t>
      </w:r>
    </w:p>
    <w:p w14:paraId="59CAB75C" w14:textId="2DA2CDF1" w:rsidR="00083F7B" w:rsidRDefault="00083F7B" w:rsidP="00083F7B">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Le somme impegnate per interventi (compresa la Protezione civile) passano da euro </w:t>
      </w:r>
      <w:bookmarkStart w:id="24" w:name="_Hlk40595800"/>
      <w:r w:rsidR="000D4E12">
        <w:rPr>
          <w:rFonts w:ascii="Times New Roman" w:eastAsia="Times New Roman" w:hAnsi="Times New Roman" w:cs="Times New Roman"/>
          <w:sz w:val="24"/>
          <w:szCs w:val="24"/>
          <w:lang w:eastAsia="it-IT"/>
        </w:rPr>
        <w:t>1.795.478.366,89</w:t>
      </w:r>
      <w:r w:rsidR="003333EC" w:rsidRPr="00720D08">
        <w:rPr>
          <w:rStyle w:val="Rimandonotaapidipagina"/>
          <w:rFonts w:ascii="Times New Roman" w:eastAsia="Times New Roman" w:hAnsi="Times New Roman" w:cs="Times New Roman"/>
          <w:lang w:eastAsia="it-IT"/>
        </w:rPr>
        <w:footnoteReference w:id="13"/>
      </w:r>
      <w:r>
        <w:rPr>
          <w:rFonts w:ascii="Times New Roman" w:eastAsia="Times New Roman" w:hAnsi="Times New Roman" w:cs="Times New Roman"/>
          <w:sz w:val="24"/>
          <w:szCs w:val="24"/>
          <w:lang w:eastAsia="it-IT"/>
        </w:rPr>
        <w:t xml:space="preserve"> </w:t>
      </w:r>
      <w:bookmarkEnd w:id="24"/>
      <w:r>
        <w:rPr>
          <w:rFonts w:ascii="Times New Roman" w:eastAsia="Times New Roman" w:hAnsi="Times New Roman" w:cs="Times New Roman"/>
          <w:sz w:val="24"/>
          <w:szCs w:val="24"/>
          <w:lang w:eastAsia="it-IT"/>
        </w:rPr>
        <w:t xml:space="preserve">del 2021 </w:t>
      </w:r>
      <w:r w:rsidR="009F77D1">
        <w:rPr>
          <w:rFonts w:ascii="Times New Roman" w:eastAsia="Times New Roman" w:hAnsi="Times New Roman" w:cs="Times New Roman"/>
          <w:sz w:val="24"/>
          <w:szCs w:val="24"/>
          <w:lang w:eastAsia="it-IT"/>
        </w:rPr>
        <w:t>a euro</w:t>
      </w:r>
      <w:r>
        <w:rPr>
          <w:rFonts w:ascii="Times New Roman" w:eastAsia="Times New Roman" w:hAnsi="Times New Roman" w:cs="Times New Roman"/>
          <w:sz w:val="24"/>
          <w:szCs w:val="24"/>
          <w:lang w:eastAsia="it-IT"/>
        </w:rPr>
        <w:t xml:space="preserve"> 2.728.83</w:t>
      </w:r>
      <w:r w:rsidR="00627A2C">
        <w:rPr>
          <w:rFonts w:ascii="Times New Roman" w:eastAsia="Times New Roman" w:hAnsi="Times New Roman" w:cs="Times New Roman"/>
          <w:sz w:val="24"/>
          <w:szCs w:val="24"/>
          <w:lang w:eastAsia="it-IT"/>
        </w:rPr>
        <w:t>4.639,22</w:t>
      </w:r>
      <w:r>
        <w:rPr>
          <w:rFonts w:ascii="Times New Roman" w:eastAsia="Times New Roman" w:hAnsi="Times New Roman" w:cs="Times New Roman"/>
          <w:sz w:val="24"/>
          <w:szCs w:val="24"/>
          <w:lang w:eastAsia="it-IT"/>
        </w:rPr>
        <w:t xml:space="preserve"> del 2022, con un aumento di euro </w:t>
      </w:r>
      <w:bookmarkStart w:id="25" w:name="_Hlk40595766"/>
      <w:r w:rsidR="000D4E12">
        <w:rPr>
          <w:rFonts w:ascii="Times New Roman" w:eastAsia="Times New Roman" w:hAnsi="Times New Roman" w:cs="Times New Roman"/>
          <w:sz w:val="24"/>
          <w:szCs w:val="24"/>
          <w:lang w:eastAsia="it-IT"/>
        </w:rPr>
        <w:t>933.356.272,33</w:t>
      </w:r>
      <w:r>
        <w:rPr>
          <w:rFonts w:ascii="Times New Roman" w:eastAsia="Times New Roman" w:hAnsi="Times New Roman" w:cs="Times New Roman"/>
          <w:sz w:val="24"/>
          <w:szCs w:val="24"/>
          <w:lang w:eastAsia="it-IT"/>
        </w:rPr>
        <w:t xml:space="preserve">, </w:t>
      </w:r>
      <w:bookmarkStart w:id="26" w:name="_Hlk40595893"/>
      <w:bookmarkEnd w:id="25"/>
      <w:r>
        <w:rPr>
          <w:rFonts w:ascii="Times New Roman" w:eastAsia="Times New Roman" w:hAnsi="Times New Roman" w:cs="Times New Roman"/>
          <w:sz w:val="24"/>
          <w:szCs w:val="24"/>
          <w:lang w:eastAsia="it-IT"/>
        </w:rPr>
        <w:t xml:space="preserve">dovuto in misura prevalente </w:t>
      </w:r>
      <w:r w:rsidR="0008438B">
        <w:rPr>
          <w:rFonts w:ascii="Times New Roman" w:eastAsia="Times New Roman" w:hAnsi="Times New Roman" w:cs="Times New Roman"/>
          <w:sz w:val="24"/>
          <w:szCs w:val="24"/>
          <w:lang w:eastAsia="it-IT"/>
        </w:rPr>
        <w:t>agli interventi dei nuovi C</w:t>
      </w:r>
      <w:r w:rsidRPr="004E5BC6">
        <w:rPr>
          <w:rFonts w:ascii="Times New Roman" w:eastAsia="Times New Roman" w:hAnsi="Times New Roman" w:cs="Times New Roman"/>
          <w:sz w:val="24"/>
          <w:szCs w:val="24"/>
          <w:lang w:eastAsia="it-IT"/>
        </w:rPr>
        <w:t xml:space="preserve">entri di responsabilità </w:t>
      </w:r>
      <w:r>
        <w:rPr>
          <w:rFonts w:ascii="Times New Roman" w:eastAsia="Times New Roman" w:hAnsi="Times New Roman" w:cs="Times New Roman"/>
          <w:sz w:val="24"/>
          <w:szCs w:val="24"/>
          <w:lang w:eastAsia="it-IT"/>
        </w:rPr>
        <w:t>“</w:t>
      </w:r>
      <w:r w:rsidRPr="004E5BC6">
        <w:rPr>
          <w:rFonts w:ascii="Times New Roman" w:eastAsia="Times New Roman" w:hAnsi="Times New Roman" w:cs="Times New Roman"/>
          <w:sz w:val="24"/>
          <w:szCs w:val="24"/>
          <w:lang w:eastAsia="it-IT"/>
        </w:rPr>
        <w:t>Politiche in favore delle persone con disabilità</w:t>
      </w:r>
      <w:r>
        <w:rPr>
          <w:rFonts w:ascii="Times New Roman" w:eastAsia="Times New Roman" w:hAnsi="Times New Roman" w:cs="Times New Roman"/>
          <w:sz w:val="24"/>
          <w:szCs w:val="24"/>
          <w:lang w:eastAsia="it-IT"/>
        </w:rPr>
        <w:t>”</w:t>
      </w:r>
      <w:r w:rsidRPr="004E5BC6">
        <w:rPr>
          <w:rFonts w:ascii="Times New Roman" w:eastAsia="Times New Roman" w:hAnsi="Times New Roman" w:cs="Times New Roman"/>
          <w:sz w:val="24"/>
          <w:szCs w:val="24"/>
          <w:lang w:eastAsia="it-IT"/>
        </w:rPr>
        <w:t xml:space="preserve"> e </w:t>
      </w:r>
      <w:r>
        <w:rPr>
          <w:rFonts w:ascii="Times New Roman" w:eastAsia="Times New Roman" w:hAnsi="Times New Roman" w:cs="Times New Roman"/>
          <w:sz w:val="24"/>
          <w:szCs w:val="24"/>
          <w:lang w:eastAsia="it-IT"/>
        </w:rPr>
        <w:t>“</w:t>
      </w:r>
      <w:r w:rsidRPr="004E5BC6">
        <w:rPr>
          <w:rFonts w:ascii="Times New Roman" w:eastAsia="Times New Roman" w:hAnsi="Times New Roman" w:cs="Times New Roman"/>
          <w:sz w:val="24"/>
          <w:szCs w:val="24"/>
          <w:lang w:eastAsia="it-IT"/>
        </w:rPr>
        <w:t xml:space="preserve">Politiche spaziali ed </w:t>
      </w:r>
      <w:bookmarkStart w:id="27" w:name="_Hlk130800582"/>
      <w:r w:rsidRPr="004E5BC6">
        <w:rPr>
          <w:rFonts w:ascii="Times New Roman" w:eastAsia="Times New Roman" w:hAnsi="Times New Roman" w:cs="Times New Roman"/>
          <w:sz w:val="24"/>
          <w:szCs w:val="24"/>
          <w:lang w:eastAsia="it-IT"/>
        </w:rPr>
        <w:t>aerospaziali</w:t>
      </w:r>
      <w:r>
        <w:rPr>
          <w:rFonts w:ascii="Times New Roman" w:eastAsia="Times New Roman" w:hAnsi="Times New Roman" w:cs="Times New Roman"/>
          <w:sz w:val="24"/>
          <w:szCs w:val="24"/>
          <w:lang w:eastAsia="it-IT"/>
        </w:rPr>
        <w:t>”.</w:t>
      </w:r>
      <w:bookmarkEnd w:id="27"/>
      <w:r>
        <w:rPr>
          <w:rFonts w:ascii="Times New Roman" w:eastAsia="Times New Roman" w:hAnsi="Times New Roman" w:cs="Times New Roman"/>
          <w:sz w:val="24"/>
          <w:szCs w:val="24"/>
          <w:lang w:eastAsia="it-IT"/>
        </w:rPr>
        <w:t xml:space="preserve"> I</w:t>
      </w:r>
      <w:r w:rsidRPr="004E5BC6">
        <w:rPr>
          <w:rFonts w:ascii="Times New Roman" w:eastAsia="Times New Roman" w:hAnsi="Times New Roman" w:cs="Times New Roman"/>
          <w:sz w:val="24"/>
          <w:szCs w:val="24"/>
          <w:lang w:eastAsia="it-IT"/>
        </w:rPr>
        <w:t>noltre</w:t>
      </w:r>
      <w:r>
        <w:rPr>
          <w:rFonts w:ascii="Times New Roman" w:eastAsia="Times New Roman" w:hAnsi="Times New Roman" w:cs="Times New Roman"/>
          <w:sz w:val="24"/>
          <w:szCs w:val="24"/>
          <w:lang w:eastAsia="it-IT"/>
        </w:rPr>
        <w:t>,</w:t>
      </w:r>
      <w:r w:rsidRPr="004E5BC6">
        <w:rPr>
          <w:rFonts w:ascii="Times New Roman" w:eastAsia="Times New Roman" w:hAnsi="Times New Roman" w:cs="Times New Roman"/>
          <w:sz w:val="24"/>
          <w:szCs w:val="24"/>
          <w:lang w:eastAsia="it-IT"/>
        </w:rPr>
        <w:t xml:space="preserve"> l</w:t>
      </w:r>
      <w:r w:rsidR="00877AAF">
        <w:rPr>
          <w:rFonts w:ascii="Times New Roman" w:eastAsia="Times New Roman" w:hAnsi="Times New Roman" w:cs="Times New Roman"/>
          <w:sz w:val="24"/>
          <w:szCs w:val="24"/>
          <w:lang w:eastAsia="it-IT"/>
        </w:rPr>
        <w:t>’</w:t>
      </w:r>
      <w:r w:rsidRPr="004E5BC6">
        <w:rPr>
          <w:rFonts w:ascii="Times New Roman" w:eastAsia="Times New Roman" w:hAnsi="Times New Roman" w:cs="Times New Roman"/>
          <w:sz w:val="24"/>
          <w:szCs w:val="24"/>
          <w:lang w:eastAsia="it-IT"/>
        </w:rPr>
        <w:t>incremento è dovuto a</w:t>
      </w:r>
      <w:r>
        <w:rPr>
          <w:rFonts w:ascii="Times New Roman" w:eastAsia="Times New Roman" w:hAnsi="Times New Roman" w:cs="Times New Roman"/>
          <w:sz w:val="24"/>
          <w:szCs w:val="24"/>
          <w:lang w:eastAsia="it-IT"/>
        </w:rPr>
        <w:t>i</w:t>
      </w:r>
      <w:r w:rsidR="0053032C">
        <w:rPr>
          <w:rFonts w:ascii="Times New Roman" w:eastAsia="Times New Roman" w:hAnsi="Times New Roman" w:cs="Times New Roman"/>
          <w:sz w:val="24"/>
          <w:szCs w:val="24"/>
          <w:lang w:eastAsia="it-IT"/>
        </w:rPr>
        <w:t xml:space="preserve"> C</w:t>
      </w:r>
      <w:r w:rsidRPr="004E5BC6">
        <w:rPr>
          <w:rFonts w:ascii="Times New Roman" w:eastAsia="Times New Roman" w:hAnsi="Times New Roman" w:cs="Times New Roman"/>
          <w:sz w:val="24"/>
          <w:szCs w:val="24"/>
          <w:lang w:eastAsia="it-IT"/>
        </w:rPr>
        <w:t>entr</w:t>
      </w:r>
      <w:r>
        <w:rPr>
          <w:rFonts w:ascii="Times New Roman" w:eastAsia="Times New Roman" w:hAnsi="Times New Roman" w:cs="Times New Roman"/>
          <w:sz w:val="24"/>
          <w:szCs w:val="24"/>
          <w:lang w:eastAsia="it-IT"/>
        </w:rPr>
        <w:t>i</w:t>
      </w:r>
      <w:r w:rsidRPr="004E5BC6">
        <w:rPr>
          <w:rFonts w:ascii="Times New Roman" w:eastAsia="Times New Roman" w:hAnsi="Times New Roman" w:cs="Times New Roman"/>
          <w:sz w:val="24"/>
          <w:szCs w:val="24"/>
          <w:lang w:eastAsia="it-IT"/>
        </w:rPr>
        <w:t xml:space="preserve"> di </w:t>
      </w:r>
      <w:r w:rsidR="0053032C">
        <w:rPr>
          <w:rFonts w:ascii="Times New Roman" w:eastAsia="Times New Roman" w:hAnsi="Times New Roman" w:cs="Times New Roman"/>
          <w:sz w:val="24"/>
          <w:szCs w:val="24"/>
          <w:lang w:eastAsia="it-IT"/>
        </w:rPr>
        <w:t>r</w:t>
      </w:r>
      <w:r w:rsidRPr="004E5BC6">
        <w:rPr>
          <w:rFonts w:ascii="Times New Roman" w:eastAsia="Times New Roman" w:hAnsi="Times New Roman" w:cs="Times New Roman"/>
          <w:sz w:val="24"/>
          <w:szCs w:val="24"/>
          <w:lang w:eastAsia="it-IT"/>
        </w:rPr>
        <w:t xml:space="preserve">esponsabilità </w:t>
      </w:r>
      <w:r>
        <w:rPr>
          <w:rFonts w:ascii="Times New Roman" w:eastAsia="Times New Roman" w:hAnsi="Times New Roman" w:cs="Times New Roman"/>
          <w:sz w:val="24"/>
          <w:szCs w:val="24"/>
          <w:lang w:eastAsia="it-IT"/>
        </w:rPr>
        <w:t>“</w:t>
      </w:r>
      <w:r w:rsidRPr="004E5BC6">
        <w:rPr>
          <w:rFonts w:ascii="Times New Roman" w:eastAsia="Times New Roman" w:hAnsi="Times New Roman" w:cs="Times New Roman"/>
          <w:sz w:val="24"/>
          <w:szCs w:val="24"/>
          <w:lang w:eastAsia="it-IT"/>
        </w:rPr>
        <w:t>Affari regionali e autonomie</w:t>
      </w:r>
      <w:r>
        <w:rPr>
          <w:rFonts w:ascii="Times New Roman" w:eastAsia="Times New Roman" w:hAnsi="Times New Roman" w:cs="Times New Roman"/>
          <w:sz w:val="24"/>
          <w:szCs w:val="24"/>
          <w:lang w:eastAsia="it-IT"/>
        </w:rPr>
        <w:t>”, “Informazione ed editoria”, “Sport”</w:t>
      </w:r>
      <w:r w:rsidR="006B092E">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“Pari opportunità”</w:t>
      </w:r>
      <w:r w:rsidR="004E20A4">
        <w:rPr>
          <w:rFonts w:ascii="Times New Roman" w:eastAsia="Times New Roman" w:hAnsi="Times New Roman" w:cs="Times New Roman"/>
          <w:sz w:val="24"/>
          <w:szCs w:val="24"/>
          <w:lang w:eastAsia="it-IT"/>
        </w:rPr>
        <w:t>, “Protezione civile”</w:t>
      </w:r>
      <w:r w:rsidR="006B092E">
        <w:rPr>
          <w:rFonts w:ascii="Times New Roman" w:eastAsia="Times New Roman" w:hAnsi="Times New Roman" w:cs="Times New Roman"/>
          <w:sz w:val="24"/>
          <w:szCs w:val="24"/>
          <w:lang w:eastAsia="it-IT"/>
        </w:rPr>
        <w:t xml:space="preserve"> e “Politiche di coesione”</w:t>
      </w:r>
      <w:r>
        <w:rPr>
          <w:rFonts w:ascii="Times New Roman" w:eastAsia="Times New Roman" w:hAnsi="Times New Roman" w:cs="Times New Roman"/>
          <w:sz w:val="24"/>
          <w:szCs w:val="24"/>
          <w:lang w:eastAsia="it-IT"/>
        </w:rPr>
        <w:t>.</w:t>
      </w:r>
    </w:p>
    <w:p w14:paraId="50E9309E" w14:textId="4203F3F0" w:rsidR="00083F7B" w:rsidRPr="009E15A0" w:rsidRDefault="00083F7B" w:rsidP="00083F7B">
      <w:pPr>
        <w:spacing w:after="0" w:line="360" w:lineRule="auto"/>
        <w:jc w:val="both"/>
        <w:rPr>
          <w:rFonts w:ascii="Times New Roman" w:eastAsia="Times New Roman" w:hAnsi="Times New Roman" w:cs="Times New Roman"/>
          <w:sz w:val="24"/>
          <w:szCs w:val="24"/>
          <w:lang w:eastAsia="it-IT"/>
        </w:rPr>
      </w:pPr>
      <w:r w:rsidRPr="009E15A0">
        <w:rPr>
          <w:rFonts w:ascii="Times New Roman" w:eastAsia="Times New Roman" w:hAnsi="Times New Roman" w:cs="Times New Roman"/>
          <w:sz w:val="24"/>
          <w:szCs w:val="24"/>
          <w:lang w:eastAsia="it-IT"/>
        </w:rPr>
        <w:lastRenderedPageBreak/>
        <w:t>Risultano</w:t>
      </w:r>
      <w:r w:rsidR="00366B85">
        <w:rPr>
          <w:rFonts w:ascii="Times New Roman" w:eastAsia="Times New Roman" w:hAnsi="Times New Roman" w:cs="Times New Roman"/>
          <w:sz w:val="24"/>
          <w:szCs w:val="24"/>
          <w:lang w:eastAsia="it-IT"/>
        </w:rPr>
        <w:t>,</w:t>
      </w:r>
      <w:r w:rsidRPr="009E15A0">
        <w:rPr>
          <w:rFonts w:ascii="Times New Roman" w:eastAsia="Times New Roman" w:hAnsi="Times New Roman" w:cs="Times New Roman"/>
          <w:sz w:val="24"/>
          <w:szCs w:val="24"/>
          <w:lang w:eastAsia="it-IT"/>
        </w:rPr>
        <w:t xml:space="preserve"> invece</w:t>
      </w:r>
      <w:r w:rsidR="00366B85">
        <w:rPr>
          <w:rFonts w:ascii="Times New Roman" w:eastAsia="Times New Roman" w:hAnsi="Times New Roman" w:cs="Times New Roman"/>
          <w:sz w:val="24"/>
          <w:szCs w:val="24"/>
          <w:lang w:eastAsia="it-IT"/>
        </w:rPr>
        <w:t>,</w:t>
      </w:r>
      <w:r w:rsidRPr="009E15A0">
        <w:rPr>
          <w:rFonts w:ascii="Times New Roman" w:eastAsia="Times New Roman" w:hAnsi="Times New Roman" w:cs="Times New Roman"/>
          <w:sz w:val="24"/>
          <w:szCs w:val="24"/>
          <w:lang w:eastAsia="it-IT"/>
        </w:rPr>
        <w:t xml:space="preserve"> in diminuzione, rispetto al 2021, le somme impegnate da</w:t>
      </w:r>
      <w:r>
        <w:rPr>
          <w:rFonts w:ascii="Times New Roman" w:eastAsia="Times New Roman" w:hAnsi="Times New Roman" w:cs="Times New Roman"/>
          <w:sz w:val="24"/>
          <w:szCs w:val="24"/>
          <w:lang w:eastAsia="it-IT"/>
        </w:rPr>
        <w:t xml:space="preserve">i </w:t>
      </w:r>
      <w:r w:rsidR="0053032C">
        <w:rPr>
          <w:rFonts w:ascii="Times New Roman" w:eastAsia="Times New Roman" w:hAnsi="Times New Roman" w:cs="Times New Roman"/>
          <w:sz w:val="24"/>
          <w:szCs w:val="24"/>
          <w:lang w:eastAsia="it-IT"/>
        </w:rPr>
        <w:t>C</w:t>
      </w:r>
      <w:r w:rsidRPr="009E15A0">
        <w:rPr>
          <w:rFonts w:ascii="Times New Roman" w:eastAsia="Times New Roman" w:hAnsi="Times New Roman" w:cs="Times New Roman"/>
          <w:sz w:val="24"/>
          <w:szCs w:val="24"/>
          <w:lang w:eastAsia="it-IT"/>
        </w:rPr>
        <w:t>entr</w:t>
      </w:r>
      <w:r>
        <w:rPr>
          <w:rFonts w:ascii="Times New Roman" w:eastAsia="Times New Roman" w:hAnsi="Times New Roman" w:cs="Times New Roman"/>
          <w:sz w:val="24"/>
          <w:szCs w:val="24"/>
          <w:lang w:eastAsia="it-IT"/>
        </w:rPr>
        <w:t>i</w:t>
      </w:r>
      <w:r w:rsidRPr="009E15A0">
        <w:rPr>
          <w:rFonts w:ascii="Times New Roman" w:eastAsia="Times New Roman" w:hAnsi="Times New Roman" w:cs="Times New Roman"/>
          <w:sz w:val="24"/>
          <w:szCs w:val="24"/>
          <w:lang w:eastAsia="it-IT"/>
        </w:rPr>
        <w:t xml:space="preserve"> di responsabilità </w:t>
      </w:r>
      <w:r w:rsidR="007B6078">
        <w:rPr>
          <w:rFonts w:ascii="Times New Roman" w:eastAsia="Times New Roman" w:hAnsi="Times New Roman" w:cs="Times New Roman"/>
          <w:sz w:val="24"/>
          <w:szCs w:val="24"/>
          <w:lang w:eastAsia="it-IT"/>
        </w:rPr>
        <w:t xml:space="preserve">“Segretariato generale”, </w:t>
      </w:r>
      <w:r w:rsidRPr="009E15A0">
        <w:rPr>
          <w:rFonts w:ascii="Times New Roman" w:eastAsia="Times New Roman" w:hAnsi="Times New Roman" w:cs="Times New Roman"/>
          <w:sz w:val="24"/>
          <w:szCs w:val="24"/>
          <w:lang w:eastAsia="it-IT"/>
        </w:rPr>
        <w:t>“Politiche per la famiglia”</w:t>
      </w:r>
      <w:r w:rsidR="007B6078">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w:t>
      </w:r>
      <w:r w:rsidR="00B23884">
        <w:rPr>
          <w:rFonts w:ascii="Times New Roman" w:eastAsia="Times New Roman" w:hAnsi="Times New Roman" w:cs="Times New Roman"/>
          <w:sz w:val="24"/>
          <w:szCs w:val="24"/>
          <w:lang w:eastAsia="it-IT"/>
        </w:rPr>
        <w:t xml:space="preserve">Politiche giovanili </w:t>
      </w:r>
      <w:r>
        <w:rPr>
          <w:rFonts w:ascii="Times New Roman" w:eastAsia="Times New Roman" w:hAnsi="Times New Roman" w:cs="Times New Roman"/>
          <w:sz w:val="24"/>
          <w:szCs w:val="24"/>
          <w:lang w:eastAsia="it-IT"/>
        </w:rPr>
        <w:t xml:space="preserve">e servizio civile </w:t>
      </w:r>
      <w:r w:rsidR="006B092E">
        <w:rPr>
          <w:rFonts w:ascii="Times New Roman" w:eastAsia="Times New Roman" w:hAnsi="Times New Roman" w:cs="Times New Roman"/>
          <w:sz w:val="24"/>
          <w:szCs w:val="24"/>
          <w:lang w:eastAsia="it-IT"/>
        </w:rPr>
        <w:t>univers</w:t>
      </w:r>
      <w:r>
        <w:rPr>
          <w:rFonts w:ascii="Times New Roman" w:eastAsia="Times New Roman" w:hAnsi="Times New Roman" w:cs="Times New Roman"/>
          <w:sz w:val="24"/>
          <w:szCs w:val="24"/>
          <w:lang w:eastAsia="it-IT"/>
        </w:rPr>
        <w:t xml:space="preserve">ale”, “Politiche antidroga”, </w:t>
      </w:r>
      <w:r w:rsidRPr="009E15A0">
        <w:rPr>
          <w:rFonts w:ascii="Times New Roman" w:eastAsia="Times New Roman" w:hAnsi="Times New Roman" w:cs="Times New Roman"/>
          <w:sz w:val="24"/>
          <w:szCs w:val="24"/>
          <w:lang w:eastAsia="it-IT"/>
        </w:rPr>
        <w:t>“Innovazione tecnologica e trasformazione digitale”</w:t>
      </w:r>
      <w:r w:rsidR="007B6078">
        <w:rPr>
          <w:rFonts w:ascii="Times New Roman" w:eastAsia="Times New Roman" w:hAnsi="Times New Roman" w:cs="Times New Roman"/>
          <w:sz w:val="24"/>
          <w:szCs w:val="24"/>
          <w:lang w:eastAsia="it-IT"/>
        </w:rPr>
        <w:t>, “P</w:t>
      </w:r>
      <w:r w:rsidR="007B6078" w:rsidRPr="007B6078">
        <w:rPr>
          <w:rFonts w:ascii="Times New Roman" w:eastAsia="Times New Roman" w:hAnsi="Times New Roman" w:cs="Times New Roman"/>
          <w:sz w:val="24"/>
          <w:szCs w:val="24"/>
          <w:lang w:eastAsia="it-IT"/>
        </w:rPr>
        <w:t>rogrammazione e coordinamento della politica economica</w:t>
      </w:r>
      <w:r w:rsidR="007B6078">
        <w:rPr>
          <w:rFonts w:ascii="Times New Roman" w:eastAsia="Times New Roman" w:hAnsi="Times New Roman" w:cs="Times New Roman"/>
          <w:sz w:val="24"/>
          <w:szCs w:val="24"/>
          <w:lang w:eastAsia="it-IT"/>
        </w:rPr>
        <w:t>”, “Funzione pubblica”, “Politiche europee” e “Programma di Governo”</w:t>
      </w:r>
      <w:r w:rsidRPr="009E15A0">
        <w:rPr>
          <w:rFonts w:ascii="Times New Roman" w:eastAsia="Times New Roman" w:hAnsi="Times New Roman" w:cs="Times New Roman"/>
          <w:sz w:val="24"/>
          <w:szCs w:val="24"/>
          <w:lang w:eastAsia="it-IT"/>
        </w:rPr>
        <w:t>.</w:t>
      </w:r>
      <w:bookmarkEnd w:id="26"/>
      <w:r w:rsidRPr="009E15A0">
        <w:rPr>
          <w:rFonts w:ascii="Times New Roman" w:eastAsia="Times New Roman" w:hAnsi="Times New Roman" w:cs="Times New Roman"/>
          <w:sz w:val="24"/>
          <w:szCs w:val="24"/>
          <w:lang w:eastAsia="it-IT"/>
        </w:rPr>
        <w:t xml:space="preserve"> </w:t>
      </w:r>
    </w:p>
    <w:p w14:paraId="1CFB0254" w14:textId="50A6EF46" w:rsidR="00083F7B" w:rsidRPr="00CE2FFF" w:rsidRDefault="00083F7B" w:rsidP="00083F7B">
      <w:pPr>
        <w:spacing w:after="0" w:line="360" w:lineRule="auto"/>
        <w:jc w:val="both"/>
        <w:rPr>
          <w:rFonts w:ascii="Times New Roman" w:eastAsia="Times New Roman" w:hAnsi="Times New Roman" w:cs="Times New Roman"/>
          <w:sz w:val="24"/>
          <w:szCs w:val="24"/>
          <w:lang w:eastAsia="it-IT"/>
        </w:rPr>
      </w:pPr>
      <w:r w:rsidRPr="00CE2FFF">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CE2FFF">
        <w:rPr>
          <w:rFonts w:ascii="Times New Roman" w:eastAsia="Times New Roman" w:hAnsi="Times New Roman" w:cs="Times New Roman"/>
          <w:sz w:val="24"/>
          <w:szCs w:val="24"/>
          <w:lang w:eastAsia="it-IT"/>
        </w:rPr>
        <w:t>impegnato per interventi nel 202</w:t>
      </w:r>
      <w:r>
        <w:rPr>
          <w:rFonts w:ascii="Times New Roman" w:eastAsia="Times New Roman" w:hAnsi="Times New Roman" w:cs="Times New Roman"/>
          <w:sz w:val="24"/>
          <w:szCs w:val="24"/>
          <w:lang w:eastAsia="it-IT"/>
        </w:rPr>
        <w:t>2</w:t>
      </w:r>
      <w:r w:rsidRPr="00CE2FFF">
        <w:rPr>
          <w:rFonts w:ascii="Times New Roman" w:eastAsia="Times New Roman" w:hAnsi="Times New Roman" w:cs="Times New Roman"/>
          <w:sz w:val="24"/>
          <w:szCs w:val="24"/>
          <w:lang w:eastAsia="it-IT"/>
        </w:rPr>
        <w:t xml:space="preserve"> ha raggiunto il 40,57</w:t>
      </w:r>
      <w:r>
        <w:rPr>
          <w:rFonts w:ascii="Times New Roman" w:eastAsia="Times New Roman" w:hAnsi="Times New Roman" w:cs="Times New Roman"/>
          <w:sz w:val="24"/>
          <w:szCs w:val="24"/>
          <w:lang w:eastAsia="it-IT"/>
        </w:rPr>
        <w:t xml:space="preserve"> per cento</w:t>
      </w:r>
      <w:r w:rsidRPr="00CE2FFF">
        <w:rPr>
          <w:rFonts w:ascii="Times New Roman" w:eastAsia="Times New Roman" w:hAnsi="Times New Roman" w:cs="Times New Roman"/>
          <w:sz w:val="24"/>
          <w:szCs w:val="24"/>
          <w:lang w:eastAsia="it-IT"/>
        </w:rPr>
        <w:t xml:space="preserve"> delle somme complessivamente impegnate dalla Presidenza del Consiglio</w:t>
      </w:r>
      <w:r w:rsidR="0031234E">
        <w:rPr>
          <w:rFonts w:ascii="Times New Roman" w:eastAsia="Times New Roman" w:hAnsi="Times New Roman" w:cs="Times New Roman"/>
          <w:sz w:val="24"/>
          <w:szCs w:val="24"/>
          <w:lang w:eastAsia="it-IT"/>
        </w:rPr>
        <w:t xml:space="preserve"> dei ministri</w:t>
      </w:r>
      <w:r w:rsidRPr="00CE2FFF">
        <w:rPr>
          <w:rFonts w:ascii="Times New Roman" w:eastAsia="Times New Roman" w:hAnsi="Times New Roman" w:cs="Times New Roman"/>
          <w:sz w:val="24"/>
          <w:szCs w:val="24"/>
          <w:lang w:eastAsia="it-IT"/>
        </w:rPr>
        <w:t xml:space="preserve"> (cfr. </w:t>
      </w:r>
      <w:proofErr w:type="spellStart"/>
      <w:r>
        <w:rPr>
          <w:rFonts w:ascii="Times New Roman" w:eastAsia="Times New Roman" w:hAnsi="Times New Roman" w:cs="Times New Roman"/>
          <w:sz w:val="24"/>
          <w:szCs w:val="24"/>
          <w:lang w:eastAsia="it-IT"/>
        </w:rPr>
        <w:t>T</w:t>
      </w:r>
      <w:r w:rsidRPr="00CE2FFF">
        <w:rPr>
          <w:rFonts w:ascii="Times New Roman" w:eastAsia="Times New Roman" w:hAnsi="Times New Roman" w:cs="Times New Roman"/>
          <w:sz w:val="24"/>
          <w:szCs w:val="24"/>
          <w:lang w:eastAsia="it-IT"/>
        </w:rPr>
        <w:t>ab</w:t>
      </w:r>
      <w:proofErr w:type="spellEnd"/>
      <w:r w:rsidRPr="00CE2FFF">
        <w:rPr>
          <w:rFonts w:ascii="Times New Roman" w:eastAsia="Times New Roman" w:hAnsi="Times New Roman" w:cs="Times New Roman"/>
          <w:sz w:val="24"/>
          <w:szCs w:val="24"/>
          <w:lang w:eastAsia="it-IT"/>
        </w:rPr>
        <w:t>. 9).</w:t>
      </w:r>
    </w:p>
    <w:p w14:paraId="64951DB1" w14:textId="433F893A" w:rsidR="00083F7B" w:rsidRDefault="00083F7B" w:rsidP="00083F7B">
      <w:pPr>
        <w:spacing w:after="0" w:line="360" w:lineRule="auto"/>
        <w:jc w:val="both"/>
        <w:rPr>
          <w:rFonts w:ascii="Times New Roman" w:eastAsia="Times New Roman" w:hAnsi="Times New Roman" w:cs="Times New Roman"/>
          <w:sz w:val="24"/>
          <w:szCs w:val="24"/>
          <w:lang w:eastAsia="it-IT"/>
        </w:rPr>
      </w:pPr>
      <w:r w:rsidRPr="009E15A0">
        <w:rPr>
          <w:rFonts w:ascii="Times New Roman" w:eastAsia="Times New Roman" w:hAnsi="Times New Roman" w:cs="Times New Roman"/>
          <w:sz w:val="24"/>
          <w:szCs w:val="24"/>
          <w:lang w:eastAsia="it-IT"/>
        </w:rPr>
        <w:t xml:space="preserve">Nella </w:t>
      </w:r>
      <w:r>
        <w:rPr>
          <w:rFonts w:ascii="Times New Roman" w:eastAsia="Times New Roman" w:hAnsi="Times New Roman" w:cs="Times New Roman"/>
          <w:sz w:val="24"/>
          <w:szCs w:val="24"/>
          <w:lang w:eastAsia="it-IT"/>
        </w:rPr>
        <w:t>T</w:t>
      </w:r>
      <w:r w:rsidRPr="009E15A0">
        <w:rPr>
          <w:rFonts w:ascii="Times New Roman" w:eastAsia="Times New Roman" w:hAnsi="Times New Roman" w:cs="Times New Roman"/>
          <w:sz w:val="24"/>
          <w:szCs w:val="24"/>
          <w:lang w:eastAsia="it-IT"/>
        </w:rPr>
        <w:t>abella 3</w:t>
      </w:r>
      <w:r w:rsidR="00366B85">
        <w:rPr>
          <w:rFonts w:ascii="Times New Roman" w:eastAsia="Times New Roman" w:hAnsi="Times New Roman" w:cs="Times New Roman"/>
          <w:sz w:val="24"/>
          <w:szCs w:val="24"/>
          <w:lang w:eastAsia="it-IT"/>
        </w:rPr>
        <w:t>0</w:t>
      </w:r>
      <w:r w:rsidRPr="009E15A0">
        <w:rPr>
          <w:rFonts w:ascii="Times New Roman" w:eastAsia="Times New Roman" w:hAnsi="Times New Roman" w:cs="Times New Roman"/>
          <w:sz w:val="24"/>
          <w:szCs w:val="24"/>
          <w:lang w:eastAsia="it-IT"/>
        </w:rPr>
        <w:t xml:space="preserve"> sono riportate le risorse complessivamente impegnate nel 2022 da ciascun centro di responsabilità, confrontate con quelle impegnate nel 2021.</w:t>
      </w:r>
      <w:r>
        <w:rPr>
          <w:rFonts w:ascii="Times New Roman" w:eastAsia="Times New Roman" w:hAnsi="Times New Roman" w:cs="Times New Roman"/>
          <w:sz w:val="24"/>
          <w:szCs w:val="24"/>
          <w:lang w:eastAsia="it-IT"/>
        </w:rPr>
        <w:t xml:space="preserve"> </w:t>
      </w:r>
    </w:p>
    <w:p w14:paraId="17EB07C7" w14:textId="77777777" w:rsidR="009802BE" w:rsidRPr="00485ED4" w:rsidRDefault="009802BE" w:rsidP="00083F7B">
      <w:pPr>
        <w:spacing w:after="0" w:line="360" w:lineRule="auto"/>
        <w:jc w:val="both"/>
        <w:rPr>
          <w:rFonts w:ascii="Times New Roman" w:eastAsia="Times New Roman" w:hAnsi="Times New Roman" w:cs="Times New Roman"/>
          <w:sz w:val="10"/>
          <w:szCs w:val="24"/>
          <w:lang w:eastAsia="it-IT"/>
        </w:rPr>
      </w:pPr>
    </w:p>
    <w:p w14:paraId="47A0EC96" w14:textId="01E3BCAB" w:rsidR="00497C59" w:rsidRDefault="00083F7B" w:rsidP="00083F7B">
      <w:pPr>
        <w:spacing w:after="0" w:line="360" w:lineRule="auto"/>
        <w:jc w:val="center"/>
        <w:rPr>
          <w:rFonts w:ascii="Times New Roman" w:eastAsia="Times New Roman" w:hAnsi="Times New Roman" w:cs="Times New Roman"/>
          <w:b/>
          <w:sz w:val="24"/>
          <w:szCs w:val="24"/>
          <w:lang w:eastAsia="it-IT"/>
        </w:rPr>
      </w:pPr>
      <w:proofErr w:type="spellStart"/>
      <w:r>
        <w:rPr>
          <w:rFonts w:ascii="Times New Roman" w:eastAsia="Times New Roman" w:hAnsi="Times New Roman" w:cs="Times New Roman"/>
          <w:b/>
          <w:sz w:val="24"/>
          <w:szCs w:val="24"/>
          <w:lang w:eastAsia="it-IT"/>
        </w:rPr>
        <w:t>Tab</w:t>
      </w:r>
      <w:proofErr w:type="spellEnd"/>
      <w:r>
        <w:rPr>
          <w:rFonts w:ascii="Times New Roman" w:eastAsia="Times New Roman" w:hAnsi="Times New Roman" w:cs="Times New Roman"/>
          <w:b/>
          <w:sz w:val="24"/>
          <w:szCs w:val="24"/>
          <w:lang w:eastAsia="it-IT"/>
        </w:rPr>
        <w:t xml:space="preserve">. </w:t>
      </w:r>
      <w:r w:rsidR="00366B85">
        <w:rPr>
          <w:rFonts w:ascii="Times New Roman" w:eastAsia="Times New Roman" w:hAnsi="Times New Roman" w:cs="Times New Roman"/>
          <w:b/>
          <w:sz w:val="24"/>
          <w:szCs w:val="24"/>
          <w:lang w:eastAsia="it-IT"/>
        </w:rPr>
        <w:t>30</w:t>
      </w:r>
      <w:r>
        <w:rPr>
          <w:rFonts w:ascii="Times New Roman" w:eastAsia="Times New Roman" w:hAnsi="Times New Roman" w:cs="Times New Roman"/>
          <w:b/>
          <w:sz w:val="24"/>
          <w:szCs w:val="24"/>
          <w:lang w:eastAsia="it-IT"/>
        </w:rPr>
        <w:t xml:space="preserve"> – Ripartizione impegnato per interventi per centri di responsabilità </w:t>
      </w:r>
    </w:p>
    <w:p w14:paraId="18C98AD8" w14:textId="363CAAC1" w:rsidR="00775842" w:rsidRDefault="009A095B" w:rsidP="00083F7B">
      <w:pPr>
        <w:spacing w:after="0" w:line="360" w:lineRule="auto"/>
        <w:jc w:val="center"/>
        <w:rPr>
          <w:rFonts w:ascii="Times New Roman" w:eastAsia="Times New Roman" w:hAnsi="Times New Roman" w:cs="Times New Roman"/>
          <w:b/>
          <w:sz w:val="24"/>
          <w:szCs w:val="24"/>
          <w:lang w:eastAsia="it-IT"/>
        </w:rPr>
      </w:pPr>
      <w:r w:rsidRPr="009A095B">
        <w:rPr>
          <w:noProof/>
          <w:lang w:eastAsia="it-IT"/>
        </w:rPr>
        <w:drawing>
          <wp:inline distT="0" distB="0" distL="0" distR="0" wp14:anchorId="0DD36642" wp14:editId="75510964">
            <wp:extent cx="4366631" cy="4264269"/>
            <wp:effectExtent l="0" t="0" r="0" b="31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2670" cy="4289698"/>
                    </a:xfrm>
                    <a:prstGeom prst="rect">
                      <a:avLst/>
                    </a:prstGeom>
                    <a:noFill/>
                    <a:ln>
                      <a:noFill/>
                    </a:ln>
                  </pic:spPr>
                </pic:pic>
              </a:graphicData>
            </a:graphic>
          </wp:inline>
        </w:drawing>
      </w:r>
    </w:p>
    <w:p w14:paraId="03A115CE" w14:textId="468E202A" w:rsidR="00497C59" w:rsidRPr="004E20A4" w:rsidRDefault="00497C59" w:rsidP="00F040E6">
      <w:pPr>
        <w:spacing w:after="0" w:line="360" w:lineRule="auto"/>
        <w:rPr>
          <w:rFonts w:ascii="Times New Roman" w:eastAsia="Times New Roman" w:hAnsi="Times New Roman" w:cs="Times New Roman"/>
          <w:b/>
          <w:sz w:val="12"/>
          <w:szCs w:val="24"/>
          <w:lang w:eastAsia="it-IT"/>
        </w:rPr>
      </w:pPr>
    </w:p>
    <w:p w14:paraId="55CE351C" w14:textId="77777777" w:rsidR="00083F7B" w:rsidRDefault="00627A2C" w:rsidP="00083F7B">
      <w:pPr>
        <w:spacing w:after="0" w:line="36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3BD54A9A" wp14:editId="31A560F5">
            <wp:extent cx="3774150" cy="1784839"/>
            <wp:effectExtent l="0" t="0" r="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83875" cy="1836729"/>
                    </a:xfrm>
                    <a:prstGeom prst="rect">
                      <a:avLst/>
                    </a:prstGeom>
                    <a:noFill/>
                  </pic:spPr>
                </pic:pic>
              </a:graphicData>
            </a:graphic>
          </wp:inline>
        </w:drawing>
      </w:r>
    </w:p>
    <w:p w14:paraId="62D852A1" w14:textId="6EF3B5B6" w:rsidR="00083F7B" w:rsidRDefault="00083F7B" w:rsidP="00083F7B">
      <w:pPr>
        <w:spacing w:after="0" w:line="360" w:lineRule="auto"/>
        <w:jc w:val="both"/>
        <w:rPr>
          <w:rFonts w:ascii="Times New Roman" w:eastAsia="Times New Roman" w:hAnsi="Times New Roman" w:cs="Times New Roman"/>
          <w:sz w:val="24"/>
          <w:szCs w:val="24"/>
          <w:lang w:eastAsia="it-IT"/>
        </w:rPr>
      </w:pPr>
      <w:bookmarkStart w:id="28" w:name="_Hlk40595953"/>
      <w:r w:rsidRPr="00F9513E">
        <w:rPr>
          <w:rFonts w:ascii="Times New Roman" w:eastAsia="Times New Roman" w:hAnsi="Times New Roman" w:cs="Times New Roman"/>
          <w:sz w:val="24"/>
          <w:szCs w:val="24"/>
          <w:lang w:eastAsia="it-IT"/>
        </w:rPr>
        <w:lastRenderedPageBreak/>
        <w:t>L</w:t>
      </w:r>
      <w:r w:rsidR="00877AAF">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impegnato per interventi in materia di politiche spaziali e aerospaziali</w:t>
      </w:r>
      <w:r>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 xml:space="preserve"> pari </w:t>
      </w:r>
      <w:r w:rsidR="009F77D1">
        <w:rPr>
          <w:rFonts w:ascii="Times New Roman" w:eastAsia="Times New Roman" w:hAnsi="Times New Roman" w:cs="Times New Roman"/>
          <w:sz w:val="24"/>
          <w:szCs w:val="24"/>
          <w:lang w:eastAsia="it-IT"/>
        </w:rPr>
        <w:t>a euro</w:t>
      </w:r>
      <w:r w:rsidRPr="00F9513E">
        <w:rPr>
          <w:rFonts w:ascii="Times New Roman" w:eastAsia="Times New Roman" w:hAnsi="Times New Roman" w:cs="Times New Roman"/>
          <w:sz w:val="24"/>
          <w:szCs w:val="24"/>
          <w:lang w:eastAsia="it-IT"/>
        </w:rPr>
        <w:t xml:space="preserve"> 499.000.000,00</w:t>
      </w:r>
      <w:r>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 xml:space="preserve"> rappresenta</w:t>
      </w:r>
      <w:r>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 xml:space="preserve"> nel 2022</w:t>
      </w:r>
      <w:r>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 xml:space="preserve"> la quota più consistente sul totale degli interventi. Rilevante è, altresì, la quota impegnata per le politiche in favore delle persone con disabilità, pari </w:t>
      </w:r>
      <w:r w:rsidR="009F77D1">
        <w:rPr>
          <w:rFonts w:ascii="Times New Roman" w:eastAsia="Times New Roman" w:hAnsi="Times New Roman" w:cs="Times New Roman"/>
          <w:sz w:val="24"/>
          <w:szCs w:val="24"/>
          <w:lang w:eastAsia="it-IT"/>
        </w:rPr>
        <w:t>a euro</w:t>
      </w:r>
      <w:r w:rsidRPr="00F9513E">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357.812.826,97</w:t>
      </w:r>
      <w:r w:rsidRPr="00F9513E">
        <w:rPr>
          <w:rFonts w:ascii="Times New Roman" w:eastAsia="Times New Roman" w:hAnsi="Times New Roman" w:cs="Times New Roman"/>
          <w:sz w:val="24"/>
          <w:szCs w:val="24"/>
          <w:lang w:eastAsia="it-IT"/>
        </w:rPr>
        <w:t xml:space="preserve">, </w:t>
      </w:r>
      <w:bookmarkEnd w:id="28"/>
      <w:r w:rsidRPr="00F9513E">
        <w:rPr>
          <w:rFonts w:ascii="Times New Roman" w:eastAsia="Times New Roman" w:hAnsi="Times New Roman" w:cs="Times New Roman"/>
          <w:sz w:val="24"/>
          <w:szCs w:val="24"/>
          <w:lang w:eastAsia="it-IT"/>
        </w:rPr>
        <w:t>quella relativa alle politiche per lo sport</w:t>
      </w:r>
      <w:r>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 xml:space="preserve"> che ammonta </w:t>
      </w:r>
      <w:r w:rsidR="009F77D1">
        <w:rPr>
          <w:rFonts w:ascii="Times New Roman" w:eastAsia="Times New Roman" w:hAnsi="Times New Roman" w:cs="Times New Roman"/>
          <w:sz w:val="24"/>
          <w:szCs w:val="24"/>
          <w:lang w:eastAsia="it-IT"/>
        </w:rPr>
        <w:t>a euro</w:t>
      </w:r>
      <w:r w:rsidRPr="00F9513E">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354.195.424,39, quella relativa alle politiche per la gioventù e il servizio civile </w:t>
      </w:r>
      <w:r w:rsidR="00136410">
        <w:rPr>
          <w:rFonts w:ascii="Times New Roman" w:eastAsia="Times New Roman" w:hAnsi="Times New Roman" w:cs="Times New Roman"/>
          <w:sz w:val="24"/>
          <w:szCs w:val="24"/>
          <w:lang w:eastAsia="it-IT"/>
        </w:rPr>
        <w:t>universale</w:t>
      </w:r>
      <w:r>
        <w:rPr>
          <w:rFonts w:ascii="Times New Roman" w:eastAsia="Times New Roman" w:hAnsi="Times New Roman" w:cs="Times New Roman"/>
          <w:sz w:val="24"/>
          <w:szCs w:val="24"/>
          <w:lang w:eastAsia="it-IT"/>
        </w:rPr>
        <w:t xml:space="preserve"> pari </w:t>
      </w:r>
      <w:r w:rsidR="009F77D1">
        <w:rPr>
          <w:rFonts w:ascii="Times New Roman" w:eastAsia="Times New Roman" w:hAnsi="Times New Roman" w:cs="Times New Roman"/>
          <w:sz w:val="24"/>
          <w:szCs w:val="24"/>
          <w:lang w:eastAsia="it-IT"/>
        </w:rPr>
        <w:t>a euro</w:t>
      </w:r>
      <w:r>
        <w:rPr>
          <w:rFonts w:ascii="Times New Roman" w:eastAsia="Times New Roman" w:hAnsi="Times New Roman" w:cs="Times New Roman"/>
          <w:sz w:val="24"/>
          <w:szCs w:val="24"/>
          <w:lang w:eastAsia="it-IT"/>
        </w:rPr>
        <w:t xml:space="preserve"> 343.233.849,70</w:t>
      </w:r>
      <w:r w:rsidRPr="00F9513E">
        <w:rPr>
          <w:rFonts w:ascii="Times New Roman" w:eastAsia="Times New Roman" w:hAnsi="Times New Roman" w:cs="Times New Roman"/>
          <w:sz w:val="24"/>
          <w:szCs w:val="24"/>
          <w:lang w:eastAsia="it-IT"/>
        </w:rPr>
        <w:t xml:space="preserve"> e</w:t>
      </w:r>
      <w:r>
        <w:rPr>
          <w:rFonts w:ascii="Times New Roman" w:eastAsia="Times New Roman" w:hAnsi="Times New Roman" w:cs="Times New Roman"/>
          <w:sz w:val="24"/>
          <w:szCs w:val="24"/>
          <w:lang w:eastAsia="it-IT"/>
        </w:rPr>
        <w:t xml:space="preserve"> quella</w:t>
      </w:r>
      <w:r w:rsidRPr="00F9513E">
        <w:rPr>
          <w:rFonts w:ascii="Times New Roman" w:eastAsia="Times New Roman" w:hAnsi="Times New Roman" w:cs="Times New Roman"/>
          <w:sz w:val="24"/>
          <w:szCs w:val="24"/>
          <w:lang w:eastAsia="it-IT"/>
        </w:rPr>
        <w:t xml:space="preserve"> in materia di informazione ed editoria</w:t>
      </w:r>
      <w:r>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 xml:space="preserve"> pari </w:t>
      </w:r>
      <w:r w:rsidR="009F77D1">
        <w:rPr>
          <w:rFonts w:ascii="Times New Roman" w:eastAsia="Times New Roman" w:hAnsi="Times New Roman" w:cs="Times New Roman"/>
          <w:sz w:val="24"/>
          <w:szCs w:val="24"/>
          <w:lang w:eastAsia="it-IT"/>
        </w:rPr>
        <w:t>a euro</w:t>
      </w:r>
      <w:r w:rsidRPr="00F9513E">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328.677.803,43</w:t>
      </w:r>
      <w:r w:rsidRPr="00F9513E">
        <w:rPr>
          <w:rFonts w:ascii="Times New Roman" w:eastAsia="Times New Roman" w:hAnsi="Times New Roman" w:cs="Times New Roman"/>
          <w:sz w:val="24"/>
          <w:szCs w:val="24"/>
          <w:lang w:eastAsia="it-IT"/>
        </w:rPr>
        <w:t>. Nella sezione seconda della presente relazione, all</w:t>
      </w:r>
      <w:r w:rsidR="00877AAF">
        <w:rPr>
          <w:rFonts w:ascii="Times New Roman" w:eastAsia="Times New Roman" w:hAnsi="Times New Roman" w:cs="Times New Roman"/>
          <w:sz w:val="24"/>
          <w:szCs w:val="24"/>
          <w:lang w:eastAsia="it-IT"/>
        </w:rPr>
        <w:t>’</w:t>
      </w:r>
      <w:r w:rsidRPr="00F9513E">
        <w:rPr>
          <w:rFonts w:ascii="Times New Roman" w:eastAsia="Times New Roman" w:hAnsi="Times New Roman" w:cs="Times New Roman"/>
          <w:sz w:val="24"/>
          <w:szCs w:val="24"/>
          <w:lang w:eastAsia="it-IT"/>
        </w:rPr>
        <w:t>interno della parte riferita a ciascun centro di responsabilità, sono indicate, specificatamente, le finalità cui tali risorse sono state destinate.</w:t>
      </w:r>
    </w:p>
    <w:p w14:paraId="1FE6D411" w14:textId="4A4B328D" w:rsidR="00083F7B" w:rsidRDefault="00083F7B" w:rsidP="00083F7B">
      <w:pPr>
        <w:spacing w:after="0" w:line="360" w:lineRule="auto"/>
        <w:ind w:right="-1"/>
        <w:jc w:val="both"/>
        <w:rPr>
          <w:rFonts w:ascii="Times New Roman" w:eastAsia="Times New Roman" w:hAnsi="Times New Roman" w:cs="Times New Roman"/>
          <w:sz w:val="24"/>
          <w:szCs w:val="24"/>
          <w:lang w:eastAsia="it-IT"/>
        </w:rPr>
      </w:pPr>
      <w:r w:rsidRPr="0061273C">
        <w:rPr>
          <w:rFonts w:ascii="Times New Roman" w:hAnsi="Times New Roman" w:cs="Times New Roman"/>
          <w:bCs/>
          <w:sz w:val="24"/>
          <w:szCs w:val="24"/>
        </w:rPr>
        <w:t>I</w:t>
      </w:r>
      <w:r w:rsidRPr="0061273C">
        <w:rPr>
          <w:rFonts w:ascii="Times New Roman" w:eastAsia="Times New Roman" w:hAnsi="Times New Roman" w:cs="Times New Roman"/>
          <w:sz w:val="24"/>
          <w:szCs w:val="24"/>
          <w:lang w:eastAsia="it-IT"/>
        </w:rPr>
        <w:t xml:space="preserve"> contenziosi derivanti dall</w:t>
      </w:r>
      <w:r w:rsidR="00877AAF">
        <w:rPr>
          <w:rFonts w:ascii="Times New Roman" w:eastAsia="Times New Roman" w:hAnsi="Times New Roman" w:cs="Times New Roman"/>
          <w:sz w:val="24"/>
          <w:szCs w:val="24"/>
          <w:lang w:eastAsia="it-IT"/>
        </w:rPr>
        <w:t>’</w:t>
      </w:r>
      <w:r w:rsidRPr="0061273C">
        <w:rPr>
          <w:rFonts w:ascii="Times New Roman" w:eastAsia="Times New Roman" w:hAnsi="Times New Roman" w:cs="Times New Roman"/>
          <w:sz w:val="24"/>
          <w:szCs w:val="24"/>
          <w:lang w:eastAsia="it-IT"/>
        </w:rPr>
        <w:t>esecuzione delle pronunce giurisdizionali di condanna per mancata attuazione delle direttive comunitarie, in particolare per il rimborso delle borse di studio per i medici specializzandi</w:t>
      </w:r>
      <w:r>
        <w:rPr>
          <w:rFonts w:ascii="Times New Roman" w:eastAsia="Times New Roman" w:hAnsi="Times New Roman" w:cs="Times New Roman"/>
          <w:sz w:val="24"/>
          <w:szCs w:val="24"/>
          <w:lang w:eastAsia="it-IT"/>
        </w:rPr>
        <w:t>,</w:t>
      </w:r>
      <w:r w:rsidRPr="0061273C">
        <w:rPr>
          <w:rFonts w:ascii="Times New Roman" w:eastAsia="Times New Roman" w:hAnsi="Times New Roman" w:cs="Times New Roman"/>
          <w:sz w:val="24"/>
          <w:szCs w:val="24"/>
          <w:lang w:eastAsia="it-IT"/>
        </w:rPr>
        <w:t xml:space="preserve"> nonché delle pronunce della Corte europea dei diritti dell</w:t>
      </w:r>
      <w:r w:rsidR="00877AAF">
        <w:rPr>
          <w:rFonts w:ascii="Times New Roman" w:eastAsia="Times New Roman" w:hAnsi="Times New Roman" w:cs="Times New Roman"/>
          <w:sz w:val="24"/>
          <w:szCs w:val="24"/>
          <w:lang w:eastAsia="it-IT"/>
        </w:rPr>
        <w:t>’</w:t>
      </w:r>
      <w:r w:rsidR="00621CED">
        <w:rPr>
          <w:rFonts w:ascii="Times New Roman" w:eastAsia="Times New Roman" w:hAnsi="Times New Roman" w:cs="Times New Roman"/>
          <w:sz w:val="24"/>
          <w:szCs w:val="24"/>
          <w:lang w:eastAsia="it-IT"/>
        </w:rPr>
        <w:t>u</w:t>
      </w:r>
      <w:r w:rsidRPr="0061273C">
        <w:rPr>
          <w:rFonts w:ascii="Times New Roman" w:eastAsia="Times New Roman" w:hAnsi="Times New Roman" w:cs="Times New Roman"/>
          <w:sz w:val="24"/>
          <w:szCs w:val="24"/>
          <w:lang w:eastAsia="it-IT"/>
        </w:rPr>
        <w:t xml:space="preserve">omo, sono passati da euro 81.991.778,77 </w:t>
      </w:r>
      <w:r w:rsidR="009F77D1">
        <w:rPr>
          <w:rFonts w:ascii="Times New Roman" w:eastAsia="Times New Roman" w:hAnsi="Times New Roman" w:cs="Times New Roman"/>
          <w:sz w:val="24"/>
          <w:szCs w:val="24"/>
          <w:lang w:eastAsia="it-IT"/>
        </w:rPr>
        <w:t>a euro</w:t>
      </w:r>
      <w:r w:rsidRPr="0061273C">
        <w:rPr>
          <w:rFonts w:ascii="Times New Roman" w:eastAsia="Times New Roman" w:hAnsi="Times New Roman" w:cs="Times New Roman"/>
          <w:sz w:val="24"/>
          <w:szCs w:val="24"/>
          <w:lang w:eastAsia="it-IT"/>
        </w:rPr>
        <w:t xml:space="preserve"> 59.584.615,42</w:t>
      </w:r>
      <w:r>
        <w:rPr>
          <w:rFonts w:ascii="Times New Roman" w:eastAsia="Times New Roman" w:hAnsi="Times New Roman" w:cs="Times New Roman"/>
          <w:sz w:val="24"/>
          <w:szCs w:val="24"/>
          <w:lang w:eastAsia="it-IT"/>
        </w:rPr>
        <w:t>,</w:t>
      </w:r>
      <w:r w:rsidRPr="0061273C">
        <w:rPr>
          <w:rFonts w:ascii="Times New Roman" w:eastAsia="Times New Roman" w:hAnsi="Times New Roman" w:cs="Times New Roman"/>
          <w:sz w:val="24"/>
          <w:szCs w:val="24"/>
          <w:lang w:eastAsia="it-IT"/>
        </w:rPr>
        <w:t xml:space="preserve"> con una diminuzione di euro 22.407.163,35 </w:t>
      </w:r>
      <w:r>
        <w:rPr>
          <w:rFonts w:ascii="Times New Roman" w:eastAsia="Times New Roman" w:hAnsi="Times New Roman" w:cs="Times New Roman"/>
          <w:sz w:val="24"/>
          <w:szCs w:val="24"/>
          <w:lang w:eastAsia="it-IT"/>
        </w:rPr>
        <w:t xml:space="preserve">e </w:t>
      </w:r>
      <w:r w:rsidR="00984F02">
        <w:rPr>
          <w:rFonts w:ascii="Times New Roman" w:eastAsia="Times New Roman" w:hAnsi="Times New Roman" w:cs="Times New Roman"/>
          <w:sz w:val="24"/>
          <w:szCs w:val="24"/>
          <w:lang w:eastAsia="it-IT"/>
        </w:rPr>
        <w:t>di</w:t>
      </w:r>
      <w:r>
        <w:rPr>
          <w:rFonts w:ascii="Times New Roman" w:eastAsia="Times New Roman" w:hAnsi="Times New Roman" w:cs="Times New Roman"/>
          <w:sz w:val="24"/>
          <w:szCs w:val="24"/>
          <w:lang w:eastAsia="it-IT"/>
        </w:rPr>
        <w:t xml:space="preserve"> cui</w:t>
      </w:r>
      <w:r w:rsidRPr="0061273C">
        <w:rPr>
          <w:rFonts w:ascii="Times New Roman" w:eastAsia="Times New Roman" w:hAnsi="Times New Roman" w:cs="Times New Roman"/>
          <w:sz w:val="24"/>
          <w:szCs w:val="24"/>
          <w:lang w:eastAsia="it-IT"/>
        </w:rPr>
        <w:t>, in considerazione della specificità della tipologia di spesa, viene data separata evidenza</w:t>
      </w:r>
      <w:r>
        <w:rPr>
          <w:rFonts w:ascii="Times New Roman" w:eastAsia="Times New Roman" w:hAnsi="Times New Roman" w:cs="Times New Roman"/>
          <w:sz w:val="24"/>
          <w:szCs w:val="24"/>
          <w:lang w:eastAsia="it-IT"/>
        </w:rPr>
        <w:t xml:space="preserve"> (cfr. </w:t>
      </w:r>
      <w:proofErr w:type="spellStart"/>
      <w:r>
        <w:rPr>
          <w:rFonts w:ascii="Times New Roman" w:eastAsia="Times New Roman" w:hAnsi="Times New Roman" w:cs="Times New Roman"/>
          <w:sz w:val="24"/>
          <w:szCs w:val="24"/>
          <w:lang w:eastAsia="it-IT"/>
        </w:rPr>
        <w:t>Tab</w:t>
      </w:r>
      <w:proofErr w:type="spellEnd"/>
      <w:r>
        <w:rPr>
          <w:rFonts w:ascii="Times New Roman" w:eastAsia="Times New Roman" w:hAnsi="Times New Roman" w:cs="Times New Roman"/>
          <w:sz w:val="24"/>
          <w:szCs w:val="24"/>
          <w:lang w:eastAsia="it-IT"/>
        </w:rPr>
        <w:t>. 3</w:t>
      </w:r>
      <w:r w:rsidR="00366B85">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w:t>
      </w:r>
      <w:r w:rsidRPr="0061273C">
        <w:rPr>
          <w:rFonts w:ascii="Times New Roman" w:eastAsia="Times New Roman" w:hAnsi="Times New Roman" w:cs="Times New Roman"/>
          <w:sz w:val="24"/>
          <w:szCs w:val="24"/>
          <w:lang w:eastAsia="it-IT"/>
        </w:rPr>
        <w:t xml:space="preserve">. Va ricordato che si tratta di sentenze di condanna per le quali la Presidenza del Consiglio </w:t>
      </w:r>
      <w:r w:rsidR="00984F02">
        <w:rPr>
          <w:rFonts w:ascii="Times New Roman" w:eastAsia="Times New Roman" w:hAnsi="Times New Roman" w:cs="Times New Roman"/>
          <w:sz w:val="24"/>
          <w:szCs w:val="24"/>
          <w:lang w:eastAsia="it-IT"/>
        </w:rPr>
        <w:t xml:space="preserve">dei ministri </w:t>
      </w:r>
      <w:r w:rsidRPr="0061273C">
        <w:rPr>
          <w:rFonts w:ascii="Times New Roman" w:eastAsia="Times New Roman" w:hAnsi="Times New Roman" w:cs="Times New Roman"/>
          <w:sz w:val="24"/>
          <w:szCs w:val="24"/>
          <w:lang w:eastAsia="it-IT"/>
        </w:rPr>
        <w:t>è chiamata in causa quale ente esponenziale dello Stato italiano e, dunque, per funzioni non connesse all</w:t>
      </w:r>
      <w:r w:rsidR="00877AAF">
        <w:rPr>
          <w:rFonts w:ascii="Times New Roman" w:eastAsia="Times New Roman" w:hAnsi="Times New Roman" w:cs="Times New Roman"/>
          <w:sz w:val="24"/>
          <w:szCs w:val="24"/>
          <w:lang w:eastAsia="it-IT"/>
        </w:rPr>
        <w:t>’</w:t>
      </w:r>
      <w:r w:rsidRPr="0061273C">
        <w:rPr>
          <w:rFonts w:ascii="Times New Roman" w:eastAsia="Times New Roman" w:hAnsi="Times New Roman" w:cs="Times New Roman"/>
          <w:sz w:val="24"/>
          <w:szCs w:val="24"/>
          <w:lang w:eastAsia="it-IT"/>
        </w:rPr>
        <w:t xml:space="preserve">ordinario esercizio di quelle istituzionali proprie. </w:t>
      </w:r>
    </w:p>
    <w:p w14:paraId="13C2AD84" w14:textId="77777777" w:rsidR="00984F02" w:rsidRPr="00984F02" w:rsidRDefault="00984F02" w:rsidP="00083F7B">
      <w:pPr>
        <w:spacing w:after="0" w:line="360" w:lineRule="auto"/>
        <w:ind w:right="-1"/>
        <w:jc w:val="both"/>
        <w:rPr>
          <w:rFonts w:ascii="Times New Roman" w:eastAsia="Times New Roman" w:hAnsi="Times New Roman" w:cs="Times New Roman"/>
          <w:sz w:val="10"/>
          <w:szCs w:val="24"/>
          <w:lang w:eastAsia="it-IT"/>
        </w:rPr>
      </w:pPr>
    </w:p>
    <w:p w14:paraId="556593DE" w14:textId="5CEBDD89" w:rsidR="00083F7B" w:rsidRDefault="00083F7B" w:rsidP="00083F7B">
      <w:pPr>
        <w:tabs>
          <w:tab w:val="left" w:pos="284"/>
        </w:tabs>
        <w:spacing w:after="0" w:line="240" w:lineRule="auto"/>
        <w:ind w:left="851"/>
        <w:jc w:val="center"/>
        <w:rPr>
          <w:rFonts w:ascii="Times New Roman" w:eastAsia="Times New Roman" w:hAnsi="Times New Roman" w:cs="Times New Roman"/>
          <w:b/>
          <w:sz w:val="24"/>
          <w:szCs w:val="24"/>
          <w:lang w:eastAsia="it-IT"/>
        </w:rPr>
      </w:pPr>
      <w:proofErr w:type="spellStart"/>
      <w:r w:rsidRPr="004D4388">
        <w:rPr>
          <w:rFonts w:ascii="Times New Roman" w:eastAsia="Times New Roman" w:hAnsi="Times New Roman" w:cs="Times New Roman"/>
          <w:b/>
          <w:sz w:val="24"/>
          <w:szCs w:val="24"/>
          <w:lang w:eastAsia="it-IT"/>
        </w:rPr>
        <w:t>Tab</w:t>
      </w:r>
      <w:proofErr w:type="spellEnd"/>
      <w:r w:rsidRPr="004D4388">
        <w:rPr>
          <w:rFonts w:ascii="Times New Roman" w:eastAsia="Times New Roman" w:hAnsi="Times New Roman" w:cs="Times New Roman"/>
          <w:b/>
          <w:sz w:val="24"/>
          <w:szCs w:val="24"/>
          <w:lang w:eastAsia="it-IT"/>
        </w:rPr>
        <w:t xml:space="preserve">. </w:t>
      </w:r>
      <w:r>
        <w:rPr>
          <w:rFonts w:ascii="Times New Roman" w:eastAsia="Times New Roman" w:hAnsi="Times New Roman" w:cs="Times New Roman"/>
          <w:b/>
          <w:sz w:val="24"/>
          <w:szCs w:val="24"/>
          <w:lang w:eastAsia="it-IT"/>
        </w:rPr>
        <w:t>3</w:t>
      </w:r>
      <w:r w:rsidR="00366B85">
        <w:rPr>
          <w:rFonts w:ascii="Times New Roman" w:eastAsia="Times New Roman" w:hAnsi="Times New Roman" w:cs="Times New Roman"/>
          <w:b/>
          <w:sz w:val="24"/>
          <w:szCs w:val="24"/>
          <w:lang w:eastAsia="it-IT"/>
        </w:rPr>
        <w:t>1</w:t>
      </w:r>
      <w:r w:rsidRPr="004D4388">
        <w:rPr>
          <w:rFonts w:ascii="Times New Roman" w:eastAsia="Times New Roman" w:hAnsi="Times New Roman" w:cs="Times New Roman"/>
          <w:b/>
          <w:sz w:val="24"/>
          <w:szCs w:val="24"/>
          <w:lang w:eastAsia="it-IT"/>
        </w:rPr>
        <w:t xml:space="preserve"> -</w:t>
      </w:r>
      <w:r w:rsidRPr="009E4894">
        <w:rPr>
          <w:rFonts w:ascii="Times New Roman" w:eastAsia="Times New Roman" w:hAnsi="Times New Roman" w:cs="Times New Roman"/>
          <w:b/>
          <w:sz w:val="24"/>
          <w:szCs w:val="24"/>
          <w:lang w:eastAsia="it-IT"/>
        </w:rPr>
        <w:t xml:space="preserve"> Contenzioso da pronunce per mancata attuazione di direttive comunitarie, da pronunce della Corte europea dei diritti dell</w:t>
      </w:r>
      <w:r w:rsidR="00877AAF">
        <w:rPr>
          <w:rFonts w:ascii="Times New Roman" w:eastAsia="Times New Roman" w:hAnsi="Times New Roman" w:cs="Times New Roman"/>
          <w:b/>
          <w:sz w:val="24"/>
          <w:szCs w:val="24"/>
          <w:lang w:eastAsia="it-IT"/>
        </w:rPr>
        <w:t>’</w:t>
      </w:r>
      <w:r w:rsidR="00984F02">
        <w:rPr>
          <w:rFonts w:ascii="Times New Roman" w:eastAsia="Times New Roman" w:hAnsi="Times New Roman" w:cs="Times New Roman"/>
          <w:b/>
          <w:sz w:val="24"/>
          <w:szCs w:val="24"/>
          <w:lang w:eastAsia="it-IT"/>
        </w:rPr>
        <w:t>u</w:t>
      </w:r>
      <w:r w:rsidRPr="009E4894">
        <w:rPr>
          <w:rFonts w:ascii="Times New Roman" w:eastAsia="Times New Roman" w:hAnsi="Times New Roman" w:cs="Times New Roman"/>
          <w:b/>
          <w:sz w:val="24"/>
          <w:szCs w:val="24"/>
          <w:lang w:eastAsia="it-IT"/>
        </w:rPr>
        <w:t>omo e per risarcimento danni derivante dalla responsabilità civile dei magistrati</w:t>
      </w:r>
    </w:p>
    <w:p w14:paraId="34E67BE6" w14:textId="77777777" w:rsidR="00083F7B" w:rsidRDefault="00083F7B" w:rsidP="00083F7B">
      <w:pPr>
        <w:spacing w:after="0" w:line="360" w:lineRule="auto"/>
        <w:jc w:val="both"/>
        <w:rPr>
          <w:rFonts w:ascii="Times New Roman" w:eastAsia="Times New Roman" w:hAnsi="Times New Roman" w:cs="Times New Roman"/>
          <w:sz w:val="24"/>
          <w:szCs w:val="24"/>
          <w:lang w:eastAsia="it-IT"/>
        </w:rPr>
      </w:pPr>
    </w:p>
    <w:p w14:paraId="1A2955DE" w14:textId="7851A6A3" w:rsidR="008335F2" w:rsidRDefault="00083F7B" w:rsidP="00083F7B">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w:t>
      </w:r>
      <w:r w:rsidR="00E87EA0" w:rsidRPr="00E87EA0">
        <w:rPr>
          <w:noProof/>
          <w:lang w:eastAsia="it-IT"/>
        </w:rPr>
        <w:drawing>
          <wp:inline distT="0" distB="0" distL="0" distR="0" wp14:anchorId="72AA6CA5" wp14:editId="351838DF">
            <wp:extent cx="3453919" cy="368300"/>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6695" cy="378193"/>
                    </a:xfrm>
                    <a:prstGeom prst="rect">
                      <a:avLst/>
                    </a:prstGeom>
                    <a:noFill/>
                    <a:ln>
                      <a:noFill/>
                    </a:ln>
                  </pic:spPr>
                </pic:pic>
              </a:graphicData>
            </a:graphic>
          </wp:inline>
        </w:drawing>
      </w:r>
    </w:p>
    <w:p w14:paraId="756EB303" w14:textId="62E91712" w:rsidR="00083F7B" w:rsidRDefault="00083F7B" w:rsidP="00083F7B">
      <w:pPr>
        <w:spacing w:after="0" w:line="360" w:lineRule="auto"/>
        <w:jc w:val="both"/>
        <w:rPr>
          <w:rFonts w:ascii="Times New Roman" w:eastAsia="Times New Roman" w:hAnsi="Times New Roman" w:cs="Times New Roman"/>
          <w:noProof/>
          <w:sz w:val="24"/>
          <w:szCs w:val="24"/>
          <w:lang w:eastAsia="it-IT"/>
        </w:rPr>
      </w:pPr>
      <w:r>
        <w:rPr>
          <w:rFonts w:ascii="Times New Roman" w:eastAsia="Times New Roman" w:hAnsi="Times New Roman" w:cs="Times New Roman"/>
          <w:noProof/>
          <w:sz w:val="24"/>
          <w:szCs w:val="24"/>
          <w:lang w:eastAsia="it-IT"/>
        </w:rPr>
        <w:t xml:space="preserve">                                </w:t>
      </w:r>
      <w:r w:rsidR="00E87EA0">
        <w:rPr>
          <w:rFonts w:ascii="Times New Roman" w:eastAsia="Times New Roman" w:hAnsi="Times New Roman" w:cs="Times New Roman"/>
          <w:noProof/>
          <w:sz w:val="24"/>
          <w:szCs w:val="24"/>
          <w:lang w:eastAsia="it-IT"/>
        </w:rPr>
        <w:drawing>
          <wp:inline distT="0" distB="0" distL="0" distR="0" wp14:anchorId="3F7A0C78" wp14:editId="27B24BC4">
            <wp:extent cx="3540534" cy="2214002"/>
            <wp:effectExtent l="0" t="0" r="3175"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4661" cy="2235343"/>
                    </a:xfrm>
                    <a:prstGeom prst="rect">
                      <a:avLst/>
                    </a:prstGeom>
                    <a:noFill/>
                  </pic:spPr>
                </pic:pic>
              </a:graphicData>
            </a:graphic>
          </wp:inline>
        </w:drawing>
      </w:r>
    </w:p>
    <w:p w14:paraId="73AB2ED3" w14:textId="77777777" w:rsidR="008335F2" w:rsidRDefault="008335F2" w:rsidP="00083F7B">
      <w:pPr>
        <w:spacing w:after="0" w:line="360" w:lineRule="auto"/>
        <w:jc w:val="both"/>
        <w:rPr>
          <w:rFonts w:ascii="Times New Roman" w:eastAsia="Times New Roman" w:hAnsi="Times New Roman" w:cs="Times New Roman"/>
          <w:b/>
          <w:sz w:val="24"/>
          <w:szCs w:val="24"/>
          <w:lang w:eastAsia="it-IT"/>
        </w:rPr>
      </w:pPr>
    </w:p>
    <w:p w14:paraId="2995845E" w14:textId="77777777" w:rsidR="00485ED4" w:rsidRDefault="00485ED4" w:rsidP="00083F7B">
      <w:pPr>
        <w:spacing w:after="0" w:line="360" w:lineRule="auto"/>
        <w:jc w:val="both"/>
        <w:rPr>
          <w:rFonts w:ascii="Times New Roman" w:eastAsia="Times New Roman" w:hAnsi="Times New Roman" w:cs="Times New Roman"/>
          <w:b/>
          <w:sz w:val="24"/>
          <w:szCs w:val="24"/>
          <w:lang w:eastAsia="it-IT"/>
        </w:rPr>
      </w:pPr>
    </w:p>
    <w:p w14:paraId="0066CB68" w14:textId="77777777" w:rsidR="00485ED4" w:rsidRDefault="00485ED4" w:rsidP="00083F7B">
      <w:pPr>
        <w:spacing w:after="0" w:line="360" w:lineRule="auto"/>
        <w:jc w:val="both"/>
        <w:rPr>
          <w:rFonts w:ascii="Times New Roman" w:eastAsia="Times New Roman" w:hAnsi="Times New Roman" w:cs="Times New Roman"/>
          <w:b/>
          <w:sz w:val="24"/>
          <w:szCs w:val="24"/>
          <w:lang w:eastAsia="it-IT"/>
        </w:rPr>
      </w:pPr>
    </w:p>
    <w:p w14:paraId="0DB91FF2" w14:textId="77777777" w:rsidR="00485ED4" w:rsidRDefault="00485ED4" w:rsidP="00083F7B">
      <w:pPr>
        <w:spacing w:after="0" w:line="360" w:lineRule="auto"/>
        <w:jc w:val="both"/>
        <w:rPr>
          <w:rFonts w:ascii="Times New Roman" w:eastAsia="Times New Roman" w:hAnsi="Times New Roman" w:cs="Times New Roman"/>
          <w:b/>
          <w:sz w:val="24"/>
          <w:szCs w:val="24"/>
          <w:lang w:eastAsia="it-IT"/>
        </w:rPr>
      </w:pPr>
    </w:p>
    <w:p w14:paraId="1AF1B135" w14:textId="77777777" w:rsidR="00485ED4" w:rsidRDefault="00485ED4" w:rsidP="00083F7B">
      <w:pPr>
        <w:spacing w:after="0" w:line="360" w:lineRule="auto"/>
        <w:jc w:val="both"/>
        <w:rPr>
          <w:rFonts w:ascii="Times New Roman" w:eastAsia="Times New Roman" w:hAnsi="Times New Roman" w:cs="Times New Roman"/>
          <w:b/>
          <w:sz w:val="24"/>
          <w:szCs w:val="24"/>
          <w:lang w:eastAsia="it-IT"/>
        </w:rPr>
      </w:pPr>
    </w:p>
    <w:p w14:paraId="32D66517" w14:textId="5F0D43DF" w:rsidR="00083F7B" w:rsidRDefault="00083F7B" w:rsidP="00083F7B">
      <w:pPr>
        <w:spacing w:after="0" w:line="360" w:lineRule="auto"/>
        <w:jc w:val="both"/>
        <w:rPr>
          <w:rFonts w:ascii="Times New Roman" w:eastAsia="Times New Roman" w:hAnsi="Times New Roman" w:cs="Times New Roman"/>
          <w:b/>
          <w:sz w:val="24"/>
          <w:szCs w:val="24"/>
          <w:lang w:eastAsia="it-IT"/>
        </w:rPr>
      </w:pPr>
      <w:r>
        <w:rPr>
          <w:rFonts w:ascii="Times New Roman" w:eastAsia="Times New Roman" w:hAnsi="Times New Roman" w:cs="Times New Roman"/>
          <w:b/>
          <w:sz w:val="24"/>
          <w:szCs w:val="24"/>
          <w:lang w:eastAsia="it-IT"/>
        </w:rPr>
        <w:lastRenderedPageBreak/>
        <w:t>7.4.</w:t>
      </w:r>
      <w:r w:rsidR="00366B85">
        <w:rPr>
          <w:rFonts w:ascii="Times New Roman" w:eastAsia="Times New Roman" w:hAnsi="Times New Roman" w:cs="Times New Roman"/>
          <w:b/>
          <w:sz w:val="24"/>
          <w:szCs w:val="24"/>
          <w:lang w:eastAsia="it-IT"/>
        </w:rPr>
        <w:t>6</w:t>
      </w:r>
      <w:r>
        <w:rPr>
          <w:rFonts w:ascii="Times New Roman" w:eastAsia="Times New Roman" w:hAnsi="Times New Roman" w:cs="Times New Roman"/>
          <w:b/>
          <w:sz w:val="24"/>
          <w:szCs w:val="24"/>
          <w:lang w:eastAsia="it-IT"/>
        </w:rPr>
        <w:t xml:space="preserve"> Impegnato per spese in conto capitale</w:t>
      </w:r>
    </w:p>
    <w:p w14:paraId="478D822A" w14:textId="1B836656" w:rsidR="00322660" w:rsidRDefault="00083F7B" w:rsidP="00083F7B">
      <w:pPr>
        <w:spacing w:after="0" w:line="360" w:lineRule="auto"/>
        <w:jc w:val="both"/>
        <w:outlineLvl w:val="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Le risorse impegnate per le spese in conto capitale passano da euro </w:t>
      </w:r>
      <w:bookmarkStart w:id="29" w:name="_Hlk40596066"/>
      <w:r w:rsidR="00485ED4">
        <w:rPr>
          <w:rFonts w:ascii="Times New Roman" w:eastAsia="Times New Roman" w:hAnsi="Times New Roman" w:cs="Times New Roman"/>
          <w:sz w:val="24"/>
          <w:szCs w:val="24"/>
          <w:lang w:eastAsia="it-IT"/>
        </w:rPr>
        <w:t>5.</w:t>
      </w:r>
      <w:r>
        <w:rPr>
          <w:rFonts w:ascii="Times New Roman" w:eastAsia="Times New Roman" w:hAnsi="Times New Roman" w:cs="Times New Roman"/>
          <w:sz w:val="24"/>
          <w:szCs w:val="24"/>
          <w:lang w:eastAsia="it-IT"/>
        </w:rPr>
        <w:t>68</w:t>
      </w:r>
      <w:r w:rsidR="00485ED4">
        <w:rPr>
          <w:rFonts w:ascii="Times New Roman" w:eastAsia="Times New Roman" w:hAnsi="Times New Roman" w:cs="Times New Roman"/>
          <w:sz w:val="24"/>
          <w:szCs w:val="24"/>
          <w:lang w:eastAsia="it-IT"/>
        </w:rPr>
        <w:t>4</w:t>
      </w:r>
      <w:r>
        <w:rPr>
          <w:rFonts w:ascii="Times New Roman" w:eastAsia="Times New Roman" w:hAnsi="Times New Roman" w:cs="Times New Roman"/>
          <w:sz w:val="24"/>
          <w:szCs w:val="24"/>
          <w:lang w:eastAsia="it-IT"/>
        </w:rPr>
        <w:t>.</w:t>
      </w:r>
      <w:r w:rsidR="00485ED4">
        <w:rPr>
          <w:rFonts w:ascii="Times New Roman" w:eastAsia="Times New Roman" w:hAnsi="Times New Roman" w:cs="Times New Roman"/>
          <w:sz w:val="24"/>
          <w:szCs w:val="24"/>
          <w:lang w:eastAsia="it-IT"/>
        </w:rPr>
        <w:t>015.998,25</w:t>
      </w:r>
      <w:r w:rsidR="00485ED4" w:rsidRPr="00485ED4">
        <w:rPr>
          <w:rStyle w:val="Rimandonotaapidipagina"/>
          <w:rFonts w:ascii="Times New Roman" w:eastAsia="Times New Roman" w:hAnsi="Times New Roman" w:cs="Times New Roman"/>
          <w:szCs w:val="24"/>
          <w:lang w:eastAsia="it-IT"/>
        </w:rPr>
        <w:footnoteReference w:id="14"/>
      </w:r>
      <w:r>
        <w:rPr>
          <w:rFonts w:ascii="Times New Roman" w:eastAsia="Times New Roman" w:hAnsi="Times New Roman" w:cs="Times New Roman"/>
          <w:sz w:val="24"/>
          <w:szCs w:val="24"/>
          <w:lang w:eastAsia="it-IT"/>
        </w:rPr>
        <w:t xml:space="preserve"> </w:t>
      </w:r>
      <w:bookmarkEnd w:id="29"/>
      <w:r>
        <w:rPr>
          <w:rFonts w:ascii="Times New Roman" w:eastAsia="Times New Roman" w:hAnsi="Times New Roman" w:cs="Times New Roman"/>
          <w:sz w:val="24"/>
          <w:szCs w:val="24"/>
          <w:lang w:eastAsia="it-IT"/>
        </w:rPr>
        <w:t xml:space="preserve">del 2021 </w:t>
      </w:r>
      <w:r w:rsidR="009F77D1">
        <w:rPr>
          <w:rFonts w:ascii="Times New Roman" w:eastAsia="Times New Roman" w:hAnsi="Times New Roman" w:cs="Times New Roman"/>
          <w:sz w:val="24"/>
          <w:szCs w:val="24"/>
          <w:lang w:eastAsia="it-IT"/>
        </w:rPr>
        <w:t>a euro</w:t>
      </w:r>
      <w:r>
        <w:rPr>
          <w:rFonts w:ascii="Times New Roman" w:eastAsia="Times New Roman" w:hAnsi="Times New Roman" w:cs="Times New Roman"/>
          <w:sz w:val="24"/>
          <w:szCs w:val="24"/>
          <w:lang w:eastAsia="it-IT"/>
        </w:rPr>
        <w:t xml:space="preserve"> 3.545.606.865,15 del 2022, con una diminuzione di </w:t>
      </w:r>
      <w:r w:rsidRPr="005D5F42">
        <w:rPr>
          <w:rFonts w:ascii="Times New Roman" w:eastAsia="Times New Roman" w:hAnsi="Times New Roman" w:cs="Times New Roman"/>
          <w:sz w:val="24"/>
          <w:szCs w:val="24"/>
          <w:lang w:eastAsia="it-IT"/>
        </w:rPr>
        <w:t xml:space="preserve">euro </w:t>
      </w:r>
      <w:bookmarkStart w:id="30" w:name="_Hlk40596158"/>
      <w:r w:rsidR="00485ED4">
        <w:rPr>
          <w:rFonts w:ascii="Times New Roman" w:eastAsia="Times New Roman" w:hAnsi="Times New Roman" w:cs="Times New Roman"/>
          <w:sz w:val="24"/>
          <w:szCs w:val="24"/>
          <w:lang w:eastAsia="it-IT"/>
        </w:rPr>
        <w:t>2.138.409.133,10</w:t>
      </w:r>
      <w:r w:rsidR="00322660">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La diminuzione è </w:t>
      </w:r>
      <w:bookmarkEnd w:id="30"/>
      <w:r>
        <w:rPr>
          <w:rFonts w:ascii="Times New Roman" w:eastAsia="Times New Roman" w:hAnsi="Times New Roman" w:cs="Times New Roman"/>
          <w:sz w:val="24"/>
          <w:szCs w:val="24"/>
          <w:lang w:eastAsia="it-IT"/>
        </w:rPr>
        <w:t>dovut</w:t>
      </w:r>
      <w:r w:rsidR="00F73DB4">
        <w:rPr>
          <w:rFonts w:ascii="Times New Roman" w:eastAsia="Times New Roman" w:hAnsi="Times New Roman" w:cs="Times New Roman"/>
          <w:sz w:val="24"/>
          <w:szCs w:val="24"/>
          <w:lang w:eastAsia="it-IT"/>
        </w:rPr>
        <w:t>a</w:t>
      </w:r>
      <w:r>
        <w:rPr>
          <w:rFonts w:ascii="Times New Roman" w:eastAsia="Times New Roman" w:hAnsi="Times New Roman" w:cs="Times New Roman"/>
          <w:sz w:val="24"/>
          <w:szCs w:val="24"/>
          <w:lang w:eastAsia="it-IT"/>
        </w:rPr>
        <w:t xml:space="preserve"> </w:t>
      </w:r>
      <w:r w:rsidR="00646133">
        <w:rPr>
          <w:rFonts w:ascii="Times New Roman" w:eastAsia="Times New Roman" w:hAnsi="Times New Roman" w:cs="Times New Roman"/>
          <w:sz w:val="24"/>
          <w:szCs w:val="24"/>
          <w:lang w:eastAsia="it-IT"/>
        </w:rPr>
        <w:t>principalmente al C</w:t>
      </w:r>
      <w:r>
        <w:rPr>
          <w:rFonts w:ascii="Times New Roman" w:eastAsia="Times New Roman" w:hAnsi="Times New Roman" w:cs="Times New Roman"/>
          <w:sz w:val="24"/>
          <w:szCs w:val="24"/>
          <w:lang w:eastAsia="it-IT"/>
        </w:rPr>
        <w:t>entro di responsabilità “Protezione civile”</w:t>
      </w:r>
      <w:r w:rsidR="00322660">
        <w:rPr>
          <w:rFonts w:ascii="Times New Roman" w:eastAsia="Times New Roman" w:hAnsi="Times New Roman" w:cs="Times New Roman"/>
          <w:sz w:val="24"/>
          <w:szCs w:val="24"/>
          <w:lang w:eastAsia="it-IT"/>
        </w:rPr>
        <w:t>,</w:t>
      </w:r>
      <w:r w:rsidR="006F2D1F">
        <w:rPr>
          <w:rFonts w:ascii="Times New Roman" w:eastAsia="Times New Roman" w:hAnsi="Times New Roman" w:cs="Times New Roman"/>
          <w:sz w:val="24"/>
          <w:szCs w:val="24"/>
          <w:lang w:eastAsia="it-IT"/>
        </w:rPr>
        <w:t xml:space="preserve"> </w:t>
      </w:r>
      <w:r w:rsidR="00322660">
        <w:rPr>
          <w:rFonts w:ascii="Times New Roman" w:eastAsia="Times New Roman" w:hAnsi="Times New Roman" w:cs="Times New Roman"/>
          <w:sz w:val="24"/>
          <w:szCs w:val="24"/>
          <w:lang w:eastAsia="it-IT"/>
        </w:rPr>
        <w:t xml:space="preserve">in quanto </w:t>
      </w:r>
      <w:r w:rsidR="006F2D1F">
        <w:rPr>
          <w:rFonts w:ascii="Times New Roman" w:eastAsia="Times New Roman" w:hAnsi="Times New Roman" w:cs="Times New Roman"/>
          <w:sz w:val="24"/>
          <w:szCs w:val="24"/>
          <w:lang w:eastAsia="it-IT"/>
        </w:rPr>
        <w:t>nel 2021</w:t>
      </w:r>
      <w:r w:rsidR="00322660">
        <w:rPr>
          <w:rFonts w:ascii="Times New Roman" w:eastAsia="Times New Roman" w:hAnsi="Times New Roman" w:cs="Times New Roman"/>
          <w:sz w:val="24"/>
          <w:szCs w:val="24"/>
          <w:lang w:eastAsia="it-IT"/>
        </w:rPr>
        <w:t xml:space="preserve"> sono stati effettuati importanti interventi per l’emergenza pandemica non risultati necessari nel 2022.</w:t>
      </w:r>
    </w:p>
    <w:p w14:paraId="65F0E584" w14:textId="0A12ADBF" w:rsidR="00083F7B" w:rsidRDefault="00083F7B" w:rsidP="00083F7B">
      <w:pPr>
        <w:spacing w:after="0" w:line="360" w:lineRule="auto"/>
        <w:jc w:val="both"/>
        <w:outlineLvl w:val="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Risultano</w:t>
      </w:r>
      <w:r w:rsidR="006033B6">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invece</w:t>
      </w:r>
      <w:r w:rsidR="006033B6">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in aumento gli impegni dei </w:t>
      </w:r>
      <w:r w:rsidR="00B57B76">
        <w:rPr>
          <w:rFonts w:ascii="Times New Roman" w:eastAsia="Times New Roman" w:hAnsi="Times New Roman" w:cs="Times New Roman"/>
          <w:sz w:val="24"/>
          <w:szCs w:val="24"/>
          <w:lang w:eastAsia="it-IT"/>
        </w:rPr>
        <w:t>C</w:t>
      </w:r>
      <w:r>
        <w:rPr>
          <w:rFonts w:ascii="Times New Roman" w:eastAsia="Times New Roman" w:hAnsi="Times New Roman" w:cs="Times New Roman"/>
          <w:sz w:val="24"/>
          <w:szCs w:val="24"/>
          <w:lang w:eastAsia="it-IT"/>
        </w:rPr>
        <w:t xml:space="preserve">entri di </w:t>
      </w:r>
      <w:r w:rsidR="0053032C">
        <w:rPr>
          <w:rFonts w:ascii="Times New Roman" w:eastAsia="Times New Roman" w:hAnsi="Times New Roman" w:cs="Times New Roman"/>
          <w:sz w:val="24"/>
          <w:szCs w:val="24"/>
          <w:lang w:eastAsia="it-IT"/>
        </w:rPr>
        <w:t>r</w:t>
      </w:r>
      <w:r>
        <w:rPr>
          <w:rFonts w:ascii="Times New Roman" w:eastAsia="Times New Roman" w:hAnsi="Times New Roman" w:cs="Times New Roman"/>
          <w:sz w:val="24"/>
          <w:szCs w:val="24"/>
          <w:lang w:eastAsia="it-IT"/>
        </w:rPr>
        <w:t>esponsabilità “Segretariato generale”, “Sport”, “Innovazione tecnologica e trasformazione digitale” e “Politiche di coesione”.</w:t>
      </w:r>
    </w:p>
    <w:p w14:paraId="65A1E1B3" w14:textId="1C9007C8" w:rsidR="00083F7B" w:rsidRDefault="00083F7B" w:rsidP="00083F7B">
      <w:pPr>
        <w:spacing w:after="0" w:line="360" w:lineRule="auto"/>
        <w:jc w:val="both"/>
        <w:rPr>
          <w:rFonts w:ascii="Times New Roman" w:eastAsia="Times New Roman" w:hAnsi="Times New Roman" w:cs="Times New Roman"/>
          <w:sz w:val="24"/>
          <w:szCs w:val="24"/>
          <w:lang w:eastAsia="it-IT"/>
        </w:rPr>
      </w:pPr>
      <w:r w:rsidRPr="00CE2FFF">
        <w:rPr>
          <w:rFonts w:ascii="Times New Roman" w:eastAsia="Times New Roman" w:hAnsi="Times New Roman" w:cs="Times New Roman"/>
          <w:sz w:val="24"/>
          <w:szCs w:val="24"/>
          <w:lang w:eastAsia="it-IT"/>
        </w:rPr>
        <w:t>L</w:t>
      </w:r>
      <w:r w:rsidR="00877AAF">
        <w:rPr>
          <w:rFonts w:ascii="Times New Roman" w:eastAsia="Times New Roman" w:hAnsi="Times New Roman" w:cs="Times New Roman"/>
          <w:sz w:val="24"/>
          <w:szCs w:val="24"/>
          <w:lang w:eastAsia="it-IT"/>
        </w:rPr>
        <w:t>’</w:t>
      </w:r>
      <w:r w:rsidRPr="00CE2FFF">
        <w:rPr>
          <w:rFonts w:ascii="Times New Roman" w:eastAsia="Times New Roman" w:hAnsi="Times New Roman" w:cs="Times New Roman"/>
          <w:sz w:val="24"/>
          <w:szCs w:val="24"/>
          <w:lang w:eastAsia="it-IT"/>
        </w:rPr>
        <w:t xml:space="preserve">impegnato per </w:t>
      </w:r>
      <w:r>
        <w:rPr>
          <w:rFonts w:ascii="Times New Roman" w:eastAsia="Times New Roman" w:hAnsi="Times New Roman" w:cs="Times New Roman"/>
          <w:sz w:val="24"/>
          <w:szCs w:val="24"/>
          <w:lang w:eastAsia="it-IT"/>
        </w:rPr>
        <w:t>investimenti,</w:t>
      </w:r>
      <w:r w:rsidRPr="00CE2FFF">
        <w:rPr>
          <w:rFonts w:ascii="Times New Roman" w:eastAsia="Times New Roman" w:hAnsi="Times New Roman" w:cs="Times New Roman"/>
          <w:sz w:val="24"/>
          <w:szCs w:val="24"/>
          <w:lang w:eastAsia="it-IT"/>
        </w:rPr>
        <w:t xml:space="preserve"> nel 202</w:t>
      </w:r>
      <w:r>
        <w:rPr>
          <w:rFonts w:ascii="Times New Roman" w:eastAsia="Times New Roman" w:hAnsi="Times New Roman" w:cs="Times New Roman"/>
          <w:sz w:val="24"/>
          <w:szCs w:val="24"/>
          <w:lang w:eastAsia="it-IT"/>
        </w:rPr>
        <w:t>2,</w:t>
      </w:r>
      <w:r w:rsidRPr="00CE2FFF">
        <w:rPr>
          <w:rFonts w:ascii="Times New Roman" w:eastAsia="Times New Roman" w:hAnsi="Times New Roman" w:cs="Times New Roman"/>
          <w:sz w:val="24"/>
          <w:szCs w:val="24"/>
          <w:lang w:eastAsia="it-IT"/>
        </w:rPr>
        <w:t xml:space="preserve"> ha raggiunto il </w:t>
      </w:r>
      <w:r>
        <w:rPr>
          <w:rFonts w:ascii="Times New Roman" w:eastAsia="Times New Roman" w:hAnsi="Times New Roman" w:cs="Times New Roman"/>
          <w:sz w:val="24"/>
          <w:szCs w:val="24"/>
          <w:lang w:eastAsia="it-IT"/>
        </w:rPr>
        <w:t>52,71 per cento</w:t>
      </w:r>
      <w:r w:rsidRPr="00CE2FFF">
        <w:rPr>
          <w:rFonts w:ascii="Times New Roman" w:eastAsia="Times New Roman" w:hAnsi="Times New Roman" w:cs="Times New Roman"/>
          <w:sz w:val="24"/>
          <w:szCs w:val="24"/>
          <w:lang w:eastAsia="it-IT"/>
        </w:rPr>
        <w:t xml:space="preserve"> delle somme complessivamente impegnate dalla Presidenza del Consiglio</w:t>
      </w:r>
      <w:r w:rsidR="00984F02">
        <w:rPr>
          <w:rFonts w:ascii="Times New Roman" w:eastAsia="Times New Roman" w:hAnsi="Times New Roman" w:cs="Times New Roman"/>
          <w:sz w:val="24"/>
          <w:szCs w:val="24"/>
          <w:lang w:eastAsia="it-IT"/>
        </w:rPr>
        <w:t xml:space="preserve"> dei ministri</w:t>
      </w:r>
      <w:r w:rsidRPr="00CE2FFF">
        <w:rPr>
          <w:rFonts w:ascii="Times New Roman" w:eastAsia="Times New Roman" w:hAnsi="Times New Roman" w:cs="Times New Roman"/>
          <w:sz w:val="24"/>
          <w:szCs w:val="24"/>
          <w:lang w:eastAsia="it-IT"/>
        </w:rPr>
        <w:t xml:space="preserve"> (cfr. </w:t>
      </w:r>
      <w:proofErr w:type="spellStart"/>
      <w:r>
        <w:rPr>
          <w:rFonts w:ascii="Times New Roman" w:eastAsia="Times New Roman" w:hAnsi="Times New Roman" w:cs="Times New Roman"/>
          <w:sz w:val="24"/>
          <w:szCs w:val="24"/>
          <w:lang w:eastAsia="it-IT"/>
        </w:rPr>
        <w:t>T</w:t>
      </w:r>
      <w:r w:rsidRPr="00CE2FFF">
        <w:rPr>
          <w:rFonts w:ascii="Times New Roman" w:eastAsia="Times New Roman" w:hAnsi="Times New Roman" w:cs="Times New Roman"/>
          <w:sz w:val="24"/>
          <w:szCs w:val="24"/>
          <w:lang w:eastAsia="it-IT"/>
        </w:rPr>
        <w:t>ab</w:t>
      </w:r>
      <w:proofErr w:type="spellEnd"/>
      <w:r w:rsidRPr="00CE2FFF">
        <w:rPr>
          <w:rFonts w:ascii="Times New Roman" w:eastAsia="Times New Roman" w:hAnsi="Times New Roman" w:cs="Times New Roman"/>
          <w:sz w:val="24"/>
          <w:szCs w:val="24"/>
          <w:lang w:eastAsia="it-IT"/>
        </w:rPr>
        <w:t>. 9)</w:t>
      </w:r>
      <w:r>
        <w:rPr>
          <w:rFonts w:ascii="Times New Roman" w:eastAsia="Times New Roman" w:hAnsi="Times New Roman" w:cs="Times New Roman"/>
          <w:sz w:val="24"/>
          <w:szCs w:val="24"/>
          <w:lang w:eastAsia="it-IT"/>
        </w:rPr>
        <w:t>.</w:t>
      </w:r>
    </w:p>
    <w:p w14:paraId="0E5C8DAF" w14:textId="7A9B10B6" w:rsidR="00083F7B" w:rsidRDefault="00083F7B" w:rsidP="00083F7B">
      <w:pPr>
        <w:spacing w:after="0" w:line="360" w:lineRule="auto"/>
        <w:jc w:val="both"/>
        <w:rPr>
          <w:rFonts w:ascii="Times New Roman" w:eastAsia="Times New Roman" w:hAnsi="Times New Roman" w:cs="Times New Roman"/>
          <w:sz w:val="24"/>
          <w:szCs w:val="24"/>
          <w:lang w:eastAsia="it-IT"/>
        </w:rPr>
      </w:pPr>
      <w:r>
        <w:rPr>
          <w:rFonts w:ascii="Times New Roman" w:hAnsi="Times New Roman" w:cs="Times New Roman"/>
          <w:sz w:val="24"/>
          <w:szCs w:val="24"/>
        </w:rPr>
        <w:t xml:space="preserve">Nella </w:t>
      </w:r>
      <w:r>
        <w:rPr>
          <w:rFonts w:ascii="Times New Roman" w:eastAsia="Times New Roman" w:hAnsi="Times New Roman" w:cs="Times New Roman"/>
          <w:sz w:val="24"/>
          <w:szCs w:val="24"/>
          <w:lang w:eastAsia="it-IT"/>
        </w:rPr>
        <w:t>Tabella 3</w:t>
      </w:r>
      <w:r w:rsidR="006F2D1F">
        <w:rPr>
          <w:rFonts w:ascii="Times New Roman" w:eastAsia="Times New Roman" w:hAnsi="Times New Roman" w:cs="Times New Roman"/>
          <w:sz w:val="24"/>
          <w:szCs w:val="24"/>
          <w:lang w:eastAsia="it-IT"/>
        </w:rPr>
        <w:t>2</w:t>
      </w:r>
      <w:r>
        <w:rPr>
          <w:rFonts w:ascii="Times New Roman" w:eastAsia="Times New Roman" w:hAnsi="Times New Roman" w:cs="Times New Roman"/>
          <w:sz w:val="24"/>
          <w:szCs w:val="24"/>
          <w:lang w:eastAsia="it-IT"/>
        </w:rPr>
        <w:t xml:space="preserve"> è illustrata la ripartizione delle somme impegnate per spese in conto capitale nel 2022 articolate per distinti centri di responsabilità, confrontate con quelle impegnate nel 2021.</w:t>
      </w:r>
    </w:p>
    <w:p w14:paraId="29DD1486" w14:textId="77777777" w:rsidR="00984F02" w:rsidRPr="00984F02" w:rsidRDefault="00984F02" w:rsidP="00083F7B">
      <w:pPr>
        <w:spacing w:after="0" w:line="360" w:lineRule="auto"/>
        <w:jc w:val="both"/>
        <w:rPr>
          <w:rFonts w:ascii="Times New Roman" w:eastAsia="Times New Roman" w:hAnsi="Times New Roman" w:cs="Times New Roman"/>
          <w:b/>
          <w:sz w:val="10"/>
          <w:szCs w:val="24"/>
          <w:lang w:eastAsia="it-IT"/>
        </w:rPr>
      </w:pPr>
    </w:p>
    <w:p w14:paraId="0EE7268A" w14:textId="22C33020" w:rsidR="00083F7B" w:rsidRPr="00860D36" w:rsidRDefault="00083F7B" w:rsidP="00083F7B">
      <w:pPr>
        <w:spacing w:after="0" w:line="240" w:lineRule="auto"/>
        <w:jc w:val="center"/>
        <w:rPr>
          <w:rFonts w:ascii="Times New Roman" w:eastAsia="Times New Roman" w:hAnsi="Times New Roman" w:cs="Times New Roman"/>
          <w:b/>
          <w:sz w:val="24"/>
          <w:szCs w:val="24"/>
          <w:lang w:eastAsia="it-IT"/>
        </w:rPr>
      </w:pPr>
      <w:proofErr w:type="spellStart"/>
      <w:r w:rsidRPr="00860D36">
        <w:rPr>
          <w:rFonts w:ascii="Times New Roman" w:eastAsia="Times New Roman" w:hAnsi="Times New Roman" w:cs="Times New Roman"/>
          <w:b/>
          <w:sz w:val="24"/>
          <w:szCs w:val="24"/>
          <w:lang w:eastAsia="it-IT"/>
        </w:rPr>
        <w:t>Tab</w:t>
      </w:r>
      <w:proofErr w:type="spellEnd"/>
      <w:r w:rsidRPr="00860D36">
        <w:rPr>
          <w:rFonts w:ascii="Times New Roman" w:eastAsia="Times New Roman" w:hAnsi="Times New Roman" w:cs="Times New Roman"/>
          <w:b/>
          <w:sz w:val="24"/>
          <w:szCs w:val="24"/>
          <w:lang w:eastAsia="it-IT"/>
        </w:rPr>
        <w:t>. 3</w:t>
      </w:r>
      <w:r w:rsidR="006F2D1F">
        <w:rPr>
          <w:rFonts w:ascii="Times New Roman" w:eastAsia="Times New Roman" w:hAnsi="Times New Roman" w:cs="Times New Roman"/>
          <w:b/>
          <w:sz w:val="24"/>
          <w:szCs w:val="24"/>
          <w:lang w:eastAsia="it-IT"/>
        </w:rPr>
        <w:t>2</w:t>
      </w:r>
      <w:r w:rsidRPr="00860D36">
        <w:rPr>
          <w:rFonts w:ascii="Times New Roman" w:eastAsia="Times New Roman" w:hAnsi="Times New Roman" w:cs="Times New Roman"/>
          <w:b/>
          <w:sz w:val="24"/>
          <w:szCs w:val="24"/>
          <w:lang w:eastAsia="it-IT"/>
        </w:rPr>
        <w:t xml:space="preserve"> – Ripartizione impegnato per spese in conto capitale</w:t>
      </w:r>
    </w:p>
    <w:p w14:paraId="03E0A29F" w14:textId="580CC1B8" w:rsidR="00984F02" w:rsidRDefault="00083F7B" w:rsidP="00083F7B">
      <w:pPr>
        <w:spacing w:after="0" w:line="240" w:lineRule="auto"/>
        <w:jc w:val="center"/>
        <w:rPr>
          <w:rFonts w:ascii="Times New Roman" w:eastAsia="Times New Roman" w:hAnsi="Times New Roman" w:cs="Times New Roman"/>
          <w:b/>
          <w:sz w:val="24"/>
          <w:szCs w:val="24"/>
          <w:lang w:eastAsia="it-IT"/>
        </w:rPr>
      </w:pPr>
      <w:r w:rsidRPr="00860D36">
        <w:rPr>
          <w:rFonts w:ascii="Times New Roman" w:eastAsia="Times New Roman" w:hAnsi="Times New Roman" w:cs="Times New Roman"/>
          <w:b/>
          <w:sz w:val="24"/>
          <w:szCs w:val="24"/>
          <w:lang w:eastAsia="it-IT"/>
        </w:rPr>
        <w:t xml:space="preserve"> per centri di responsabilità</w:t>
      </w:r>
    </w:p>
    <w:p w14:paraId="7C709DFC" w14:textId="2ABDA175" w:rsidR="003A49C1" w:rsidRDefault="003A49C1" w:rsidP="00083F7B">
      <w:pPr>
        <w:spacing w:after="0" w:line="240" w:lineRule="auto"/>
        <w:jc w:val="center"/>
        <w:rPr>
          <w:rFonts w:ascii="Times New Roman" w:eastAsia="Times New Roman" w:hAnsi="Times New Roman" w:cs="Times New Roman"/>
          <w:b/>
          <w:sz w:val="24"/>
          <w:szCs w:val="24"/>
          <w:lang w:eastAsia="it-IT"/>
        </w:rPr>
      </w:pPr>
    </w:p>
    <w:p w14:paraId="47E7CE56" w14:textId="18FC4DB1" w:rsidR="003A49C1" w:rsidRDefault="004F6B6E" w:rsidP="00083F7B">
      <w:pPr>
        <w:spacing w:after="0" w:line="240" w:lineRule="auto"/>
        <w:jc w:val="center"/>
        <w:rPr>
          <w:rFonts w:ascii="Times New Roman" w:eastAsia="Times New Roman" w:hAnsi="Times New Roman" w:cs="Times New Roman"/>
          <w:b/>
          <w:sz w:val="24"/>
          <w:szCs w:val="24"/>
          <w:lang w:eastAsia="it-IT"/>
        </w:rPr>
      </w:pPr>
      <w:r w:rsidRPr="004F6B6E">
        <w:rPr>
          <w:noProof/>
          <w:lang w:eastAsia="it-IT"/>
        </w:rPr>
        <w:drawing>
          <wp:inline distT="0" distB="0" distL="0" distR="0" wp14:anchorId="3BC43686" wp14:editId="6A84E422">
            <wp:extent cx="4334171" cy="2391507"/>
            <wp:effectExtent l="0" t="0" r="9525" b="889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2604" cy="2407196"/>
                    </a:xfrm>
                    <a:prstGeom prst="rect">
                      <a:avLst/>
                    </a:prstGeom>
                    <a:noFill/>
                    <a:ln>
                      <a:noFill/>
                    </a:ln>
                  </pic:spPr>
                </pic:pic>
              </a:graphicData>
            </a:graphic>
          </wp:inline>
        </w:drawing>
      </w:r>
    </w:p>
    <w:p w14:paraId="76296AE4" w14:textId="77777777" w:rsidR="00775842" w:rsidRDefault="00775842" w:rsidP="00083F7B">
      <w:pPr>
        <w:spacing w:after="0" w:line="240" w:lineRule="auto"/>
        <w:jc w:val="center"/>
        <w:rPr>
          <w:rFonts w:ascii="Times New Roman" w:eastAsia="Times New Roman" w:hAnsi="Times New Roman" w:cs="Times New Roman"/>
          <w:b/>
          <w:sz w:val="24"/>
          <w:szCs w:val="24"/>
          <w:lang w:eastAsia="it-IT"/>
        </w:rPr>
      </w:pPr>
    </w:p>
    <w:p w14:paraId="4521D862" w14:textId="77777777" w:rsidR="00083F7B" w:rsidRDefault="00083F7B" w:rsidP="00083F7B">
      <w:pPr>
        <w:spacing w:after="0" w:line="360" w:lineRule="auto"/>
        <w:jc w:val="center"/>
        <w:rPr>
          <w:rFonts w:ascii="Times New Roman" w:eastAsia="Times New Roman" w:hAnsi="Times New Roman" w:cs="Times New Roman"/>
          <w:b/>
          <w:sz w:val="24"/>
          <w:szCs w:val="24"/>
          <w:lang w:eastAsia="it-IT"/>
        </w:rPr>
      </w:pPr>
      <w:r>
        <w:rPr>
          <w:rFonts w:ascii="Times New Roman" w:eastAsia="Times New Roman" w:hAnsi="Times New Roman" w:cs="Times New Roman"/>
          <w:b/>
          <w:noProof/>
          <w:sz w:val="24"/>
          <w:szCs w:val="24"/>
          <w:lang w:eastAsia="it-IT"/>
        </w:rPr>
        <w:drawing>
          <wp:inline distT="0" distB="0" distL="0" distR="0" wp14:anchorId="6F0AC2AA" wp14:editId="0ADAF683">
            <wp:extent cx="3626317" cy="2385029"/>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7982" cy="2405855"/>
                    </a:xfrm>
                    <a:prstGeom prst="rect">
                      <a:avLst/>
                    </a:prstGeom>
                    <a:noFill/>
                  </pic:spPr>
                </pic:pic>
              </a:graphicData>
            </a:graphic>
          </wp:inline>
        </w:drawing>
      </w:r>
    </w:p>
    <w:p w14:paraId="3E76FE72" w14:textId="77777777" w:rsidR="00083F7B" w:rsidRDefault="00083F7B" w:rsidP="00083F7B">
      <w:pPr>
        <w:spacing w:after="0" w:line="360" w:lineRule="auto"/>
        <w:jc w:val="center"/>
        <w:rPr>
          <w:rFonts w:ascii="Times New Roman" w:eastAsia="Times New Roman" w:hAnsi="Times New Roman" w:cs="Times New Roman"/>
          <w:b/>
          <w:sz w:val="24"/>
          <w:szCs w:val="24"/>
          <w:lang w:eastAsia="it-IT"/>
        </w:rPr>
      </w:pPr>
    </w:p>
    <w:p w14:paraId="760C22E5" w14:textId="77777777" w:rsidR="00083F7B" w:rsidRDefault="00083F7B" w:rsidP="00083F7B">
      <w:pPr>
        <w:spacing w:after="0" w:line="360" w:lineRule="auto"/>
        <w:jc w:val="center"/>
        <w:rPr>
          <w:rFonts w:ascii="Times New Roman" w:eastAsia="Times New Roman" w:hAnsi="Times New Roman" w:cs="Times New Roman"/>
          <w:b/>
          <w:sz w:val="14"/>
          <w:szCs w:val="24"/>
          <w:lang w:eastAsia="it-IT"/>
        </w:rPr>
      </w:pPr>
      <w:r>
        <w:rPr>
          <w:rFonts w:ascii="Times New Roman" w:eastAsia="Times New Roman" w:hAnsi="Times New Roman" w:cs="Times New Roman"/>
          <w:b/>
          <w:sz w:val="24"/>
          <w:szCs w:val="24"/>
          <w:lang w:eastAsia="it-IT"/>
        </w:rPr>
        <w:t xml:space="preserve"> </w:t>
      </w:r>
    </w:p>
    <w:p w14:paraId="4AA38FF8" w14:textId="398E9DE2" w:rsidR="00083F7B" w:rsidRDefault="00083F7B" w:rsidP="00083F7B">
      <w:pPr>
        <w:spacing w:after="0" w:line="36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Dall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analisi dei dati emerge che la maggioranza delle somme impegnate in conto capitale nel 2022 è della “Protezione civile”, che impegna il 57,94 per cento del totale di tale tipologia, e del Segretariato generale che impegna il 29,25 per cento.</w:t>
      </w:r>
    </w:p>
    <w:p w14:paraId="76922C0F" w14:textId="1051F84F" w:rsidR="00083F7B" w:rsidRDefault="00083F7B" w:rsidP="00AE31D0">
      <w:pPr>
        <w:spacing w:after="0" w:line="360" w:lineRule="auto"/>
        <w:jc w:val="both"/>
        <w:rPr>
          <w:rFonts w:ascii="Times New Roman" w:eastAsia="Times New Roman" w:hAnsi="Times New Roman" w:cs="Times New Roman"/>
          <w:b/>
          <w:sz w:val="14"/>
          <w:szCs w:val="24"/>
          <w:lang w:eastAsia="it-IT"/>
        </w:rPr>
      </w:pPr>
      <w:r>
        <w:rPr>
          <w:rFonts w:ascii="Times New Roman" w:eastAsia="Times New Roman" w:hAnsi="Times New Roman" w:cs="Times New Roman"/>
          <w:sz w:val="24"/>
          <w:szCs w:val="24"/>
          <w:lang w:eastAsia="it-IT"/>
        </w:rPr>
        <w:t>Il dettaglio dell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impegnato in conto capitale riferito a ciascun centro è contenuto nella sezione seconda, nella parte dedicata all</w:t>
      </w:r>
      <w:r w:rsidR="00877AAF">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analisi specifica di ciascun centro di responsabilità.</w:t>
      </w:r>
    </w:p>
    <w:p w14:paraId="60B13C40" w14:textId="40DC92B2" w:rsidR="00A219ED" w:rsidRDefault="00A219ED" w:rsidP="00083F7B">
      <w:pPr>
        <w:spacing w:after="0" w:line="360" w:lineRule="auto"/>
        <w:jc w:val="both"/>
      </w:pPr>
    </w:p>
    <w:p w14:paraId="68F4808B" w14:textId="06F43216" w:rsidR="00F56356" w:rsidRDefault="00F56356" w:rsidP="00083F7B">
      <w:pPr>
        <w:spacing w:after="0" w:line="360" w:lineRule="auto"/>
        <w:jc w:val="both"/>
      </w:pPr>
    </w:p>
    <w:p w14:paraId="61322472" w14:textId="5BAD1AEE" w:rsidR="00F56356" w:rsidRDefault="00F56356" w:rsidP="00083F7B">
      <w:pPr>
        <w:spacing w:after="0" w:line="360" w:lineRule="auto"/>
        <w:jc w:val="both"/>
      </w:pPr>
    </w:p>
    <w:p w14:paraId="1AEEFD6C" w14:textId="5D7CCD5B" w:rsidR="00F56356" w:rsidRDefault="00F56356" w:rsidP="00083F7B">
      <w:pPr>
        <w:spacing w:after="0" w:line="360" w:lineRule="auto"/>
        <w:jc w:val="both"/>
      </w:pPr>
    </w:p>
    <w:p w14:paraId="17DF13F2" w14:textId="640CF65D" w:rsidR="00F56356" w:rsidRDefault="00F56356" w:rsidP="00083F7B">
      <w:pPr>
        <w:spacing w:after="0" w:line="360" w:lineRule="auto"/>
        <w:jc w:val="both"/>
      </w:pPr>
    </w:p>
    <w:p w14:paraId="60544A9D" w14:textId="1CBF5A67" w:rsidR="00F56356" w:rsidRDefault="00F56356" w:rsidP="00083F7B">
      <w:pPr>
        <w:spacing w:after="0" w:line="360" w:lineRule="auto"/>
        <w:jc w:val="both"/>
      </w:pPr>
    </w:p>
    <w:p w14:paraId="73FBF470" w14:textId="23DD506B" w:rsidR="00F56356" w:rsidRDefault="00F56356" w:rsidP="00083F7B">
      <w:pPr>
        <w:spacing w:after="0" w:line="360" w:lineRule="auto"/>
        <w:jc w:val="both"/>
      </w:pPr>
    </w:p>
    <w:p w14:paraId="7C62E9B7" w14:textId="79AD114E" w:rsidR="00F56356" w:rsidRDefault="00F56356" w:rsidP="00083F7B">
      <w:pPr>
        <w:spacing w:after="0" w:line="360" w:lineRule="auto"/>
        <w:jc w:val="both"/>
      </w:pPr>
    </w:p>
    <w:p w14:paraId="7F7DD90A" w14:textId="19FC50A4" w:rsidR="00F56356" w:rsidRDefault="00F56356" w:rsidP="00083F7B">
      <w:pPr>
        <w:spacing w:after="0" w:line="360" w:lineRule="auto"/>
        <w:jc w:val="both"/>
      </w:pPr>
    </w:p>
    <w:p w14:paraId="7FAE6EBA" w14:textId="61DADCE4" w:rsidR="00F56356" w:rsidRDefault="00F56356" w:rsidP="00083F7B">
      <w:pPr>
        <w:spacing w:after="0" w:line="360" w:lineRule="auto"/>
        <w:jc w:val="both"/>
      </w:pPr>
    </w:p>
    <w:p w14:paraId="2458F278" w14:textId="035A9EB1" w:rsidR="00F56356" w:rsidRDefault="00F56356" w:rsidP="00083F7B">
      <w:pPr>
        <w:spacing w:after="0" w:line="360" w:lineRule="auto"/>
        <w:jc w:val="both"/>
      </w:pPr>
    </w:p>
    <w:p w14:paraId="4686AF83" w14:textId="38080BCF" w:rsidR="00F56356" w:rsidRDefault="00F56356" w:rsidP="00083F7B">
      <w:pPr>
        <w:spacing w:after="0" w:line="360" w:lineRule="auto"/>
        <w:jc w:val="both"/>
      </w:pPr>
    </w:p>
    <w:p w14:paraId="27B9C829" w14:textId="1D409D12" w:rsidR="00F56356" w:rsidRDefault="00F56356" w:rsidP="00083F7B">
      <w:pPr>
        <w:spacing w:after="0" w:line="360" w:lineRule="auto"/>
        <w:jc w:val="both"/>
      </w:pPr>
    </w:p>
    <w:p w14:paraId="52D67CA7" w14:textId="0978E697" w:rsidR="00F56356" w:rsidRDefault="00F56356" w:rsidP="00083F7B">
      <w:pPr>
        <w:spacing w:after="0" w:line="360" w:lineRule="auto"/>
        <w:jc w:val="both"/>
      </w:pPr>
    </w:p>
    <w:p w14:paraId="7E32F31D" w14:textId="03A58B96" w:rsidR="00F56356" w:rsidRDefault="00F56356" w:rsidP="00083F7B">
      <w:pPr>
        <w:spacing w:after="0" w:line="360" w:lineRule="auto"/>
        <w:jc w:val="both"/>
      </w:pPr>
    </w:p>
    <w:p w14:paraId="00E8AA46" w14:textId="78D8FC6B" w:rsidR="00F56356" w:rsidRDefault="00F56356" w:rsidP="00083F7B">
      <w:pPr>
        <w:spacing w:after="0" w:line="360" w:lineRule="auto"/>
        <w:jc w:val="both"/>
      </w:pPr>
    </w:p>
    <w:p w14:paraId="37588F88" w14:textId="5B8720C2" w:rsidR="00F56356" w:rsidRDefault="00F56356" w:rsidP="00083F7B">
      <w:pPr>
        <w:spacing w:after="0" w:line="360" w:lineRule="auto"/>
        <w:jc w:val="both"/>
      </w:pPr>
    </w:p>
    <w:p w14:paraId="6A008FD6" w14:textId="329AEB05" w:rsidR="00F56356" w:rsidRDefault="00F56356" w:rsidP="00083F7B">
      <w:pPr>
        <w:spacing w:after="0" w:line="360" w:lineRule="auto"/>
        <w:jc w:val="both"/>
      </w:pPr>
    </w:p>
    <w:p w14:paraId="7C36F654" w14:textId="6394FAB6" w:rsidR="00F56356" w:rsidRDefault="00F56356" w:rsidP="00083F7B">
      <w:pPr>
        <w:spacing w:after="0" w:line="360" w:lineRule="auto"/>
        <w:jc w:val="both"/>
      </w:pPr>
    </w:p>
    <w:p w14:paraId="6562FE3E" w14:textId="21C08078" w:rsidR="00F56356" w:rsidRDefault="00F56356" w:rsidP="00083F7B">
      <w:pPr>
        <w:spacing w:after="0" w:line="360" w:lineRule="auto"/>
        <w:jc w:val="both"/>
      </w:pPr>
    </w:p>
    <w:p w14:paraId="710D3D4E" w14:textId="23F5BEA4" w:rsidR="00F56356" w:rsidRDefault="00F56356" w:rsidP="00083F7B">
      <w:pPr>
        <w:spacing w:after="0" w:line="360" w:lineRule="auto"/>
        <w:jc w:val="both"/>
      </w:pPr>
    </w:p>
    <w:p w14:paraId="259F633C" w14:textId="6EAEBD7A" w:rsidR="00F56356" w:rsidRDefault="00F56356" w:rsidP="00083F7B">
      <w:pPr>
        <w:spacing w:after="0" w:line="360" w:lineRule="auto"/>
        <w:jc w:val="both"/>
      </w:pPr>
    </w:p>
    <w:p w14:paraId="40A7D281" w14:textId="014368F9" w:rsidR="00F56356" w:rsidRDefault="00F56356" w:rsidP="00083F7B">
      <w:pPr>
        <w:spacing w:after="0" w:line="360" w:lineRule="auto"/>
        <w:jc w:val="both"/>
      </w:pPr>
    </w:p>
    <w:p w14:paraId="121EBE39" w14:textId="4074592A" w:rsidR="00F56356" w:rsidRDefault="00F56356" w:rsidP="00083F7B">
      <w:pPr>
        <w:spacing w:after="0" w:line="360" w:lineRule="auto"/>
        <w:jc w:val="both"/>
      </w:pPr>
    </w:p>
    <w:p w14:paraId="4A8D7809" w14:textId="3042D646" w:rsidR="00F56356" w:rsidRDefault="00F56356" w:rsidP="00083F7B">
      <w:pPr>
        <w:spacing w:after="0" w:line="360" w:lineRule="auto"/>
        <w:jc w:val="both"/>
      </w:pPr>
    </w:p>
    <w:p w14:paraId="0F230F94" w14:textId="4F195391" w:rsidR="00F56356" w:rsidRDefault="00F56356" w:rsidP="00083F7B">
      <w:pPr>
        <w:spacing w:after="0" w:line="360" w:lineRule="auto"/>
        <w:jc w:val="both"/>
      </w:pPr>
    </w:p>
    <w:p w14:paraId="19A7C15D" w14:textId="53B1BE89" w:rsidR="00F56356" w:rsidRDefault="00F56356" w:rsidP="00083F7B">
      <w:pPr>
        <w:spacing w:after="0" w:line="360" w:lineRule="auto"/>
        <w:jc w:val="both"/>
      </w:pPr>
    </w:p>
    <w:p w14:paraId="64E77EFC" w14:textId="1FFF74FF" w:rsidR="00F56356" w:rsidRDefault="00F56356" w:rsidP="00083F7B">
      <w:pPr>
        <w:spacing w:after="0" w:line="360" w:lineRule="auto"/>
        <w:jc w:val="both"/>
      </w:pPr>
    </w:p>
    <w:p w14:paraId="2638203F" w14:textId="5239E0E9" w:rsidR="00F56356" w:rsidRDefault="00F56356" w:rsidP="00083F7B">
      <w:pPr>
        <w:spacing w:after="0" w:line="360" w:lineRule="auto"/>
        <w:jc w:val="both"/>
      </w:pPr>
    </w:p>
    <w:p w14:paraId="2E5BF07C"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7264E924"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5066A78C"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7D6C379A"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3AE0094E"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70AC5002"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420A7D49"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570C38E9"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3A955ACB"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4F789F88"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7CBFBD7D"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30C0BE81"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0EFD74F5"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441EF793"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483FAC43"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67002459"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2FCB369A"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21368DB2"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62C94F7B"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3FE857CB"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03EBF5BD" w14:textId="77777777"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322F0220" w14:textId="0E3F04BE" w:rsid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r w:rsidRPr="00F56356">
        <w:rPr>
          <w:rFonts w:ascii="Times New Roman" w:hAnsi="Times New Roman" w:cs="Times New Roman"/>
          <w:color w:val="000000"/>
          <w:sz w:val="23"/>
          <w:szCs w:val="23"/>
        </w:rPr>
        <w:t xml:space="preserve">SEZIONE </w:t>
      </w:r>
      <w:r>
        <w:rPr>
          <w:rFonts w:ascii="Times New Roman" w:hAnsi="Times New Roman" w:cs="Times New Roman"/>
          <w:color w:val="000000"/>
          <w:sz w:val="23"/>
          <w:szCs w:val="23"/>
        </w:rPr>
        <w:t>I</w:t>
      </w:r>
      <w:r w:rsidRPr="00F56356">
        <w:rPr>
          <w:rFonts w:ascii="Times New Roman" w:hAnsi="Times New Roman" w:cs="Times New Roman"/>
          <w:color w:val="000000"/>
          <w:sz w:val="23"/>
          <w:szCs w:val="23"/>
        </w:rPr>
        <w:t>I</w:t>
      </w:r>
    </w:p>
    <w:p w14:paraId="5071537A" w14:textId="77777777" w:rsidR="00F56356" w:rsidRP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p>
    <w:p w14:paraId="38EA2497" w14:textId="77777777" w:rsidR="00F56356" w:rsidRDefault="00F56356" w:rsidP="00F56356">
      <w:pPr>
        <w:pStyle w:val="Default"/>
      </w:pPr>
    </w:p>
    <w:p w14:paraId="11762430" w14:textId="236E95E4" w:rsidR="00F56356" w:rsidRPr="00F56356" w:rsidRDefault="00F56356" w:rsidP="00F56356">
      <w:pPr>
        <w:autoSpaceDE w:val="0"/>
        <w:autoSpaceDN w:val="0"/>
        <w:adjustRightInd w:val="0"/>
        <w:spacing w:after="0" w:line="240" w:lineRule="auto"/>
        <w:jc w:val="center"/>
        <w:rPr>
          <w:rFonts w:ascii="Times New Roman" w:hAnsi="Times New Roman" w:cs="Times New Roman"/>
          <w:color w:val="000000"/>
          <w:sz w:val="23"/>
          <w:szCs w:val="23"/>
        </w:rPr>
      </w:pPr>
      <w:r w:rsidRPr="00F56356">
        <w:rPr>
          <w:rFonts w:ascii="Times New Roman" w:hAnsi="Times New Roman" w:cs="Times New Roman"/>
          <w:color w:val="000000"/>
          <w:sz w:val="23"/>
          <w:szCs w:val="23"/>
        </w:rPr>
        <w:t>CENTRI DI RESPONSABILITA’ - MISSIONI E PROGRAMMI</w:t>
      </w:r>
    </w:p>
    <w:p w14:paraId="2FF116AC" w14:textId="4EFF9149" w:rsidR="00F56356" w:rsidRDefault="00F56356" w:rsidP="00083F7B">
      <w:pPr>
        <w:spacing w:after="0" w:line="360" w:lineRule="auto"/>
        <w:jc w:val="both"/>
      </w:pPr>
    </w:p>
    <w:p w14:paraId="3D757E54" w14:textId="39925397" w:rsidR="00F56356" w:rsidRDefault="00F56356" w:rsidP="00083F7B">
      <w:pPr>
        <w:spacing w:after="0" w:line="360" w:lineRule="auto"/>
        <w:jc w:val="both"/>
      </w:pPr>
    </w:p>
    <w:p w14:paraId="3D9DA4EB" w14:textId="63CC95C6" w:rsidR="00F56356" w:rsidRDefault="00F56356" w:rsidP="00083F7B">
      <w:pPr>
        <w:spacing w:after="0" w:line="360" w:lineRule="auto"/>
        <w:jc w:val="both"/>
      </w:pPr>
    </w:p>
    <w:p w14:paraId="3A9AB4EE" w14:textId="5C1BECCB" w:rsidR="00F56356" w:rsidRDefault="00F56356" w:rsidP="00083F7B">
      <w:pPr>
        <w:spacing w:after="0" w:line="360" w:lineRule="auto"/>
        <w:jc w:val="both"/>
      </w:pPr>
    </w:p>
    <w:p w14:paraId="36581BE3" w14:textId="6D329BC5" w:rsidR="00F56356" w:rsidRDefault="00F56356" w:rsidP="00083F7B">
      <w:pPr>
        <w:spacing w:after="0" w:line="360" w:lineRule="auto"/>
        <w:jc w:val="both"/>
      </w:pPr>
    </w:p>
    <w:p w14:paraId="498EB945" w14:textId="03666AB4" w:rsidR="00F56356" w:rsidRDefault="00F56356" w:rsidP="00083F7B">
      <w:pPr>
        <w:spacing w:after="0" w:line="360" w:lineRule="auto"/>
        <w:jc w:val="both"/>
      </w:pPr>
    </w:p>
    <w:p w14:paraId="0B183EAE" w14:textId="3C295108" w:rsidR="00F56356" w:rsidRDefault="00F56356" w:rsidP="00083F7B">
      <w:pPr>
        <w:spacing w:after="0" w:line="360" w:lineRule="auto"/>
        <w:jc w:val="both"/>
      </w:pPr>
    </w:p>
    <w:p w14:paraId="1816861C" w14:textId="3323B0B9" w:rsidR="00F56356" w:rsidRDefault="00F56356" w:rsidP="00083F7B">
      <w:pPr>
        <w:spacing w:after="0" w:line="360" w:lineRule="auto"/>
        <w:jc w:val="both"/>
      </w:pPr>
    </w:p>
    <w:p w14:paraId="7B3F66CB" w14:textId="4A5785C9" w:rsidR="00F56356" w:rsidRDefault="00F56356" w:rsidP="00083F7B">
      <w:pPr>
        <w:spacing w:after="0" w:line="360" w:lineRule="auto"/>
        <w:jc w:val="both"/>
      </w:pPr>
    </w:p>
    <w:p w14:paraId="1AB45C98" w14:textId="1450EE44" w:rsidR="00F56356" w:rsidRDefault="00F56356" w:rsidP="00083F7B">
      <w:pPr>
        <w:spacing w:after="0" w:line="360" w:lineRule="auto"/>
        <w:jc w:val="both"/>
      </w:pPr>
    </w:p>
    <w:p w14:paraId="7FD15F45" w14:textId="1E40DF97" w:rsidR="00F56356" w:rsidRDefault="00F56356" w:rsidP="00083F7B">
      <w:pPr>
        <w:spacing w:after="0" w:line="360" w:lineRule="auto"/>
        <w:jc w:val="both"/>
      </w:pPr>
    </w:p>
    <w:p w14:paraId="39CE71B5" w14:textId="3FECFC07" w:rsidR="00F56356" w:rsidRDefault="00F56356" w:rsidP="00083F7B">
      <w:pPr>
        <w:spacing w:after="0" w:line="360" w:lineRule="auto"/>
        <w:jc w:val="both"/>
      </w:pPr>
    </w:p>
    <w:p w14:paraId="018D7921" w14:textId="2B6C9FA3" w:rsidR="00F56356" w:rsidRDefault="00F56356" w:rsidP="00083F7B">
      <w:pPr>
        <w:spacing w:after="0" w:line="360" w:lineRule="auto"/>
        <w:jc w:val="both"/>
      </w:pPr>
    </w:p>
    <w:p w14:paraId="0134EFFC" w14:textId="66E74543" w:rsidR="00F56356" w:rsidRDefault="00F56356" w:rsidP="00083F7B">
      <w:pPr>
        <w:spacing w:after="0" w:line="360" w:lineRule="auto"/>
        <w:jc w:val="both"/>
      </w:pPr>
    </w:p>
    <w:p w14:paraId="51591210" w14:textId="6116E107" w:rsidR="00F56356" w:rsidRDefault="00F56356" w:rsidP="00083F7B">
      <w:pPr>
        <w:spacing w:after="0" w:line="360" w:lineRule="auto"/>
        <w:jc w:val="both"/>
      </w:pPr>
    </w:p>
    <w:p w14:paraId="45C3B4FD" w14:textId="000339E3" w:rsidR="00F56356" w:rsidRDefault="00F56356" w:rsidP="00083F7B">
      <w:pPr>
        <w:spacing w:after="0" w:line="360" w:lineRule="auto"/>
        <w:jc w:val="both"/>
      </w:pPr>
    </w:p>
    <w:p w14:paraId="16D06321" w14:textId="53779C2A" w:rsidR="00F56356" w:rsidRDefault="00F56356" w:rsidP="00083F7B">
      <w:pPr>
        <w:spacing w:after="0" w:line="360" w:lineRule="auto"/>
        <w:jc w:val="both"/>
      </w:pPr>
    </w:p>
    <w:p w14:paraId="2EAEE13F" w14:textId="0603F1ED" w:rsidR="00F56356" w:rsidRDefault="00F56356" w:rsidP="00083F7B">
      <w:pPr>
        <w:spacing w:after="0" w:line="360" w:lineRule="auto"/>
        <w:jc w:val="both"/>
      </w:pPr>
    </w:p>
    <w:p w14:paraId="6064C1E0" w14:textId="146E91BC" w:rsidR="00F56356" w:rsidRDefault="00F56356" w:rsidP="00083F7B">
      <w:pPr>
        <w:spacing w:after="0" w:line="360" w:lineRule="auto"/>
        <w:jc w:val="both"/>
      </w:pPr>
    </w:p>
    <w:p w14:paraId="4F62511C" w14:textId="77777777" w:rsidR="00F56356" w:rsidRPr="00F56356" w:rsidRDefault="00F56356" w:rsidP="00F56356">
      <w:pPr>
        <w:spacing w:after="0" w:line="24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 “Segretariato Generale”</w:t>
      </w:r>
    </w:p>
    <w:p w14:paraId="09CE877A" w14:textId="77777777" w:rsidR="00F56356" w:rsidRPr="00F56356" w:rsidRDefault="00F56356" w:rsidP="00F56356">
      <w:pPr>
        <w:spacing w:after="0" w:line="240" w:lineRule="auto"/>
        <w:jc w:val="both"/>
        <w:rPr>
          <w:rFonts w:ascii="Times New Roman" w:eastAsia="Times New Roman" w:hAnsi="Times New Roman" w:cs="Times New Roman"/>
          <w:b/>
          <w:sz w:val="24"/>
          <w:szCs w:val="24"/>
          <w:lang w:eastAsia="it-IT"/>
        </w:rPr>
      </w:pPr>
    </w:p>
    <w:p w14:paraId="533000CD"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739B9C20" w14:textId="77777777" w:rsidR="00F56356" w:rsidRPr="00F56356" w:rsidRDefault="00F56356" w:rsidP="00F56356">
      <w:pPr>
        <w:spacing w:after="0" w:line="240" w:lineRule="auto"/>
        <w:ind w:left="284"/>
        <w:jc w:val="both"/>
        <w:rPr>
          <w:rFonts w:ascii="Times New Roman" w:eastAsia="Times New Roman" w:hAnsi="Times New Roman" w:cs="Times New Roman"/>
          <w:sz w:val="10"/>
          <w:szCs w:val="24"/>
          <w:lang w:eastAsia="it-IT"/>
        </w:rPr>
      </w:pPr>
    </w:p>
    <w:p w14:paraId="33C167CB"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Programma 1.3 - </w:t>
      </w:r>
      <w:r w:rsidRPr="00F56356">
        <w:rPr>
          <w:rFonts w:ascii="Times New Roman" w:eastAsia="Times New Roman" w:hAnsi="Times New Roman" w:cs="Times New Roman"/>
          <w:sz w:val="24"/>
          <w:szCs w:val="24"/>
          <w:lang w:eastAsia="it-IT"/>
        </w:rPr>
        <w:t>Presidenza del Consiglio dei ministri</w:t>
      </w:r>
    </w:p>
    <w:p w14:paraId="1DB7AD71" w14:textId="77777777" w:rsidR="00F56356" w:rsidRPr="00F56356" w:rsidRDefault="00F56356" w:rsidP="00F56356">
      <w:pPr>
        <w:spacing w:after="0" w:line="240" w:lineRule="auto"/>
        <w:ind w:left="284"/>
        <w:jc w:val="both"/>
        <w:rPr>
          <w:rFonts w:ascii="Times New Roman" w:eastAsia="Times New Roman" w:hAnsi="Times New Roman" w:cs="Times New Roman"/>
          <w:sz w:val="28"/>
          <w:szCs w:val="24"/>
          <w:lang w:eastAsia="it-IT"/>
        </w:rPr>
      </w:pPr>
    </w:p>
    <w:p w14:paraId="2A858199" w14:textId="77777777" w:rsidR="00F56356" w:rsidRPr="00F56356" w:rsidRDefault="00F56356" w:rsidP="00F56356">
      <w:pPr>
        <w:spacing w:after="0" w:line="240" w:lineRule="auto"/>
        <w:ind w:left="284"/>
        <w:jc w:val="both"/>
        <w:rPr>
          <w:rFonts w:ascii="Times New Roman" w:eastAsia="Times New Roman" w:hAnsi="Times New Roman" w:cs="Times New Roman"/>
          <w:sz w:val="28"/>
          <w:szCs w:val="24"/>
          <w:lang w:eastAsia="it-IT"/>
        </w:rPr>
      </w:pPr>
      <w:r w:rsidRPr="00F56356">
        <w:rPr>
          <w:rFonts w:ascii="Times New Roman" w:eastAsia="Times New Roman" w:hAnsi="Times New Roman" w:cs="Times New Roman"/>
          <w:b/>
          <w:sz w:val="24"/>
          <w:lang w:eastAsia="it-IT"/>
        </w:rPr>
        <w:t>MISSIONE 3 -</w:t>
      </w:r>
      <w:r w:rsidRPr="00F56356">
        <w:rPr>
          <w:rFonts w:ascii="Times New Roman" w:eastAsia="Times New Roman" w:hAnsi="Times New Roman" w:cs="Times New Roman"/>
          <w:sz w:val="24"/>
          <w:lang w:eastAsia="it-IT"/>
        </w:rPr>
        <w:t xml:space="preserve"> </w:t>
      </w:r>
      <w:r w:rsidRPr="00F56356">
        <w:rPr>
          <w:rFonts w:ascii="Times New Roman" w:eastAsia="Times New Roman" w:hAnsi="Times New Roman" w:cs="Times New Roman"/>
          <w:sz w:val="24"/>
          <w:szCs w:val="24"/>
          <w:lang w:eastAsia="it-IT"/>
        </w:rPr>
        <w:t>Relazioni finanziarie con le autonomie territoriali</w:t>
      </w:r>
    </w:p>
    <w:p w14:paraId="5EC9913D" w14:textId="77777777" w:rsidR="00F56356" w:rsidRPr="00F56356" w:rsidRDefault="00F56356" w:rsidP="00F56356">
      <w:pPr>
        <w:spacing w:after="0" w:line="240" w:lineRule="auto"/>
        <w:ind w:left="284"/>
        <w:jc w:val="both"/>
        <w:rPr>
          <w:rFonts w:ascii="Times New Roman" w:eastAsia="Times New Roman" w:hAnsi="Times New Roman" w:cs="Times New Roman"/>
          <w:sz w:val="12"/>
          <w:szCs w:val="24"/>
          <w:lang w:eastAsia="it-IT"/>
        </w:rPr>
      </w:pPr>
    </w:p>
    <w:p w14:paraId="75D5B603"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lang w:eastAsia="it-IT"/>
        </w:rPr>
        <w:t>Programma 3.5 -</w:t>
      </w:r>
      <w:r w:rsidRPr="00F56356">
        <w:rPr>
          <w:rFonts w:ascii="Times New Roman" w:eastAsia="Times New Roman" w:hAnsi="Times New Roman" w:cs="Times New Roman"/>
          <w:sz w:val="24"/>
          <w:lang w:eastAsia="it-IT"/>
        </w:rPr>
        <w:t xml:space="preserve"> </w:t>
      </w:r>
      <w:r w:rsidRPr="00F56356">
        <w:rPr>
          <w:rFonts w:ascii="Times New Roman" w:eastAsia="Times New Roman" w:hAnsi="Times New Roman" w:cs="Times New Roman"/>
          <w:sz w:val="24"/>
          <w:szCs w:val="24"/>
          <w:lang w:eastAsia="it-IT"/>
        </w:rPr>
        <w:t>Compartecipazione e regolazioni contabili ed altri trasferimenti alle autonomie speciali</w:t>
      </w:r>
    </w:p>
    <w:p w14:paraId="22B47DAA"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p>
    <w:p w14:paraId="01459DE1"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MISSIONE 8</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sz w:val="24"/>
          <w:szCs w:val="24"/>
          <w:lang w:eastAsia="it-IT"/>
        </w:rPr>
        <w:t>Soccorso civile</w:t>
      </w:r>
    </w:p>
    <w:p w14:paraId="66C68047" w14:textId="77777777" w:rsidR="00F56356" w:rsidRPr="00F56356" w:rsidRDefault="00F56356" w:rsidP="00F56356">
      <w:pPr>
        <w:spacing w:after="0" w:line="240" w:lineRule="auto"/>
        <w:ind w:left="284"/>
        <w:jc w:val="both"/>
        <w:rPr>
          <w:rFonts w:ascii="Times New Roman" w:eastAsia="Times New Roman" w:hAnsi="Times New Roman" w:cs="Times New Roman"/>
          <w:b/>
          <w:sz w:val="10"/>
          <w:szCs w:val="24"/>
          <w:lang w:eastAsia="it-IT"/>
        </w:rPr>
      </w:pPr>
    </w:p>
    <w:p w14:paraId="6833FED4"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Programma 8.4 -</w:t>
      </w:r>
      <w:r w:rsidRPr="00F56356">
        <w:rPr>
          <w:rFonts w:ascii="Times New Roman" w:eastAsia="Times New Roman" w:hAnsi="Times New Roman" w:cs="Times New Roman"/>
          <w:sz w:val="24"/>
          <w:szCs w:val="24"/>
          <w:lang w:eastAsia="it-IT"/>
        </w:rPr>
        <w:t xml:space="preserve"> Interventi per pubbliche calamità</w:t>
      </w:r>
    </w:p>
    <w:p w14:paraId="2DC40AEB"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p>
    <w:p w14:paraId="54E3B588"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MISSIONE 17</w:t>
      </w:r>
      <w:r w:rsidRPr="00F56356">
        <w:rPr>
          <w:rFonts w:ascii="Times New Roman" w:eastAsia="Times New Roman" w:hAnsi="Times New Roman" w:cs="Times New Roman"/>
          <w:color w:val="000000"/>
          <w:sz w:val="24"/>
          <w:szCs w:val="24"/>
          <w:lang w:eastAsia="it-IT"/>
        </w:rPr>
        <w:t xml:space="preserve"> </w:t>
      </w:r>
      <w:r w:rsidRPr="00F56356">
        <w:rPr>
          <w:rFonts w:ascii="Times New Roman" w:eastAsia="Times New Roman" w:hAnsi="Times New Roman" w:cs="Times New Roman"/>
          <w:b/>
          <w:sz w:val="24"/>
          <w:szCs w:val="24"/>
          <w:lang w:eastAsia="it-IT"/>
        </w:rPr>
        <w:t>-</w:t>
      </w:r>
      <w:r w:rsidRPr="00F56356">
        <w:rPr>
          <w:rFonts w:ascii="Times New Roman" w:eastAsia="Times New Roman" w:hAnsi="Times New Roman" w:cs="Times New Roman"/>
          <w:color w:val="000000"/>
          <w:sz w:val="24"/>
          <w:szCs w:val="24"/>
          <w:lang w:eastAsia="it-IT"/>
        </w:rPr>
        <w:t xml:space="preserve"> Ricerca e innovazione</w:t>
      </w:r>
    </w:p>
    <w:p w14:paraId="3EB80C48" w14:textId="77777777" w:rsidR="00F56356" w:rsidRPr="00F56356" w:rsidRDefault="00F56356" w:rsidP="00F56356">
      <w:pPr>
        <w:spacing w:after="0" w:line="240" w:lineRule="auto"/>
        <w:ind w:left="284"/>
        <w:jc w:val="both"/>
        <w:rPr>
          <w:rFonts w:ascii="Times New Roman" w:eastAsia="Times New Roman" w:hAnsi="Times New Roman" w:cs="Times New Roman"/>
          <w:b/>
          <w:color w:val="000000"/>
          <w:sz w:val="10"/>
          <w:szCs w:val="24"/>
          <w:lang w:eastAsia="it-IT"/>
        </w:rPr>
      </w:pPr>
    </w:p>
    <w:p w14:paraId="35BBF2E2"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17.15 </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color w:val="000000"/>
          <w:sz w:val="24"/>
          <w:szCs w:val="24"/>
          <w:lang w:eastAsia="it-IT"/>
        </w:rPr>
        <w:t>Ricerca di base e applicata</w:t>
      </w:r>
    </w:p>
    <w:p w14:paraId="0661A1F2"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8"/>
          <w:szCs w:val="24"/>
          <w:lang w:eastAsia="it-IT"/>
        </w:rPr>
      </w:pPr>
    </w:p>
    <w:p w14:paraId="6A8E6C38"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MISSIONE 18</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b/>
          <w:sz w:val="24"/>
          <w:szCs w:val="24"/>
          <w:lang w:eastAsia="it-IT"/>
        </w:rPr>
        <w:t>-</w:t>
      </w:r>
      <w:r w:rsidRPr="00F56356">
        <w:rPr>
          <w:rFonts w:ascii="Times New Roman" w:eastAsia="Times New Roman" w:hAnsi="Times New Roman" w:cs="Times New Roman"/>
          <w:sz w:val="24"/>
          <w:szCs w:val="24"/>
          <w:lang w:eastAsia="it-IT"/>
        </w:rPr>
        <w:t xml:space="preserve"> Sviluppo sostenibile e tutela del territorio e dell’ambiente</w:t>
      </w:r>
    </w:p>
    <w:p w14:paraId="74DAA018" w14:textId="77777777" w:rsidR="00F56356" w:rsidRPr="00F56356" w:rsidRDefault="00F56356" w:rsidP="00F56356">
      <w:pPr>
        <w:spacing w:after="0" w:line="240" w:lineRule="auto"/>
        <w:ind w:left="284"/>
        <w:jc w:val="both"/>
        <w:rPr>
          <w:rFonts w:ascii="Times New Roman" w:eastAsia="Times New Roman" w:hAnsi="Times New Roman" w:cs="Times New Roman"/>
          <w:b/>
          <w:sz w:val="10"/>
          <w:szCs w:val="24"/>
          <w:lang w:eastAsia="it-IT"/>
        </w:rPr>
      </w:pPr>
    </w:p>
    <w:p w14:paraId="023CAD50"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Programma 18.14 -</w:t>
      </w:r>
      <w:r w:rsidRPr="00F56356">
        <w:rPr>
          <w:rFonts w:ascii="Times New Roman" w:eastAsia="Times New Roman" w:hAnsi="Times New Roman" w:cs="Times New Roman"/>
          <w:sz w:val="24"/>
          <w:szCs w:val="24"/>
          <w:lang w:eastAsia="it-IT"/>
        </w:rPr>
        <w:t xml:space="preserve"> Sostegno allo sviluppo sostenibile </w:t>
      </w:r>
    </w:p>
    <w:p w14:paraId="6CD17B73"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p>
    <w:p w14:paraId="3B79DD1F" w14:textId="77777777" w:rsidR="00F56356" w:rsidRPr="00F56356" w:rsidRDefault="00F56356" w:rsidP="00F56356">
      <w:pPr>
        <w:spacing w:after="0" w:line="240" w:lineRule="auto"/>
        <w:ind w:left="284"/>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color w:val="000000" w:themeColor="text1"/>
          <w:sz w:val="24"/>
          <w:szCs w:val="24"/>
          <w:lang w:eastAsia="it-IT"/>
        </w:rPr>
        <w:t>Diritti sociali, politiche sociali e famiglia</w:t>
      </w:r>
    </w:p>
    <w:p w14:paraId="4D24BFDC" w14:textId="77777777" w:rsidR="00F56356" w:rsidRPr="00F56356" w:rsidRDefault="00F56356" w:rsidP="00F56356">
      <w:pPr>
        <w:spacing w:after="0" w:line="240" w:lineRule="auto"/>
        <w:ind w:left="284"/>
        <w:rPr>
          <w:rFonts w:ascii="Times New Roman" w:eastAsia="Times New Roman" w:hAnsi="Times New Roman" w:cs="Times New Roman"/>
          <w:color w:val="000000" w:themeColor="text1"/>
          <w:sz w:val="10"/>
          <w:szCs w:val="24"/>
          <w:lang w:eastAsia="it-IT"/>
        </w:rPr>
      </w:pPr>
    </w:p>
    <w:p w14:paraId="15E12D59" w14:textId="77777777" w:rsidR="00F56356" w:rsidRPr="00F56356" w:rsidRDefault="00F56356" w:rsidP="00F56356">
      <w:pPr>
        <w:spacing w:after="0" w:line="240" w:lineRule="auto"/>
        <w:ind w:left="284"/>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 </w:t>
      </w:r>
      <w:r w:rsidRPr="00F56356">
        <w:rPr>
          <w:rFonts w:ascii="Times New Roman" w:eastAsia="Times New Roman" w:hAnsi="Times New Roman" w:cs="Times New Roman"/>
          <w:color w:val="000000" w:themeColor="text1"/>
          <w:sz w:val="24"/>
          <w:szCs w:val="24"/>
          <w:lang w:eastAsia="it-IT"/>
        </w:rPr>
        <w:t xml:space="preserve">Famiglia, pari opportunità e situazioni di disagio  </w:t>
      </w:r>
    </w:p>
    <w:p w14:paraId="7A955B50" w14:textId="77777777" w:rsidR="00F56356" w:rsidRPr="00F56356" w:rsidRDefault="00F56356" w:rsidP="00F56356">
      <w:pPr>
        <w:spacing w:after="0" w:line="240" w:lineRule="auto"/>
        <w:ind w:left="284"/>
        <w:rPr>
          <w:rFonts w:ascii="Times New Roman" w:eastAsia="Times New Roman" w:hAnsi="Times New Roman" w:cs="Times New Roman"/>
          <w:color w:val="000000" w:themeColor="text1"/>
          <w:sz w:val="28"/>
          <w:szCs w:val="24"/>
          <w:lang w:eastAsia="it-IT"/>
        </w:rPr>
      </w:pPr>
    </w:p>
    <w:p w14:paraId="4EDCFDCE" w14:textId="5655222F" w:rsidR="00F56356" w:rsidRDefault="00F56356" w:rsidP="00F56356">
      <w:pPr>
        <w:spacing w:after="0" w:line="360" w:lineRule="auto"/>
        <w:ind w:left="284"/>
        <w:jc w:val="both"/>
        <w:rPr>
          <w:rFonts w:ascii="Times New Roman" w:eastAsia="Times New Roman" w:hAnsi="Times New Roman" w:cs="Times New Roman"/>
          <w:sz w:val="24"/>
          <w:szCs w:val="24"/>
          <w:lang w:eastAsia="it-IT"/>
        </w:rPr>
      </w:pPr>
    </w:p>
    <w:p w14:paraId="1B0D3A45" w14:textId="77777777" w:rsidR="009B34AC" w:rsidRPr="00F56356" w:rsidRDefault="009B34AC" w:rsidP="00F56356">
      <w:pPr>
        <w:spacing w:after="0" w:line="360" w:lineRule="auto"/>
        <w:ind w:left="284"/>
        <w:jc w:val="both"/>
        <w:rPr>
          <w:rFonts w:ascii="Times New Roman" w:eastAsia="Times New Roman" w:hAnsi="Times New Roman" w:cs="Times New Roman"/>
          <w:sz w:val="24"/>
          <w:szCs w:val="24"/>
          <w:lang w:eastAsia="it-IT"/>
        </w:rPr>
      </w:pPr>
    </w:p>
    <w:p w14:paraId="0F01977D" w14:textId="77777777" w:rsidR="00F56356" w:rsidRPr="00F56356" w:rsidRDefault="00F56356" w:rsidP="00F56356">
      <w:pPr>
        <w:tabs>
          <w:tab w:val="left" w:pos="-284"/>
        </w:tabs>
        <w:spacing w:after="0" w:line="240" w:lineRule="auto"/>
        <w:ind w:left="284"/>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CDR 1 “Segretariato Generale"</w:t>
      </w:r>
    </w:p>
    <w:p w14:paraId="4B1D4D1C" w14:textId="77777777" w:rsidR="00F56356" w:rsidRPr="00F56356" w:rsidRDefault="00F56356" w:rsidP="00F56356">
      <w:pPr>
        <w:spacing w:after="0" w:line="360" w:lineRule="auto"/>
        <w:ind w:left="284"/>
        <w:jc w:val="both"/>
        <w:rPr>
          <w:rFonts w:ascii="Times New Roman" w:eastAsia="Times New Roman" w:hAnsi="Times New Roman" w:cs="Times New Roman"/>
          <w:i/>
          <w:sz w:val="24"/>
          <w:szCs w:val="24"/>
          <w:lang w:eastAsia="it-IT"/>
        </w:rPr>
      </w:pPr>
    </w:p>
    <w:p w14:paraId="3E23F593" w14:textId="77777777" w:rsidR="00F56356" w:rsidRPr="00F56356" w:rsidRDefault="00F56356" w:rsidP="00F56356">
      <w:pPr>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 xml:space="preserve">1. </w:t>
      </w:r>
      <w:r w:rsidRPr="00F56356">
        <w:rPr>
          <w:rFonts w:ascii="Times New Roman" w:eastAsia="Times New Roman" w:hAnsi="Times New Roman" w:cs="Times New Roman"/>
          <w:b/>
          <w:iCs/>
          <w:sz w:val="24"/>
          <w:szCs w:val="24"/>
          <w:lang w:eastAsia="it-IT"/>
        </w:rPr>
        <w:t>Premessa</w:t>
      </w:r>
    </w:p>
    <w:p w14:paraId="0490F068"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sz w:val="24"/>
          <w:szCs w:val="24"/>
          <w:lang w:eastAsia="it-IT"/>
        </w:rPr>
        <w:t xml:space="preserve">Il Centro di responsabilità 1 “Segretariato generale” ricomprende i centri di spesa relativi all’Ufficio del Segretario generale, all’Ufficio del cerimoniale di Stato e per le onorificenze, al Dipartimento per gli affari giuridici e legislativi, al Dipartimento per il personale, al Dipartimento per i servizi strumentali, al Dipartimento per il coordinamento amministrativo, al Dipartimento Casa Italia, alla Struttura di missione anniversari nazionali ed eventi sportivi nazionali ed internazionali e alla Conferenza Stato-Città. </w:t>
      </w:r>
    </w:p>
    <w:p w14:paraId="47637DC1"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i/>
          <w:sz w:val="12"/>
          <w:szCs w:val="24"/>
          <w:lang w:eastAsia="it-IT"/>
        </w:rPr>
      </w:pPr>
    </w:p>
    <w:p w14:paraId="4EDC22E3"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2. </w:t>
      </w:r>
      <w:r w:rsidRPr="00F56356">
        <w:rPr>
          <w:rFonts w:ascii="Times New Roman" w:eastAsia="Times New Roman" w:hAnsi="Times New Roman" w:cs="Times New Roman"/>
          <w:b/>
          <w:iCs/>
          <w:color w:val="000000"/>
          <w:sz w:val="24"/>
          <w:szCs w:val="24"/>
          <w:lang w:eastAsia="it-IT"/>
        </w:rPr>
        <w:t>Ricostruzione flussi finanziari e aspetti rilevanti della gestione</w:t>
      </w:r>
      <w:r w:rsidRPr="00F56356">
        <w:rPr>
          <w:rFonts w:ascii="Times New Roman" w:eastAsia="Times New Roman" w:hAnsi="Times New Roman" w:cs="Times New Roman"/>
          <w:b/>
          <w:color w:val="000000"/>
          <w:sz w:val="24"/>
          <w:szCs w:val="24"/>
          <w:lang w:eastAsia="it-IT"/>
        </w:rPr>
        <w:t xml:space="preserve"> </w:t>
      </w:r>
    </w:p>
    <w:p w14:paraId="6E334D2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sz w:val="24"/>
          <w:szCs w:val="24"/>
          <w:lang w:eastAsia="it-IT"/>
        </w:rPr>
        <w:t>2.1</w:t>
      </w:r>
      <w:r w:rsidRPr="00F56356">
        <w:rPr>
          <w:rFonts w:ascii="Times New Roman" w:eastAsia="Times New Roman" w:hAnsi="Times New Roman" w:cs="Times New Roman"/>
          <w:color w:val="000000"/>
          <w:sz w:val="24"/>
          <w:szCs w:val="24"/>
          <w:lang w:eastAsia="it-IT"/>
        </w:rPr>
        <w:t xml:space="preserve"> Le somme complessivamente assegnate sono state pari a euro 4.089.583.957,26, di cui euro 1.754.667.827,03 attengono ad oneri comuni riferiti al Fondo per le reiscrizioni dei residui passivi perenti in bilancio (cap. 235), al Fondo di riserva (cap. 234) e ai versamenti all’entrata del bilancio dello Stato (cap. 227). </w:t>
      </w:r>
      <w:r w:rsidRPr="00F56356">
        <w:rPr>
          <w:rFonts w:ascii="Times New Roman" w:eastAsia="Times New Roman" w:hAnsi="Times New Roman" w:cs="Times New Roman"/>
          <w:color w:val="000000" w:themeColor="text1"/>
          <w:sz w:val="24"/>
          <w:szCs w:val="24"/>
          <w:lang w:eastAsia="it-IT"/>
        </w:rPr>
        <w:t>Inoltre, come evidenziato già lo scorso anno, nel corso del 2021, è stato istituito il capitolo di spesa 271</w:t>
      </w:r>
      <w:r w:rsidRPr="00F56356">
        <w:rPr>
          <w:rFonts w:ascii="Times New Roman" w:eastAsia="Times New Roman" w:hAnsi="Times New Roman" w:cs="Times New Roman"/>
          <w:i/>
          <w:color w:val="000000" w:themeColor="text1"/>
          <w:sz w:val="24"/>
          <w:szCs w:val="24"/>
          <w:lang w:eastAsia="it-IT"/>
        </w:rPr>
        <w:t>“Somme destinate alla sistemazione contabile di pagamenti disposti da Banca d’Italia conseguenti ad ordinanze di assegnazione delle somme relative a contenziosi”</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lastRenderedPageBreak/>
        <w:t>con il decreto del Presidente del Consiglio dei ministri n. 396/</w:t>
      </w:r>
      <w:proofErr w:type="spellStart"/>
      <w:r w:rsidRPr="00F56356">
        <w:rPr>
          <w:rFonts w:ascii="Times New Roman" w:eastAsia="Times New Roman" w:hAnsi="Times New Roman" w:cs="Times New Roman"/>
          <w:color w:val="000000" w:themeColor="text1"/>
          <w:sz w:val="24"/>
          <w:szCs w:val="24"/>
          <w:lang w:eastAsia="it-IT"/>
        </w:rPr>
        <w:t>Bil</w:t>
      </w:r>
      <w:proofErr w:type="spellEnd"/>
      <w:r w:rsidRPr="00F56356">
        <w:rPr>
          <w:rFonts w:ascii="Times New Roman" w:eastAsia="Times New Roman" w:hAnsi="Times New Roman" w:cs="Times New Roman"/>
          <w:color w:val="000000" w:themeColor="text1"/>
          <w:sz w:val="24"/>
          <w:szCs w:val="24"/>
          <w:lang w:eastAsia="it-IT"/>
        </w:rPr>
        <w:t xml:space="preserve"> del 22 novembre 2021,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con un’assegnazione, nel 2022, di euro 160.488.555,42. Il suddetto capitolo è stato istituito al fine di procedere alla sistemazione delle scritture contabili per le somme anticipate direttamente sul conto di tesoreria n. 22330 dalla Banca d’Italia - in veste di terza pignorata - per la definizione di contenziosi in cui la Presidenza del Consiglio dei ministri, nella gran parte dei casi, è condannata in solido con altre Amministrazioni, ovvero per contenziosi non derivanti da attività istituzionali proprie. Le suddette risorse non sono state utilizzate nel corso del 2022 e sono state interamente inviate in economia alla fine dello stesso esercizio, così da procedere al riallineamento tra le scritture contabili e il predetto conto di tesoreria. </w:t>
      </w:r>
    </w:p>
    <w:p w14:paraId="4122F60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Conseguentemente, le risorse effettivamente assegnate al CR 1 per il coordinamento dei servizi istituzionali e l’operatività delle Strutture ammontano a euro 2.174.427.574,81, nell’ambito delle quali euro 36.533.723,96 si riferiscono a reiscrizioni di residui passivi perenti ed</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euro 659.608.824,68 a riassegnazioni dall’avanzo d’esercizio 2021.</w:t>
      </w:r>
    </w:p>
    <w:p w14:paraId="754655B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sz w:val="24"/>
          <w:szCs w:val="24"/>
          <w:lang w:eastAsia="it-IT"/>
        </w:rPr>
        <w:t>Gli impegni assunti, al netto degli oneri comuni pari a euro 52.827.811,00, ammontano a euro 1.553.981.859,41, con una economia di bilancio di euro 780.934.270,82.</w:t>
      </w:r>
    </w:p>
    <w:p w14:paraId="26535D7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Il totale dei pagamenti riferiti alla competenza, al netto degli oneri comuni, è di euro 1.017.917.564,44</w:t>
      </w:r>
      <w:r w:rsidRPr="00F56356">
        <w:rPr>
          <w:rFonts w:ascii="Times New Roman" w:eastAsia="Times New Roman" w:hAnsi="Times New Roman" w:cs="Times New Roman"/>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con un indice di capacità di pagamento (rapporto pagato/impegnato)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sz w:val="24"/>
          <w:szCs w:val="24"/>
          <w:lang w:eastAsia="it-IT"/>
        </w:rPr>
        <w:t>che si attesta al 65,50 per cento.</w:t>
      </w:r>
    </w:p>
    <w:p w14:paraId="6736891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3236C4F3" w14:textId="77777777" w:rsidR="00F56356" w:rsidRPr="00F56356" w:rsidRDefault="00F56356"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781EA501" wp14:editId="4AAD0AAD">
            <wp:extent cx="3588363" cy="602087"/>
            <wp:effectExtent l="0" t="0" r="0" b="762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60002" cy="614107"/>
                    </a:xfrm>
                    <a:prstGeom prst="rect">
                      <a:avLst/>
                    </a:prstGeom>
                    <a:noFill/>
                    <a:ln>
                      <a:noFill/>
                    </a:ln>
                  </pic:spPr>
                </pic:pic>
              </a:graphicData>
            </a:graphic>
          </wp:inline>
        </w:drawing>
      </w:r>
    </w:p>
    <w:p w14:paraId="7A2E6694" w14:textId="77777777" w:rsidR="00F56356" w:rsidRPr="00F56356" w:rsidRDefault="00F56356"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noProof/>
          <w:color w:val="000000"/>
          <w:sz w:val="24"/>
          <w:szCs w:val="24"/>
          <w:lang w:eastAsia="it-IT"/>
        </w:rPr>
        <w:drawing>
          <wp:inline distT="0" distB="0" distL="0" distR="0" wp14:anchorId="6B7F7DAA" wp14:editId="1504D567">
            <wp:extent cx="3659542" cy="1847609"/>
            <wp:effectExtent l="0" t="0" r="0" b="635"/>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97419" cy="1866732"/>
                    </a:xfrm>
                    <a:prstGeom prst="rect">
                      <a:avLst/>
                    </a:prstGeom>
                    <a:noFill/>
                  </pic:spPr>
                </pic:pic>
              </a:graphicData>
            </a:graphic>
          </wp:inline>
        </w:drawing>
      </w:r>
    </w:p>
    <w:p w14:paraId="612246D5" w14:textId="658130B2" w:rsidR="00F56356" w:rsidRDefault="00F56356"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p>
    <w:p w14:paraId="28360F62" w14:textId="3CF8D999" w:rsidR="009B34AC" w:rsidRDefault="009B34AC"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p>
    <w:p w14:paraId="31C0A8DC" w14:textId="471AD770" w:rsidR="009B34AC" w:rsidRDefault="009B34AC"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p>
    <w:p w14:paraId="6BC7C385" w14:textId="77777777" w:rsidR="009B34AC" w:rsidRPr="00F56356" w:rsidRDefault="009B34AC" w:rsidP="00F56356">
      <w:pPr>
        <w:tabs>
          <w:tab w:val="left" w:pos="-284"/>
        </w:tabs>
        <w:spacing w:after="0" w:line="360" w:lineRule="auto"/>
        <w:ind w:left="284"/>
        <w:jc w:val="center"/>
        <w:rPr>
          <w:rFonts w:ascii="Times New Roman" w:eastAsia="Times New Roman" w:hAnsi="Times New Roman" w:cs="Times New Roman"/>
          <w:color w:val="000000"/>
          <w:sz w:val="24"/>
          <w:szCs w:val="24"/>
          <w:lang w:eastAsia="it-IT"/>
        </w:rPr>
      </w:pPr>
    </w:p>
    <w:p w14:paraId="7B043803" w14:textId="77777777" w:rsidR="00F56356" w:rsidRPr="00F56356" w:rsidRDefault="00F56356" w:rsidP="00F56356">
      <w:pPr>
        <w:tabs>
          <w:tab w:val="left" w:pos="-284"/>
        </w:tabs>
        <w:spacing w:after="0" w:line="360" w:lineRule="auto"/>
        <w:ind w:left="284"/>
        <w:jc w:val="center"/>
        <w:rPr>
          <w:rFonts w:ascii="Times New Roman" w:eastAsia="Times New Roman" w:hAnsi="Times New Roman" w:cs="Times New Roman"/>
          <w:color w:val="000000"/>
          <w:sz w:val="14"/>
          <w:szCs w:val="24"/>
          <w:lang w:eastAsia="it-IT"/>
        </w:rPr>
      </w:pPr>
    </w:p>
    <w:p w14:paraId="2F87C87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FF0000"/>
          <w:sz w:val="24"/>
          <w:szCs w:val="24"/>
          <w:lang w:eastAsia="it-IT"/>
        </w:rPr>
        <w:tab/>
      </w:r>
    </w:p>
    <w:p w14:paraId="072332B0" w14:textId="77777777" w:rsidR="00F56356" w:rsidRPr="00F56356" w:rsidRDefault="00F56356" w:rsidP="00F56356">
      <w:pPr>
        <w:spacing w:after="0" w:line="360" w:lineRule="auto"/>
        <w:ind w:left="284"/>
        <w:jc w:val="both"/>
        <w:rPr>
          <w:rFonts w:ascii="Calibri" w:eastAsia="Times New Roman" w:hAnsi="Calibri" w:cs="Calibri"/>
          <w:b/>
          <w:bCs/>
          <w:color w:val="FF0000"/>
          <w:sz w:val="24"/>
          <w:szCs w:val="24"/>
          <w:lang w:eastAsia="it-IT"/>
        </w:rPr>
      </w:pPr>
      <w:r w:rsidRPr="00F56356">
        <w:rPr>
          <w:rFonts w:ascii="Times New Roman" w:eastAsia="Times New Roman" w:hAnsi="Times New Roman" w:cs="Times New Roman"/>
          <w:color w:val="000000"/>
          <w:sz w:val="24"/>
          <w:szCs w:val="24"/>
          <w:lang w:eastAsia="it-IT"/>
        </w:rPr>
        <w:lastRenderedPageBreak/>
        <w:t>I residui passivi al 1° gennaio 2022 erano pari a euro 722.666.294,55. Su questi sono stati effettuati pagamenti per euro 371.161.182,90 e realizzate economie per euro 30.964.244,65.</w:t>
      </w:r>
    </w:p>
    <w:p w14:paraId="6C5C442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b/>
          <w:color w:val="FF0000"/>
          <w:sz w:val="24"/>
          <w:szCs w:val="24"/>
          <w:lang w:eastAsia="it-IT"/>
        </w:rPr>
      </w:pPr>
    </w:p>
    <w:p w14:paraId="2AAF918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2.2</w:t>
      </w:r>
      <w:r w:rsidRPr="00F56356">
        <w:rPr>
          <w:rFonts w:ascii="Times New Roman" w:eastAsia="Times New Roman" w:hAnsi="Times New Roman" w:cs="Times New Roman"/>
          <w:b/>
          <w:color w:val="000000"/>
          <w:sz w:val="28"/>
          <w:szCs w:val="28"/>
          <w:lang w:eastAsia="it-IT"/>
        </w:rPr>
        <w:t xml:space="preserve"> </w:t>
      </w:r>
      <w:r w:rsidRPr="00F56356">
        <w:rPr>
          <w:rFonts w:ascii="Times New Roman" w:eastAsia="Times New Roman" w:hAnsi="Times New Roman" w:cs="Times New Roman"/>
          <w:color w:val="000000"/>
          <w:sz w:val="24"/>
          <w:szCs w:val="24"/>
          <w:lang w:eastAsia="it-IT"/>
        </w:rPr>
        <w:t>Le risorse impegnate sono state destinate per euro 349.592.784,94 al funzionamento, per euro 167.228.231,09 agli interventi e per euro 1.037.160.843,38 alle spese in conto capitale.</w:t>
      </w:r>
    </w:p>
    <w:p w14:paraId="2C6F414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Le spese di funzionamento sono state destinate al</w:t>
      </w:r>
      <w:r w:rsidRPr="00F56356">
        <w:rPr>
          <w:rFonts w:ascii="Times New Roman" w:eastAsia="Times New Roman" w:hAnsi="Times New Roman" w:cs="Times New Roman"/>
          <w:color w:val="000000"/>
          <w:sz w:val="28"/>
          <w:szCs w:val="28"/>
          <w:lang w:eastAsia="it-IT"/>
        </w:rPr>
        <w:t xml:space="preserve"> </w:t>
      </w:r>
      <w:r w:rsidRPr="00F56356">
        <w:rPr>
          <w:rFonts w:ascii="Times New Roman" w:eastAsia="Times New Roman" w:hAnsi="Times New Roman" w:cs="Times New Roman"/>
          <w:color w:val="000000"/>
          <w:sz w:val="24"/>
          <w:szCs w:val="24"/>
          <w:lang w:eastAsia="it-IT"/>
        </w:rPr>
        <w:t xml:space="preserve">personale comunque in servizio presso la Presidenza del Consiglio dei ministri, all’acquisizione di beni e servizi accentrati presso il Segretariato generale e al funzionamento della Struttura di missione anniversari nazionali ed eventi sportivi nazionali ed internazionali.  </w:t>
      </w:r>
    </w:p>
    <w:p w14:paraId="432770E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xml:space="preserve">Le somme impegnate per gli interventi sono state destinate all’esecuzione di pronunce giurisdizionali per mancato, ritardato o incompleto recepimento di direttive comunitarie da parte dello Stato italiano, in particolare per il rimborso delle borse di studio per i medici specializzandi; a spese per progetti settoriali e per eventi di natura celebrativa, ai contributi dell’otto per mille dell’IRPEF di pertinenza dello Stato e alle somme destinate alla concessione di una medaglia d’onore ai cittadini italiani militari e civili deportati e internati nei lager nazisti e ai familiari dei deceduti, </w:t>
      </w:r>
      <w:r w:rsidRPr="00F56356">
        <w:rPr>
          <w:rFonts w:ascii="Times New Roman" w:eastAsia="Calibri" w:hAnsi="Times New Roman" w:cs="Times New Roman"/>
          <w:sz w:val="24"/>
          <w:szCs w:val="24"/>
          <w:lang w:eastAsia="it-IT"/>
        </w:rPr>
        <w:t>all’erogazione dei premi intitolati a Giacomo Matteotti, alla Fondazione Futuro della Città al fine di garantire lo sviluppo del sistema produttivo nazionale in relazione alla transizione verde dell’Italia,</w:t>
      </w:r>
      <w:r w:rsidRPr="00F56356">
        <w:rPr>
          <w:rFonts w:ascii="Times New Roman" w:eastAsia="Times New Roman" w:hAnsi="Times New Roman" w:cs="Times New Roman"/>
          <w:sz w:val="24"/>
          <w:szCs w:val="24"/>
          <w:lang w:eastAsia="it-IT"/>
        </w:rPr>
        <w:t xml:space="preserve"> </w:t>
      </w:r>
      <w:r w:rsidRPr="00F56356">
        <w:rPr>
          <w:rFonts w:ascii="Times New Roman" w:eastAsia="Calibri" w:hAnsi="Times New Roman" w:cs="Times New Roman"/>
          <w:sz w:val="24"/>
          <w:szCs w:val="24"/>
          <w:lang w:eastAsia="it-IT"/>
        </w:rPr>
        <w:t xml:space="preserve">al contributo annuale da parte dello Stato italiano al Conto speciale del Consiglio d’Europa, </w:t>
      </w:r>
      <w:r w:rsidRPr="00F56356">
        <w:rPr>
          <w:rFonts w:ascii="Times New Roman" w:eastAsia="Calibri" w:hAnsi="Times New Roman" w:cs="Times New Roman"/>
          <w:color w:val="000000" w:themeColor="text1"/>
          <w:sz w:val="24"/>
          <w:szCs w:val="24"/>
          <w:lang w:eastAsia="it-IT"/>
        </w:rPr>
        <w:t xml:space="preserve">a interventi a favore di cittadini illustri (legge c.d. Bacchelli), </w:t>
      </w:r>
      <w:r w:rsidRPr="00F56356">
        <w:rPr>
          <w:rFonts w:ascii="Times New Roman" w:eastAsia="Times New Roman" w:hAnsi="Times New Roman" w:cs="Times New Roman"/>
          <w:color w:val="000000" w:themeColor="text1"/>
          <w:sz w:val="24"/>
          <w:szCs w:val="24"/>
          <w:lang w:eastAsia="it-IT"/>
        </w:rPr>
        <w:t xml:space="preserve">al sostegno delle famiglie vittime del disastro di </w:t>
      </w:r>
      <w:proofErr w:type="spellStart"/>
      <w:r w:rsidRPr="00F56356">
        <w:rPr>
          <w:rFonts w:ascii="Times New Roman" w:eastAsia="Times New Roman" w:hAnsi="Times New Roman" w:cs="Times New Roman"/>
          <w:color w:val="000000" w:themeColor="text1"/>
          <w:sz w:val="24"/>
          <w:szCs w:val="24"/>
          <w:lang w:eastAsia="it-IT"/>
        </w:rPr>
        <w:t>Rigopiano</w:t>
      </w:r>
      <w:proofErr w:type="spellEnd"/>
      <w:r w:rsidRPr="00F56356">
        <w:rPr>
          <w:rFonts w:ascii="Times New Roman" w:eastAsia="Times New Roman" w:hAnsi="Times New Roman" w:cs="Times New Roman"/>
          <w:color w:val="000000" w:themeColor="text1"/>
          <w:sz w:val="24"/>
          <w:szCs w:val="24"/>
          <w:lang w:eastAsia="it-IT"/>
        </w:rPr>
        <w:t xml:space="preserve"> e a favore delle famiglie colpite dal disastro ferroviario Andria-Corato del 12 luglio 2016.</w:t>
      </w:r>
      <w:r w:rsidRPr="00F56356">
        <w:rPr>
          <w:rFonts w:ascii="Times New Roman" w:eastAsia="Times New Roman" w:hAnsi="Times New Roman" w:cs="Times New Roman"/>
          <w:color w:val="000000"/>
          <w:sz w:val="24"/>
          <w:szCs w:val="24"/>
          <w:lang w:eastAsia="it-IT"/>
        </w:rPr>
        <w:t xml:space="preserve"> </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sz w:val="24"/>
          <w:szCs w:val="24"/>
          <w:lang w:eastAsia="it-IT"/>
        </w:rPr>
        <w:t xml:space="preserve"> </w:t>
      </w:r>
    </w:p>
    <w:p w14:paraId="5B23CF7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sz w:val="24"/>
          <w:szCs w:val="24"/>
          <w:lang w:eastAsia="it-IT"/>
        </w:rPr>
        <w:t xml:space="preserve">Infine, le risorse impegnate per le spese in conto </w:t>
      </w:r>
      <w:r w:rsidRPr="00F56356">
        <w:rPr>
          <w:rFonts w:ascii="Times New Roman" w:eastAsia="Times New Roman" w:hAnsi="Times New Roman" w:cs="Times New Roman"/>
          <w:color w:val="000000"/>
          <w:sz w:val="24"/>
          <w:szCs w:val="24"/>
          <w:lang w:eastAsia="it-IT"/>
        </w:rPr>
        <w:t xml:space="preserve">capitale si riferiscono </w:t>
      </w:r>
      <w:r w:rsidRPr="00F56356">
        <w:rPr>
          <w:rFonts w:ascii="Times New Roman" w:eastAsia="Times New Roman" w:hAnsi="Times New Roman" w:cs="Times New Roman"/>
          <w:sz w:val="24"/>
          <w:szCs w:val="24"/>
          <w:lang w:eastAsia="it-IT"/>
        </w:rPr>
        <w:t>a interventi di prevenzione sismica su infrastrutture</w:t>
      </w:r>
      <w:r w:rsidRPr="00F56356">
        <w:rPr>
          <w:rFonts w:ascii="Times New Roman" w:eastAsia="Times New Roman" w:hAnsi="Times New Roman" w:cs="Times New Roman"/>
          <w:color w:val="000000"/>
          <w:sz w:val="24"/>
          <w:szCs w:val="24"/>
          <w:lang w:eastAsia="it-IT"/>
        </w:rPr>
        <w:t xml:space="preserve">, alla realizzazione di programmi spaziali nazionali e in cooperazione internazionale (Agenzia spaziale europea), al potenziamento delle strutture e delle dotazioni scientifiche e tecnologiche (Fondazione </w:t>
      </w:r>
      <w:proofErr w:type="spellStart"/>
      <w:r w:rsidRPr="00F56356">
        <w:rPr>
          <w:rFonts w:ascii="Times New Roman" w:eastAsia="Times New Roman" w:hAnsi="Times New Roman" w:cs="Times New Roman"/>
          <w:color w:val="000000"/>
          <w:sz w:val="24"/>
          <w:szCs w:val="24"/>
          <w:lang w:eastAsia="it-IT"/>
        </w:rPr>
        <w:t>Rimed</w:t>
      </w:r>
      <w:proofErr w:type="spellEnd"/>
      <w:r w:rsidRPr="00F56356">
        <w:rPr>
          <w:rFonts w:ascii="Times New Roman" w:eastAsia="Times New Roman" w:hAnsi="Times New Roman" w:cs="Times New Roman"/>
          <w:color w:val="000000"/>
          <w:sz w:val="24"/>
          <w:szCs w:val="24"/>
          <w:lang w:eastAsia="it-IT"/>
        </w:rPr>
        <w:t xml:space="preserve">), all’acquisto di libri e altre pubblicazioni per la dotazione della Biblioteca </w:t>
      </w:r>
      <w:proofErr w:type="spellStart"/>
      <w:r w:rsidRPr="00F56356">
        <w:rPr>
          <w:rFonts w:ascii="Times New Roman" w:eastAsia="Times New Roman" w:hAnsi="Times New Roman" w:cs="Times New Roman"/>
          <w:color w:val="000000"/>
          <w:sz w:val="24"/>
          <w:szCs w:val="24"/>
          <w:lang w:eastAsia="it-IT"/>
        </w:rPr>
        <w:t>Chigiana</w:t>
      </w:r>
      <w:proofErr w:type="spellEnd"/>
      <w:r w:rsidRPr="00F56356">
        <w:rPr>
          <w:rFonts w:ascii="Times New Roman" w:eastAsia="Times New Roman" w:hAnsi="Times New Roman" w:cs="Times New Roman"/>
          <w:color w:val="000000"/>
          <w:sz w:val="24"/>
          <w:szCs w:val="24"/>
          <w:lang w:eastAsia="it-IT"/>
        </w:rPr>
        <w:t xml:space="preserve">, allo sviluppo delle infrastrutture delle reti informatiche e di telecomunicazione, all’acquisto dei relativi apparati, all’acquisto di arredi di ufficio e di apparecchiature e alla manutenzione straordinaria degli immobili, a quelle necessarie all’attuazione del programma degli interventi di restauro conservativo, messa in sicurezza e valorizzazione dei monumenti commemorativi della Prima Guerra Mondiale, alla realizzazione di opere e interventi cofinanziati dalla società </w:t>
      </w:r>
      <w:proofErr w:type="spellStart"/>
      <w:r w:rsidRPr="00F56356">
        <w:rPr>
          <w:rFonts w:ascii="Times New Roman" w:eastAsia="Times New Roman" w:hAnsi="Times New Roman" w:cs="Times New Roman"/>
          <w:color w:val="000000"/>
          <w:sz w:val="24"/>
          <w:szCs w:val="24"/>
          <w:lang w:eastAsia="it-IT"/>
        </w:rPr>
        <w:t>Arcus</w:t>
      </w:r>
      <w:proofErr w:type="spellEnd"/>
      <w:r w:rsidRPr="00F56356">
        <w:rPr>
          <w:rFonts w:ascii="Times New Roman" w:eastAsia="Times New Roman" w:hAnsi="Times New Roman" w:cs="Times New Roman"/>
          <w:color w:val="000000"/>
          <w:sz w:val="24"/>
          <w:szCs w:val="24"/>
          <w:lang w:eastAsia="it-IT"/>
        </w:rPr>
        <w:t xml:space="preserve"> (restauro degli spazi museali, centro studi e biblioteca dell’“Istituto Giuseppe Garibaldi” a Roma). </w:t>
      </w:r>
    </w:p>
    <w:p w14:paraId="07DA2DB9" w14:textId="499A9477" w:rsid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4A3E7DA2" w14:textId="5A6698FA" w:rsid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2D078297" w14:textId="1429B78B" w:rsid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p>
    <w:p w14:paraId="46F7B82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lastRenderedPageBreak/>
        <w:t>Le risorse sono, in particolare, suddivise tra i centri di spesa:</w:t>
      </w:r>
    </w:p>
    <w:p w14:paraId="28619DE5"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color w:val="000000"/>
          <w:sz w:val="24"/>
          <w:szCs w:val="24"/>
          <w:u w:val="single"/>
          <w:lang w:eastAsia="it-IT"/>
        </w:rPr>
      </w:pPr>
    </w:p>
    <w:p w14:paraId="43F32438"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F56356">
        <w:rPr>
          <w:rFonts w:ascii="Times New Roman" w:eastAsia="Times New Roman" w:hAnsi="Times New Roman" w:cs="Times New Roman"/>
          <w:b/>
          <w:color w:val="000000" w:themeColor="text1"/>
          <w:sz w:val="24"/>
          <w:szCs w:val="24"/>
          <w:u w:val="single"/>
          <w:lang w:eastAsia="it-IT"/>
        </w:rPr>
        <w:t>Ufficio del Segretario generale</w:t>
      </w:r>
    </w:p>
    <w:p w14:paraId="61C163D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color w:val="000000" w:themeColor="text1"/>
          <w:sz w:val="14"/>
          <w:szCs w:val="24"/>
          <w:u w:val="single"/>
          <w:lang w:eastAsia="it-IT"/>
        </w:rPr>
      </w:pPr>
    </w:p>
    <w:p w14:paraId="53210839"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b/>
          <w:i/>
          <w:color w:val="000000" w:themeColor="text1"/>
          <w:sz w:val="24"/>
          <w:szCs w:val="24"/>
          <w:lang w:eastAsia="it-IT"/>
        </w:rPr>
        <w:t>Mission</w:t>
      </w:r>
    </w:p>
    <w:p w14:paraId="354564F9"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L’Ufficio del Segretariato generale si pone nell’area funzionale della progettazione delle politiche generali e delle decisioni strategiche di indirizzo politico-amministrativo, coadiuva il Segretario generale nell’elaborazione degli atti di indirizzo generale e di direttiva, anche in relazione al raccordo tra i diversi livelli di governo, e nel coordinamento tra le diverse strutture della Presidenza. In particolare, assiste il Segretario generale nella definizione della normativa e degli atti organizzativi inerenti la Presidenza del Consiglio dei ministri e nell’esercizio delle funzioni istituzionali di coordinamento e di supporto al Presidente nei rapporti con le Autorità amministrative indipendenti, con il sistema delle autonomie e con le altre amministrazioni ed enti; cura le attività redazionali del sito </w:t>
      </w:r>
      <w:r w:rsidRPr="00F56356">
        <w:rPr>
          <w:rFonts w:ascii="Times New Roman" w:eastAsiaTheme="minorEastAsia" w:hAnsi="Times New Roman" w:cs="Times New Roman"/>
          <w:i/>
          <w:sz w:val="24"/>
          <w:szCs w:val="24"/>
          <w:lang w:eastAsia="it-IT"/>
        </w:rPr>
        <w:t xml:space="preserve">intranet </w:t>
      </w:r>
      <w:r w:rsidRPr="00F56356">
        <w:rPr>
          <w:rFonts w:ascii="Times New Roman" w:eastAsiaTheme="minorEastAsia" w:hAnsi="Times New Roman" w:cs="Times New Roman"/>
          <w:sz w:val="24"/>
          <w:szCs w:val="24"/>
          <w:lang w:eastAsia="it-IT"/>
        </w:rPr>
        <w:t xml:space="preserve">e promuove iniziative per il miglioramento della comunicazione interna; cura la gestione della Biblioteca </w:t>
      </w:r>
      <w:proofErr w:type="spellStart"/>
      <w:r w:rsidRPr="00F56356">
        <w:rPr>
          <w:rFonts w:ascii="Times New Roman" w:eastAsiaTheme="minorEastAsia" w:hAnsi="Times New Roman" w:cs="Times New Roman"/>
          <w:sz w:val="24"/>
          <w:szCs w:val="24"/>
          <w:lang w:eastAsia="it-IT"/>
        </w:rPr>
        <w:t>Chigiana</w:t>
      </w:r>
      <w:proofErr w:type="spellEnd"/>
      <w:r w:rsidRPr="00F56356">
        <w:rPr>
          <w:rFonts w:ascii="Times New Roman" w:eastAsiaTheme="minorEastAsia" w:hAnsi="Times New Roman" w:cs="Times New Roman"/>
          <w:sz w:val="24"/>
          <w:szCs w:val="24"/>
          <w:lang w:eastAsia="it-IT"/>
        </w:rPr>
        <w:t xml:space="preserve">; provvede, in collaborazione con gli Uffici interessati, alla gestione del sistema di protocollo informatico integrato della Presidenza e alla riorganizzazione dei sistemi archivistici del Segretariato generale; assicura, altresì, il supporto organizzativo e il servizio di segreteria alla conferenza dei Capi delle strutture generali e alla conferenza dei Capi di Gabinetto dei Ministri senza portafoglio, nonché il supporto al Presidente nei rapporti tra Governo e confessioni religiose e nelle materie di particolare impatto strategico sotto il profilo etico e umanitario. Inoltre, cura gli adempimenti relativi ai rapporti con le magistrature amministrativa e contabile e con l’Avvocatura dello Stato. È incardinata nell’Ufficio la segreteria speciale principale per le attività di supporto al Segretario generale negli adempimenti connessi alla sicurezza interna e al segreto di Stato. Presso l’Ufficio opera altresì, con autonomia funzionale e gestionale, il Servizio per i voli di Stato, di Governo e umanitari che riferisce direttamente al Segretario generale. </w:t>
      </w:r>
    </w:p>
    <w:p w14:paraId="423F7E5F"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color w:val="000000" w:themeColor="text1"/>
          <w:sz w:val="24"/>
          <w:szCs w:val="24"/>
          <w:lang w:eastAsia="it-IT"/>
        </w:rPr>
      </w:pPr>
    </w:p>
    <w:p w14:paraId="18DFDB28"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w:t>
      </w:r>
      <w:r w:rsidRPr="00F56356">
        <w:rPr>
          <w:rFonts w:ascii="Times New Roman" w:eastAsia="Times New Roman" w:hAnsi="Times New Roman" w:cs="Times New Roman"/>
          <w:b/>
          <w:iCs/>
          <w:sz w:val="24"/>
          <w:szCs w:val="24"/>
          <w:lang w:eastAsia="it-IT"/>
        </w:rPr>
        <w:t>Ricostruzione flussi finanziari e aspetti rilevanti della gestione</w:t>
      </w:r>
      <w:r w:rsidRPr="00F56356">
        <w:rPr>
          <w:rFonts w:ascii="Times New Roman" w:eastAsia="Times New Roman" w:hAnsi="Times New Roman" w:cs="Times New Roman"/>
          <w:b/>
          <w:sz w:val="24"/>
          <w:szCs w:val="24"/>
          <w:lang w:eastAsia="it-IT"/>
        </w:rPr>
        <w:t xml:space="preserve"> </w:t>
      </w:r>
    </w:p>
    <w:p w14:paraId="5EE73C6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somme complessivamente assegnate sono state pari a euro 1.293.440.358,15, di cui euro 20.586.392,73 r</w:t>
      </w:r>
      <w:r w:rsidRPr="00F56356">
        <w:rPr>
          <w:rFonts w:ascii="Times New Roman" w:eastAsia="Times New Roman" w:hAnsi="Times New Roman" w:cs="Times New Roman"/>
          <w:color w:val="000000" w:themeColor="text1"/>
          <w:sz w:val="24"/>
          <w:szCs w:val="24"/>
          <w:lang w:eastAsia="it-IT"/>
        </w:rPr>
        <w:t>iferiti a reiscrizioni di residui passivi perenti ed euro 372.581.000,00 riferiti a riassegnazioni dall’avanzo di esercizio 2021.</w:t>
      </w:r>
    </w:p>
    <w:p w14:paraId="68066349"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Gli impegni assunti ammontano a euro 838.746.189,37, con una economia di bilancio di euro 454.694.168,78. Il totale dei pagamenti riferiti alla competenza è di euro 560.169.135,98, con un indice di capacità di pagamento (rapporto pagato/impegnato) che si attesta al 66,79 per cento.</w:t>
      </w:r>
    </w:p>
    <w:p w14:paraId="581BD61D"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3EF1F445"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lastRenderedPageBreak/>
        <w:t>I residui passivi al 1° gennaio 2022 erano pari a euro 316.483.141,45. Su questi sono stati effettuati pagamenti per euro 269.263.495,64 e realizzate economie per euro 90.065,52.</w:t>
      </w:r>
    </w:p>
    <w:p w14:paraId="6334DDD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7E2EAA8F" w14:textId="77777777" w:rsidR="00F56356" w:rsidRPr="00F56356" w:rsidRDefault="00F56356" w:rsidP="00F56356">
      <w:pPr>
        <w:spacing w:after="0" w:line="360" w:lineRule="auto"/>
        <w:ind w:left="284"/>
        <w:jc w:val="center"/>
        <w:rPr>
          <w:rFonts w:ascii="Times New Roman" w:eastAsia="Times New Roman" w:hAnsi="Times New Roman" w:cs="Times New Roman"/>
          <w:i/>
          <w:color w:val="FF0000"/>
          <w:sz w:val="24"/>
          <w:szCs w:val="24"/>
          <w:lang w:eastAsia="it-IT"/>
        </w:rPr>
      </w:pPr>
      <w:r w:rsidRPr="00F56356">
        <w:rPr>
          <w:rFonts w:ascii="Times New Roman" w:eastAsia="Times New Roman" w:hAnsi="Times New Roman" w:cs="Times New Roman"/>
          <w:sz w:val="24"/>
          <w:szCs w:val="24"/>
          <w:lang w:eastAsia="it-IT"/>
        </w:rPr>
        <w:t>Indicatori di bilancio</w:t>
      </w:r>
    </w:p>
    <w:tbl>
      <w:tblPr>
        <w:tblW w:w="7100" w:type="dxa"/>
        <w:jc w:val="center"/>
        <w:tblCellMar>
          <w:left w:w="70" w:type="dxa"/>
          <w:right w:w="70" w:type="dxa"/>
        </w:tblCellMar>
        <w:tblLook w:val="04A0" w:firstRow="1" w:lastRow="0" w:firstColumn="1" w:lastColumn="0" w:noHBand="0" w:noVBand="1"/>
      </w:tblPr>
      <w:tblGrid>
        <w:gridCol w:w="894"/>
        <w:gridCol w:w="1580"/>
        <w:gridCol w:w="1437"/>
        <w:gridCol w:w="944"/>
        <w:gridCol w:w="1153"/>
        <w:gridCol w:w="1092"/>
      </w:tblGrid>
      <w:tr w:rsidR="00F56356" w:rsidRPr="00F56356" w14:paraId="703BEC42" w14:textId="77777777" w:rsidTr="00F56356">
        <w:trPr>
          <w:trHeight w:val="420"/>
          <w:jc w:val="center"/>
        </w:trPr>
        <w:tc>
          <w:tcPr>
            <w:tcW w:w="7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3804"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5C57DCC0" w14:textId="77777777" w:rsidTr="00F56356">
        <w:trPr>
          <w:trHeight w:val="465"/>
          <w:jc w:val="center"/>
        </w:trPr>
        <w:tc>
          <w:tcPr>
            <w:tcW w:w="8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3950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14:paraId="46D889CD"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accertati all’01/01/2022</w:t>
            </w:r>
          </w:p>
        </w:tc>
        <w:tc>
          <w:tcPr>
            <w:tcW w:w="1437" w:type="dxa"/>
            <w:vMerge w:val="restart"/>
            <w:tcBorders>
              <w:top w:val="nil"/>
              <w:left w:val="single" w:sz="4" w:space="0" w:color="auto"/>
              <w:bottom w:val="single" w:sz="4" w:space="0" w:color="auto"/>
              <w:right w:val="single" w:sz="4" w:space="0" w:color="auto"/>
            </w:tcBorders>
            <w:shd w:val="clear" w:color="auto" w:fill="auto"/>
            <w:vAlign w:val="center"/>
            <w:hideMark/>
          </w:tcPr>
          <w:p w14:paraId="7C2B6505"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correnti al 31/12/2022</w:t>
            </w:r>
          </w:p>
        </w:tc>
        <w:tc>
          <w:tcPr>
            <w:tcW w:w="3189" w:type="dxa"/>
            <w:gridSpan w:val="3"/>
            <w:tcBorders>
              <w:top w:val="single" w:sz="4" w:space="0" w:color="auto"/>
              <w:left w:val="nil"/>
              <w:bottom w:val="single" w:sz="4" w:space="0" w:color="auto"/>
              <w:right w:val="single" w:sz="4" w:space="0" w:color="000000"/>
            </w:tcBorders>
            <w:shd w:val="clear" w:color="auto" w:fill="auto"/>
            <w:vAlign w:val="center"/>
            <w:hideMark/>
          </w:tcPr>
          <w:p w14:paraId="27CF721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04BE4EAA" w14:textId="77777777" w:rsidTr="00F56356">
        <w:trPr>
          <w:trHeight w:val="405"/>
          <w:jc w:val="center"/>
        </w:trPr>
        <w:tc>
          <w:tcPr>
            <w:tcW w:w="894" w:type="dxa"/>
            <w:vMerge/>
            <w:tcBorders>
              <w:top w:val="nil"/>
              <w:left w:val="single" w:sz="4" w:space="0" w:color="auto"/>
              <w:bottom w:val="single" w:sz="4" w:space="0" w:color="auto"/>
              <w:right w:val="single" w:sz="4" w:space="0" w:color="auto"/>
            </w:tcBorders>
            <w:vAlign w:val="center"/>
            <w:hideMark/>
          </w:tcPr>
          <w:p w14:paraId="31BCA524"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80" w:type="dxa"/>
            <w:vMerge/>
            <w:tcBorders>
              <w:top w:val="nil"/>
              <w:left w:val="single" w:sz="4" w:space="0" w:color="auto"/>
              <w:bottom w:val="single" w:sz="4" w:space="0" w:color="auto"/>
              <w:right w:val="single" w:sz="4" w:space="0" w:color="auto"/>
            </w:tcBorders>
            <w:vAlign w:val="center"/>
            <w:hideMark/>
          </w:tcPr>
          <w:p w14:paraId="2D18256E"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437" w:type="dxa"/>
            <w:vMerge/>
            <w:tcBorders>
              <w:top w:val="nil"/>
              <w:left w:val="single" w:sz="4" w:space="0" w:color="auto"/>
              <w:bottom w:val="single" w:sz="4" w:space="0" w:color="auto"/>
              <w:right w:val="single" w:sz="4" w:space="0" w:color="auto"/>
            </w:tcBorders>
            <w:vAlign w:val="center"/>
            <w:hideMark/>
          </w:tcPr>
          <w:p w14:paraId="1260AE27"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944" w:type="dxa"/>
            <w:tcBorders>
              <w:top w:val="nil"/>
              <w:left w:val="nil"/>
              <w:bottom w:val="single" w:sz="4" w:space="0" w:color="auto"/>
              <w:right w:val="single" w:sz="4" w:space="0" w:color="auto"/>
            </w:tcBorders>
            <w:shd w:val="clear" w:color="auto" w:fill="auto"/>
            <w:vAlign w:val="center"/>
            <w:hideMark/>
          </w:tcPr>
          <w:p w14:paraId="2205C2B2"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attesa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53" w:type="dxa"/>
            <w:tcBorders>
              <w:top w:val="nil"/>
              <w:left w:val="nil"/>
              <w:bottom w:val="single" w:sz="4" w:space="0" w:color="auto"/>
              <w:right w:val="single" w:sz="4" w:space="0" w:color="auto"/>
            </w:tcBorders>
            <w:shd w:val="clear" w:color="auto" w:fill="auto"/>
            <w:vAlign w:val="center"/>
            <w:hideMark/>
          </w:tcPr>
          <w:p w14:paraId="520AE6CD"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realizzata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092" w:type="dxa"/>
            <w:tcBorders>
              <w:top w:val="nil"/>
              <w:left w:val="nil"/>
              <w:bottom w:val="single" w:sz="4" w:space="0" w:color="auto"/>
              <w:right w:val="single" w:sz="4" w:space="0" w:color="auto"/>
            </w:tcBorders>
            <w:shd w:val="clear" w:color="auto" w:fill="auto"/>
            <w:vAlign w:val="center"/>
            <w:hideMark/>
          </w:tcPr>
          <w:p w14:paraId="074532E6"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scost.to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r>
      <w:tr w:rsidR="00F56356" w:rsidRPr="00F56356" w14:paraId="36230861" w14:textId="77777777" w:rsidTr="00F56356">
        <w:trPr>
          <w:trHeight w:val="240"/>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13DC909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114</w:t>
            </w:r>
          </w:p>
        </w:tc>
        <w:tc>
          <w:tcPr>
            <w:tcW w:w="1580" w:type="dxa"/>
            <w:tcBorders>
              <w:top w:val="nil"/>
              <w:left w:val="nil"/>
              <w:bottom w:val="single" w:sz="4" w:space="0" w:color="auto"/>
              <w:right w:val="single" w:sz="4" w:space="0" w:color="auto"/>
            </w:tcBorders>
            <w:shd w:val="clear" w:color="auto" w:fill="auto"/>
            <w:noWrap/>
            <w:vAlign w:val="center"/>
            <w:hideMark/>
          </w:tcPr>
          <w:p w14:paraId="0FA30F7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20.001,66</w:t>
            </w:r>
          </w:p>
        </w:tc>
        <w:tc>
          <w:tcPr>
            <w:tcW w:w="1437" w:type="dxa"/>
            <w:tcBorders>
              <w:top w:val="nil"/>
              <w:left w:val="nil"/>
              <w:bottom w:val="single" w:sz="4" w:space="0" w:color="auto"/>
              <w:right w:val="single" w:sz="4" w:space="0" w:color="auto"/>
            </w:tcBorders>
            <w:shd w:val="clear" w:color="auto" w:fill="auto"/>
            <w:noWrap/>
            <w:vAlign w:val="center"/>
            <w:hideMark/>
          </w:tcPr>
          <w:p w14:paraId="7D94838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532,86</w:t>
            </w:r>
          </w:p>
        </w:tc>
        <w:tc>
          <w:tcPr>
            <w:tcW w:w="944" w:type="dxa"/>
            <w:tcBorders>
              <w:top w:val="nil"/>
              <w:left w:val="nil"/>
              <w:bottom w:val="single" w:sz="4" w:space="0" w:color="auto"/>
              <w:right w:val="single" w:sz="4" w:space="0" w:color="auto"/>
            </w:tcBorders>
            <w:shd w:val="clear" w:color="auto" w:fill="auto"/>
            <w:noWrap/>
            <w:vAlign w:val="center"/>
            <w:hideMark/>
          </w:tcPr>
          <w:p w14:paraId="45866FD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53" w:type="dxa"/>
            <w:tcBorders>
              <w:top w:val="nil"/>
              <w:left w:val="nil"/>
              <w:bottom w:val="single" w:sz="4" w:space="0" w:color="auto"/>
              <w:right w:val="nil"/>
            </w:tcBorders>
            <w:shd w:val="clear" w:color="auto" w:fill="auto"/>
            <w:noWrap/>
            <w:vAlign w:val="center"/>
            <w:hideMark/>
          </w:tcPr>
          <w:p w14:paraId="517E568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97,34</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76C9C8A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7,34</w:t>
            </w:r>
          </w:p>
        </w:tc>
      </w:tr>
      <w:tr w:rsidR="00F56356" w:rsidRPr="00F56356" w14:paraId="6D5A2BB7" w14:textId="77777777" w:rsidTr="00F56356">
        <w:trPr>
          <w:trHeight w:val="240"/>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7905521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132</w:t>
            </w:r>
          </w:p>
        </w:tc>
        <w:tc>
          <w:tcPr>
            <w:tcW w:w="1580" w:type="dxa"/>
            <w:tcBorders>
              <w:top w:val="nil"/>
              <w:left w:val="nil"/>
              <w:bottom w:val="single" w:sz="4" w:space="0" w:color="auto"/>
              <w:right w:val="single" w:sz="4" w:space="0" w:color="auto"/>
            </w:tcBorders>
            <w:shd w:val="clear" w:color="auto" w:fill="auto"/>
            <w:noWrap/>
            <w:vAlign w:val="center"/>
            <w:hideMark/>
          </w:tcPr>
          <w:p w14:paraId="5C2C43C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88.264,15</w:t>
            </w:r>
          </w:p>
        </w:tc>
        <w:tc>
          <w:tcPr>
            <w:tcW w:w="1437" w:type="dxa"/>
            <w:tcBorders>
              <w:top w:val="nil"/>
              <w:left w:val="nil"/>
              <w:bottom w:val="single" w:sz="4" w:space="0" w:color="auto"/>
              <w:right w:val="single" w:sz="4" w:space="0" w:color="auto"/>
            </w:tcBorders>
            <w:shd w:val="clear" w:color="auto" w:fill="auto"/>
            <w:noWrap/>
            <w:vAlign w:val="center"/>
            <w:hideMark/>
          </w:tcPr>
          <w:p w14:paraId="2931254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283,51</w:t>
            </w:r>
          </w:p>
        </w:tc>
        <w:tc>
          <w:tcPr>
            <w:tcW w:w="944" w:type="dxa"/>
            <w:tcBorders>
              <w:top w:val="nil"/>
              <w:left w:val="nil"/>
              <w:bottom w:val="single" w:sz="4" w:space="0" w:color="auto"/>
              <w:right w:val="single" w:sz="4" w:space="0" w:color="auto"/>
            </w:tcBorders>
            <w:shd w:val="clear" w:color="auto" w:fill="auto"/>
            <w:noWrap/>
            <w:vAlign w:val="center"/>
            <w:hideMark/>
          </w:tcPr>
          <w:p w14:paraId="5D70C6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nil"/>
            </w:tcBorders>
            <w:shd w:val="clear" w:color="auto" w:fill="auto"/>
            <w:noWrap/>
            <w:vAlign w:val="center"/>
            <w:hideMark/>
          </w:tcPr>
          <w:p w14:paraId="4A6ABAB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99,68</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7B89B7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-0,32</w:t>
            </w:r>
          </w:p>
        </w:tc>
      </w:tr>
      <w:tr w:rsidR="00F56356" w:rsidRPr="00F56356" w14:paraId="77241092" w14:textId="77777777" w:rsidTr="00F56356">
        <w:trPr>
          <w:trHeight w:val="240"/>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374C00E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147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1</w:t>
            </w:r>
          </w:p>
        </w:tc>
        <w:tc>
          <w:tcPr>
            <w:tcW w:w="1580" w:type="dxa"/>
            <w:tcBorders>
              <w:top w:val="nil"/>
              <w:left w:val="nil"/>
              <w:bottom w:val="single" w:sz="4" w:space="0" w:color="auto"/>
              <w:right w:val="single" w:sz="4" w:space="0" w:color="auto"/>
            </w:tcBorders>
            <w:shd w:val="clear" w:color="auto" w:fill="auto"/>
            <w:noWrap/>
            <w:vAlign w:val="center"/>
            <w:hideMark/>
          </w:tcPr>
          <w:p w14:paraId="79CB1CF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17.578,05</w:t>
            </w:r>
          </w:p>
        </w:tc>
        <w:tc>
          <w:tcPr>
            <w:tcW w:w="1437" w:type="dxa"/>
            <w:tcBorders>
              <w:top w:val="nil"/>
              <w:left w:val="nil"/>
              <w:bottom w:val="single" w:sz="4" w:space="0" w:color="auto"/>
              <w:right w:val="single" w:sz="4" w:space="0" w:color="auto"/>
            </w:tcBorders>
            <w:shd w:val="clear" w:color="auto" w:fill="auto"/>
            <w:noWrap/>
            <w:vAlign w:val="center"/>
            <w:hideMark/>
          </w:tcPr>
          <w:p w14:paraId="00223BE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44" w:type="dxa"/>
            <w:tcBorders>
              <w:top w:val="nil"/>
              <w:left w:val="nil"/>
              <w:bottom w:val="single" w:sz="4" w:space="0" w:color="auto"/>
              <w:right w:val="single" w:sz="4" w:space="0" w:color="auto"/>
            </w:tcBorders>
            <w:shd w:val="clear" w:color="auto" w:fill="auto"/>
            <w:noWrap/>
            <w:vAlign w:val="center"/>
            <w:hideMark/>
          </w:tcPr>
          <w:p w14:paraId="3C607A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53" w:type="dxa"/>
            <w:tcBorders>
              <w:top w:val="nil"/>
              <w:left w:val="nil"/>
              <w:bottom w:val="single" w:sz="4" w:space="0" w:color="auto"/>
              <w:right w:val="single" w:sz="4" w:space="0" w:color="auto"/>
            </w:tcBorders>
            <w:shd w:val="clear" w:color="auto" w:fill="auto"/>
            <w:noWrap/>
            <w:vAlign w:val="center"/>
            <w:hideMark/>
          </w:tcPr>
          <w:p w14:paraId="5C562C6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092" w:type="dxa"/>
            <w:tcBorders>
              <w:top w:val="nil"/>
              <w:left w:val="nil"/>
              <w:bottom w:val="single" w:sz="4" w:space="0" w:color="auto"/>
              <w:right w:val="single" w:sz="4" w:space="0" w:color="auto"/>
            </w:tcBorders>
            <w:shd w:val="clear" w:color="auto" w:fill="auto"/>
            <w:noWrap/>
            <w:vAlign w:val="center"/>
            <w:hideMark/>
          </w:tcPr>
          <w:p w14:paraId="70F1610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4820738B" w14:textId="77777777" w:rsidTr="00F56356">
        <w:trPr>
          <w:trHeight w:val="240"/>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3D9CB8B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179</w:t>
            </w:r>
          </w:p>
        </w:tc>
        <w:tc>
          <w:tcPr>
            <w:tcW w:w="1580" w:type="dxa"/>
            <w:tcBorders>
              <w:top w:val="nil"/>
              <w:left w:val="nil"/>
              <w:bottom w:val="single" w:sz="4" w:space="0" w:color="auto"/>
              <w:right w:val="single" w:sz="4" w:space="0" w:color="auto"/>
            </w:tcBorders>
            <w:shd w:val="clear" w:color="auto" w:fill="auto"/>
            <w:noWrap/>
            <w:vAlign w:val="center"/>
            <w:hideMark/>
          </w:tcPr>
          <w:p w14:paraId="4067DC5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479,70</w:t>
            </w:r>
          </w:p>
        </w:tc>
        <w:tc>
          <w:tcPr>
            <w:tcW w:w="1437" w:type="dxa"/>
            <w:tcBorders>
              <w:top w:val="nil"/>
              <w:left w:val="nil"/>
              <w:bottom w:val="single" w:sz="4" w:space="0" w:color="auto"/>
              <w:right w:val="single" w:sz="4" w:space="0" w:color="auto"/>
            </w:tcBorders>
            <w:shd w:val="clear" w:color="auto" w:fill="auto"/>
            <w:noWrap/>
            <w:vAlign w:val="center"/>
            <w:hideMark/>
          </w:tcPr>
          <w:p w14:paraId="6B7CB97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44" w:type="dxa"/>
            <w:tcBorders>
              <w:top w:val="nil"/>
              <w:left w:val="nil"/>
              <w:bottom w:val="single" w:sz="4" w:space="0" w:color="auto"/>
              <w:right w:val="single" w:sz="4" w:space="0" w:color="auto"/>
            </w:tcBorders>
            <w:shd w:val="clear" w:color="auto" w:fill="auto"/>
            <w:noWrap/>
            <w:vAlign w:val="center"/>
            <w:hideMark/>
          </w:tcPr>
          <w:p w14:paraId="2AE4DFF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w:t>
            </w:r>
          </w:p>
        </w:tc>
        <w:tc>
          <w:tcPr>
            <w:tcW w:w="1153" w:type="dxa"/>
            <w:tcBorders>
              <w:top w:val="nil"/>
              <w:left w:val="nil"/>
              <w:bottom w:val="single" w:sz="4" w:space="0" w:color="auto"/>
              <w:right w:val="single" w:sz="4" w:space="0" w:color="auto"/>
            </w:tcBorders>
            <w:shd w:val="clear" w:color="auto" w:fill="auto"/>
            <w:noWrap/>
            <w:vAlign w:val="center"/>
            <w:hideMark/>
          </w:tcPr>
          <w:p w14:paraId="2971657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092" w:type="dxa"/>
            <w:tcBorders>
              <w:top w:val="nil"/>
              <w:left w:val="nil"/>
              <w:bottom w:val="single" w:sz="4" w:space="0" w:color="auto"/>
              <w:right w:val="single" w:sz="4" w:space="0" w:color="auto"/>
            </w:tcBorders>
            <w:shd w:val="clear" w:color="auto" w:fill="auto"/>
            <w:noWrap/>
            <w:vAlign w:val="center"/>
            <w:hideMark/>
          </w:tcPr>
          <w:p w14:paraId="7E4F6D4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w:t>
            </w:r>
          </w:p>
        </w:tc>
      </w:tr>
      <w:tr w:rsidR="00F56356" w:rsidRPr="00F56356" w14:paraId="7D905FA5" w14:textId="77777777" w:rsidTr="00F56356">
        <w:trPr>
          <w:trHeight w:val="240"/>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1FFD763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431</w:t>
            </w:r>
          </w:p>
        </w:tc>
        <w:tc>
          <w:tcPr>
            <w:tcW w:w="1580" w:type="dxa"/>
            <w:tcBorders>
              <w:top w:val="nil"/>
              <w:left w:val="nil"/>
              <w:bottom w:val="single" w:sz="4" w:space="0" w:color="auto"/>
              <w:right w:val="single" w:sz="4" w:space="0" w:color="auto"/>
            </w:tcBorders>
            <w:shd w:val="clear" w:color="auto" w:fill="auto"/>
            <w:noWrap/>
            <w:vAlign w:val="center"/>
            <w:hideMark/>
          </w:tcPr>
          <w:p w14:paraId="59ADB45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3.094,56</w:t>
            </w:r>
          </w:p>
        </w:tc>
        <w:tc>
          <w:tcPr>
            <w:tcW w:w="1437" w:type="dxa"/>
            <w:tcBorders>
              <w:top w:val="nil"/>
              <w:left w:val="nil"/>
              <w:bottom w:val="single" w:sz="4" w:space="0" w:color="auto"/>
              <w:right w:val="single" w:sz="4" w:space="0" w:color="auto"/>
            </w:tcBorders>
            <w:shd w:val="clear" w:color="auto" w:fill="auto"/>
            <w:noWrap/>
            <w:vAlign w:val="center"/>
            <w:hideMark/>
          </w:tcPr>
          <w:p w14:paraId="77ED221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44" w:type="dxa"/>
            <w:tcBorders>
              <w:top w:val="nil"/>
              <w:left w:val="nil"/>
              <w:bottom w:val="single" w:sz="4" w:space="0" w:color="auto"/>
              <w:right w:val="single" w:sz="4" w:space="0" w:color="auto"/>
            </w:tcBorders>
            <w:shd w:val="clear" w:color="auto" w:fill="auto"/>
            <w:noWrap/>
            <w:vAlign w:val="center"/>
            <w:hideMark/>
          </w:tcPr>
          <w:p w14:paraId="5F4178B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6DC0CC5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092" w:type="dxa"/>
            <w:tcBorders>
              <w:top w:val="nil"/>
              <w:left w:val="nil"/>
              <w:bottom w:val="single" w:sz="4" w:space="0" w:color="auto"/>
              <w:right w:val="single" w:sz="4" w:space="0" w:color="auto"/>
            </w:tcBorders>
            <w:shd w:val="clear" w:color="auto" w:fill="auto"/>
            <w:noWrap/>
            <w:vAlign w:val="center"/>
            <w:hideMark/>
          </w:tcPr>
          <w:p w14:paraId="186BE08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5F2DC046" w14:textId="77777777" w:rsidTr="00F56356">
        <w:trPr>
          <w:trHeight w:val="315"/>
          <w:jc w:val="center"/>
        </w:trPr>
        <w:tc>
          <w:tcPr>
            <w:tcW w:w="894" w:type="dxa"/>
            <w:tcBorders>
              <w:top w:val="nil"/>
              <w:left w:val="single" w:sz="4" w:space="0" w:color="auto"/>
              <w:bottom w:val="single" w:sz="4" w:space="0" w:color="auto"/>
              <w:right w:val="single" w:sz="4" w:space="0" w:color="auto"/>
            </w:tcBorders>
            <w:shd w:val="clear" w:color="auto" w:fill="auto"/>
            <w:noWrap/>
            <w:vAlign w:val="center"/>
            <w:hideMark/>
          </w:tcPr>
          <w:p w14:paraId="26B23248"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80" w:type="dxa"/>
            <w:tcBorders>
              <w:top w:val="nil"/>
              <w:left w:val="nil"/>
              <w:bottom w:val="single" w:sz="4" w:space="0" w:color="auto"/>
              <w:right w:val="single" w:sz="4" w:space="0" w:color="auto"/>
            </w:tcBorders>
            <w:shd w:val="clear" w:color="auto" w:fill="auto"/>
            <w:noWrap/>
            <w:vAlign w:val="center"/>
            <w:hideMark/>
          </w:tcPr>
          <w:p w14:paraId="1D3FB90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129.418,12</w:t>
            </w:r>
          </w:p>
        </w:tc>
        <w:tc>
          <w:tcPr>
            <w:tcW w:w="1437" w:type="dxa"/>
            <w:tcBorders>
              <w:top w:val="nil"/>
              <w:left w:val="nil"/>
              <w:bottom w:val="single" w:sz="4" w:space="0" w:color="auto"/>
              <w:right w:val="single" w:sz="4" w:space="0" w:color="auto"/>
            </w:tcBorders>
            <w:shd w:val="clear" w:color="auto" w:fill="auto"/>
            <w:noWrap/>
            <w:vAlign w:val="center"/>
            <w:hideMark/>
          </w:tcPr>
          <w:p w14:paraId="30A9A58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816,37</w:t>
            </w:r>
          </w:p>
        </w:tc>
        <w:tc>
          <w:tcPr>
            <w:tcW w:w="944" w:type="dxa"/>
            <w:tcBorders>
              <w:top w:val="nil"/>
              <w:left w:val="nil"/>
              <w:bottom w:val="nil"/>
              <w:right w:val="nil"/>
            </w:tcBorders>
            <w:shd w:val="clear" w:color="auto" w:fill="auto"/>
            <w:noWrap/>
            <w:vAlign w:val="center"/>
            <w:hideMark/>
          </w:tcPr>
          <w:p w14:paraId="773FBBB3"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53" w:type="dxa"/>
            <w:tcBorders>
              <w:top w:val="nil"/>
              <w:left w:val="nil"/>
              <w:bottom w:val="nil"/>
              <w:right w:val="nil"/>
            </w:tcBorders>
            <w:shd w:val="clear" w:color="auto" w:fill="auto"/>
            <w:noWrap/>
            <w:vAlign w:val="center"/>
            <w:hideMark/>
          </w:tcPr>
          <w:p w14:paraId="6310C0CE"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092" w:type="dxa"/>
            <w:tcBorders>
              <w:top w:val="nil"/>
              <w:left w:val="nil"/>
              <w:bottom w:val="nil"/>
              <w:right w:val="nil"/>
            </w:tcBorders>
            <w:shd w:val="clear" w:color="auto" w:fill="auto"/>
            <w:noWrap/>
            <w:vAlign w:val="center"/>
            <w:hideMark/>
          </w:tcPr>
          <w:p w14:paraId="14C1859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79362AE6" w14:textId="77777777" w:rsidR="00F56356" w:rsidRPr="00F56356" w:rsidRDefault="00F56356" w:rsidP="00F56356">
      <w:pPr>
        <w:spacing w:after="0" w:line="360" w:lineRule="auto"/>
        <w:jc w:val="center"/>
        <w:rPr>
          <w:rFonts w:ascii="Times New Roman" w:eastAsia="Times New Roman" w:hAnsi="Times New Roman" w:cs="Times New Roman"/>
          <w:color w:val="FF0000"/>
          <w:sz w:val="16"/>
          <w:szCs w:val="24"/>
          <w:lang w:eastAsia="it-IT"/>
        </w:rPr>
      </w:pPr>
    </w:p>
    <w:p w14:paraId="2E18A1DB" w14:textId="77777777" w:rsidR="00F56356" w:rsidRPr="00F56356" w:rsidRDefault="00F56356" w:rsidP="00F56356">
      <w:pPr>
        <w:spacing w:after="0" w:line="360" w:lineRule="auto"/>
        <w:jc w:val="center"/>
        <w:rPr>
          <w:rFonts w:ascii="Times New Roman" w:eastAsia="Times New Roman" w:hAnsi="Times New Roman" w:cs="Times New Roman"/>
          <w:color w:val="FF0000"/>
          <w:sz w:val="16"/>
          <w:szCs w:val="24"/>
          <w:lang w:eastAsia="it-IT"/>
        </w:rPr>
      </w:pPr>
    </w:p>
    <w:tbl>
      <w:tblPr>
        <w:tblW w:w="7100" w:type="dxa"/>
        <w:jc w:val="center"/>
        <w:tblCellMar>
          <w:left w:w="70" w:type="dxa"/>
          <w:right w:w="70" w:type="dxa"/>
        </w:tblCellMar>
        <w:tblLook w:val="04A0" w:firstRow="1" w:lastRow="0" w:firstColumn="1" w:lastColumn="0" w:noHBand="0" w:noVBand="1"/>
      </w:tblPr>
      <w:tblGrid>
        <w:gridCol w:w="479"/>
        <w:gridCol w:w="1654"/>
        <w:gridCol w:w="1616"/>
        <w:gridCol w:w="988"/>
        <w:gridCol w:w="1207"/>
        <w:gridCol w:w="1156"/>
      </w:tblGrid>
      <w:tr w:rsidR="00F56356" w:rsidRPr="00F56356" w14:paraId="4062AD13" w14:textId="77777777" w:rsidTr="00F56356">
        <w:trPr>
          <w:trHeight w:val="420"/>
          <w:jc w:val="center"/>
        </w:trPr>
        <w:tc>
          <w:tcPr>
            <w:tcW w:w="7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62268"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2245FC1B"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67BB6"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54" w:type="dxa"/>
            <w:vMerge w:val="restart"/>
            <w:tcBorders>
              <w:top w:val="nil"/>
              <w:left w:val="single" w:sz="4" w:space="0" w:color="auto"/>
              <w:bottom w:val="single" w:sz="4" w:space="0" w:color="auto"/>
              <w:right w:val="single" w:sz="4" w:space="0" w:color="auto"/>
            </w:tcBorders>
            <w:shd w:val="clear" w:color="auto" w:fill="auto"/>
            <w:vAlign w:val="center"/>
            <w:hideMark/>
          </w:tcPr>
          <w:p w14:paraId="3C14BC60"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accertati all’01/01/2022</w:t>
            </w:r>
          </w:p>
        </w:tc>
        <w:tc>
          <w:tcPr>
            <w:tcW w:w="1616" w:type="dxa"/>
            <w:vMerge w:val="restart"/>
            <w:tcBorders>
              <w:top w:val="nil"/>
              <w:left w:val="single" w:sz="4" w:space="0" w:color="auto"/>
              <w:bottom w:val="single" w:sz="4" w:space="0" w:color="auto"/>
              <w:right w:val="single" w:sz="4" w:space="0" w:color="auto"/>
            </w:tcBorders>
            <w:shd w:val="clear" w:color="auto" w:fill="auto"/>
            <w:vAlign w:val="center"/>
            <w:hideMark/>
          </w:tcPr>
          <w:p w14:paraId="028B7EC1"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correnti al 31/12/2022</w:t>
            </w:r>
          </w:p>
        </w:tc>
        <w:tc>
          <w:tcPr>
            <w:tcW w:w="3351" w:type="dxa"/>
            <w:gridSpan w:val="3"/>
            <w:tcBorders>
              <w:top w:val="single" w:sz="4" w:space="0" w:color="auto"/>
              <w:left w:val="nil"/>
              <w:bottom w:val="single" w:sz="4" w:space="0" w:color="auto"/>
              <w:right w:val="single" w:sz="4" w:space="0" w:color="000000"/>
            </w:tcBorders>
            <w:shd w:val="clear" w:color="auto" w:fill="auto"/>
            <w:vAlign w:val="center"/>
            <w:hideMark/>
          </w:tcPr>
          <w:p w14:paraId="3C8A575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6CDBC996" w14:textId="77777777" w:rsidTr="00F56356">
        <w:trPr>
          <w:trHeight w:val="405"/>
          <w:jc w:val="center"/>
        </w:trPr>
        <w:tc>
          <w:tcPr>
            <w:tcW w:w="479" w:type="dxa"/>
            <w:vMerge/>
            <w:tcBorders>
              <w:top w:val="nil"/>
              <w:left w:val="single" w:sz="4" w:space="0" w:color="auto"/>
              <w:bottom w:val="single" w:sz="4" w:space="0" w:color="auto"/>
              <w:right w:val="single" w:sz="4" w:space="0" w:color="auto"/>
            </w:tcBorders>
            <w:vAlign w:val="center"/>
            <w:hideMark/>
          </w:tcPr>
          <w:p w14:paraId="71E54B35"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54" w:type="dxa"/>
            <w:vMerge/>
            <w:tcBorders>
              <w:top w:val="nil"/>
              <w:left w:val="single" w:sz="4" w:space="0" w:color="auto"/>
              <w:bottom w:val="single" w:sz="4" w:space="0" w:color="auto"/>
              <w:right w:val="single" w:sz="4" w:space="0" w:color="auto"/>
            </w:tcBorders>
            <w:vAlign w:val="center"/>
            <w:hideMark/>
          </w:tcPr>
          <w:p w14:paraId="04832153"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616" w:type="dxa"/>
            <w:vMerge/>
            <w:tcBorders>
              <w:top w:val="nil"/>
              <w:left w:val="single" w:sz="4" w:space="0" w:color="auto"/>
              <w:bottom w:val="single" w:sz="4" w:space="0" w:color="auto"/>
              <w:right w:val="single" w:sz="4" w:space="0" w:color="auto"/>
            </w:tcBorders>
            <w:vAlign w:val="center"/>
            <w:hideMark/>
          </w:tcPr>
          <w:p w14:paraId="35A22460"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988" w:type="dxa"/>
            <w:tcBorders>
              <w:top w:val="nil"/>
              <w:left w:val="nil"/>
              <w:bottom w:val="single" w:sz="4" w:space="0" w:color="auto"/>
              <w:right w:val="single" w:sz="4" w:space="0" w:color="auto"/>
            </w:tcBorders>
            <w:shd w:val="clear" w:color="auto" w:fill="auto"/>
            <w:vAlign w:val="center"/>
            <w:hideMark/>
          </w:tcPr>
          <w:p w14:paraId="285A4BB2"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attesa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207" w:type="dxa"/>
            <w:tcBorders>
              <w:top w:val="nil"/>
              <w:left w:val="nil"/>
              <w:bottom w:val="single" w:sz="4" w:space="0" w:color="auto"/>
              <w:right w:val="single" w:sz="4" w:space="0" w:color="auto"/>
            </w:tcBorders>
            <w:shd w:val="clear" w:color="auto" w:fill="auto"/>
            <w:vAlign w:val="center"/>
            <w:hideMark/>
          </w:tcPr>
          <w:p w14:paraId="2B16B6D2"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realizzata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56" w:type="dxa"/>
            <w:tcBorders>
              <w:top w:val="nil"/>
              <w:left w:val="nil"/>
              <w:bottom w:val="single" w:sz="4" w:space="0" w:color="auto"/>
              <w:right w:val="single" w:sz="4" w:space="0" w:color="auto"/>
            </w:tcBorders>
            <w:shd w:val="clear" w:color="auto" w:fill="auto"/>
            <w:vAlign w:val="center"/>
            <w:hideMark/>
          </w:tcPr>
          <w:p w14:paraId="217050E3"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scost.to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r>
      <w:tr w:rsidR="00F56356" w:rsidRPr="00F56356" w14:paraId="261C6FE4"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46D1776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184</w:t>
            </w:r>
          </w:p>
        </w:tc>
        <w:tc>
          <w:tcPr>
            <w:tcW w:w="1654" w:type="dxa"/>
            <w:tcBorders>
              <w:top w:val="nil"/>
              <w:left w:val="nil"/>
              <w:bottom w:val="single" w:sz="4" w:space="0" w:color="auto"/>
              <w:right w:val="single" w:sz="4" w:space="0" w:color="auto"/>
            </w:tcBorders>
            <w:shd w:val="clear" w:color="auto" w:fill="auto"/>
            <w:noWrap/>
            <w:vAlign w:val="center"/>
            <w:hideMark/>
          </w:tcPr>
          <w:p w14:paraId="6CDD8FB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7.035,31</w:t>
            </w:r>
          </w:p>
        </w:tc>
        <w:tc>
          <w:tcPr>
            <w:tcW w:w="1616" w:type="dxa"/>
            <w:tcBorders>
              <w:top w:val="nil"/>
              <w:left w:val="nil"/>
              <w:bottom w:val="single" w:sz="4" w:space="0" w:color="auto"/>
              <w:right w:val="single" w:sz="4" w:space="0" w:color="auto"/>
            </w:tcBorders>
            <w:shd w:val="clear" w:color="auto" w:fill="auto"/>
            <w:noWrap/>
            <w:vAlign w:val="center"/>
            <w:hideMark/>
          </w:tcPr>
          <w:p w14:paraId="0ADE4FC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7.035,31</w:t>
            </w:r>
          </w:p>
        </w:tc>
        <w:tc>
          <w:tcPr>
            <w:tcW w:w="988" w:type="dxa"/>
            <w:tcBorders>
              <w:top w:val="nil"/>
              <w:left w:val="nil"/>
              <w:bottom w:val="single" w:sz="4" w:space="0" w:color="auto"/>
              <w:right w:val="single" w:sz="4" w:space="0" w:color="auto"/>
            </w:tcBorders>
            <w:shd w:val="clear" w:color="auto" w:fill="auto"/>
            <w:noWrap/>
            <w:vAlign w:val="center"/>
            <w:hideMark/>
          </w:tcPr>
          <w:p w14:paraId="0DA703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07" w:type="dxa"/>
            <w:tcBorders>
              <w:top w:val="nil"/>
              <w:left w:val="nil"/>
              <w:bottom w:val="single" w:sz="4" w:space="0" w:color="auto"/>
              <w:right w:val="single" w:sz="4" w:space="0" w:color="auto"/>
            </w:tcBorders>
            <w:shd w:val="clear" w:color="auto" w:fill="auto"/>
            <w:noWrap/>
            <w:vAlign w:val="center"/>
            <w:hideMark/>
          </w:tcPr>
          <w:p w14:paraId="5B468AC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6" w:type="dxa"/>
            <w:tcBorders>
              <w:top w:val="nil"/>
              <w:left w:val="nil"/>
              <w:bottom w:val="single" w:sz="4" w:space="0" w:color="auto"/>
              <w:right w:val="single" w:sz="4" w:space="0" w:color="auto"/>
            </w:tcBorders>
            <w:shd w:val="clear" w:color="auto" w:fill="auto"/>
            <w:noWrap/>
            <w:vAlign w:val="center"/>
            <w:hideMark/>
          </w:tcPr>
          <w:p w14:paraId="3C47B5F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r>
      <w:tr w:rsidR="00F56356" w:rsidRPr="00F56356" w14:paraId="4F154A29"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BFD494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205</w:t>
            </w:r>
          </w:p>
        </w:tc>
        <w:tc>
          <w:tcPr>
            <w:tcW w:w="1654" w:type="dxa"/>
            <w:tcBorders>
              <w:top w:val="nil"/>
              <w:left w:val="nil"/>
              <w:bottom w:val="single" w:sz="4" w:space="0" w:color="auto"/>
              <w:right w:val="single" w:sz="4" w:space="0" w:color="auto"/>
            </w:tcBorders>
            <w:shd w:val="clear" w:color="auto" w:fill="auto"/>
            <w:noWrap/>
            <w:vAlign w:val="center"/>
            <w:hideMark/>
          </w:tcPr>
          <w:p w14:paraId="2EF125A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41.657.087,25</w:t>
            </w:r>
          </w:p>
        </w:tc>
        <w:tc>
          <w:tcPr>
            <w:tcW w:w="1616" w:type="dxa"/>
            <w:tcBorders>
              <w:top w:val="nil"/>
              <w:left w:val="nil"/>
              <w:bottom w:val="single" w:sz="4" w:space="0" w:color="auto"/>
              <w:right w:val="single" w:sz="4" w:space="0" w:color="auto"/>
            </w:tcBorders>
            <w:shd w:val="clear" w:color="auto" w:fill="auto"/>
            <w:noWrap/>
            <w:vAlign w:val="center"/>
            <w:hideMark/>
          </w:tcPr>
          <w:p w14:paraId="743D362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39.436.120,95</w:t>
            </w:r>
          </w:p>
        </w:tc>
        <w:tc>
          <w:tcPr>
            <w:tcW w:w="988" w:type="dxa"/>
            <w:tcBorders>
              <w:top w:val="nil"/>
              <w:left w:val="nil"/>
              <w:bottom w:val="single" w:sz="4" w:space="0" w:color="auto"/>
              <w:right w:val="single" w:sz="4" w:space="0" w:color="auto"/>
            </w:tcBorders>
            <w:shd w:val="clear" w:color="auto" w:fill="auto"/>
            <w:noWrap/>
            <w:vAlign w:val="center"/>
            <w:hideMark/>
          </w:tcPr>
          <w:p w14:paraId="6B52630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207" w:type="dxa"/>
            <w:tcBorders>
              <w:top w:val="nil"/>
              <w:left w:val="nil"/>
              <w:bottom w:val="single" w:sz="4" w:space="0" w:color="auto"/>
              <w:right w:val="single" w:sz="4" w:space="0" w:color="auto"/>
            </w:tcBorders>
            <w:shd w:val="clear" w:color="auto" w:fill="auto"/>
            <w:noWrap/>
            <w:vAlign w:val="center"/>
            <w:hideMark/>
          </w:tcPr>
          <w:p w14:paraId="52AD277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5,33</w:t>
            </w:r>
          </w:p>
        </w:tc>
        <w:tc>
          <w:tcPr>
            <w:tcW w:w="1156" w:type="dxa"/>
            <w:tcBorders>
              <w:top w:val="nil"/>
              <w:left w:val="nil"/>
              <w:bottom w:val="single" w:sz="4" w:space="0" w:color="auto"/>
              <w:right w:val="single" w:sz="4" w:space="0" w:color="auto"/>
            </w:tcBorders>
            <w:shd w:val="clear" w:color="auto" w:fill="auto"/>
            <w:noWrap/>
            <w:vAlign w:val="center"/>
            <w:hideMark/>
          </w:tcPr>
          <w:p w14:paraId="57CF845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-54,67</w:t>
            </w:r>
          </w:p>
        </w:tc>
      </w:tr>
      <w:tr w:rsidR="00F56356" w:rsidRPr="00F56356" w14:paraId="26E13108"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ECADC1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220</w:t>
            </w:r>
          </w:p>
        </w:tc>
        <w:tc>
          <w:tcPr>
            <w:tcW w:w="1654" w:type="dxa"/>
            <w:tcBorders>
              <w:top w:val="nil"/>
              <w:left w:val="nil"/>
              <w:bottom w:val="single" w:sz="4" w:space="0" w:color="auto"/>
              <w:right w:val="single" w:sz="4" w:space="0" w:color="auto"/>
            </w:tcBorders>
            <w:shd w:val="clear" w:color="auto" w:fill="auto"/>
            <w:noWrap/>
            <w:vAlign w:val="center"/>
            <w:hideMark/>
          </w:tcPr>
          <w:p w14:paraId="476A25F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1.125.319,84</w:t>
            </w:r>
          </w:p>
        </w:tc>
        <w:tc>
          <w:tcPr>
            <w:tcW w:w="1616" w:type="dxa"/>
            <w:tcBorders>
              <w:top w:val="nil"/>
              <w:left w:val="nil"/>
              <w:bottom w:val="single" w:sz="4" w:space="0" w:color="auto"/>
              <w:right w:val="single" w:sz="4" w:space="0" w:color="auto"/>
            </w:tcBorders>
            <w:shd w:val="clear" w:color="auto" w:fill="auto"/>
            <w:noWrap/>
            <w:vAlign w:val="center"/>
            <w:hideMark/>
          </w:tcPr>
          <w:p w14:paraId="4E40274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1.125.319,84</w:t>
            </w:r>
          </w:p>
        </w:tc>
        <w:tc>
          <w:tcPr>
            <w:tcW w:w="988" w:type="dxa"/>
            <w:tcBorders>
              <w:top w:val="nil"/>
              <w:left w:val="nil"/>
              <w:bottom w:val="single" w:sz="4" w:space="0" w:color="auto"/>
              <w:right w:val="single" w:sz="4" w:space="0" w:color="auto"/>
            </w:tcBorders>
            <w:shd w:val="clear" w:color="auto" w:fill="auto"/>
            <w:noWrap/>
            <w:vAlign w:val="center"/>
            <w:hideMark/>
          </w:tcPr>
          <w:p w14:paraId="0E2F12B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07" w:type="dxa"/>
            <w:tcBorders>
              <w:top w:val="nil"/>
              <w:left w:val="nil"/>
              <w:bottom w:val="single" w:sz="4" w:space="0" w:color="auto"/>
              <w:right w:val="single" w:sz="4" w:space="0" w:color="auto"/>
            </w:tcBorders>
            <w:shd w:val="clear" w:color="auto" w:fill="auto"/>
            <w:noWrap/>
            <w:vAlign w:val="center"/>
            <w:hideMark/>
          </w:tcPr>
          <w:p w14:paraId="3EED434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6" w:type="dxa"/>
            <w:tcBorders>
              <w:top w:val="nil"/>
              <w:left w:val="nil"/>
              <w:bottom w:val="single" w:sz="4" w:space="0" w:color="auto"/>
              <w:right w:val="single" w:sz="4" w:space="0" w:color="auto"/>
            </w:tcBorders>
            <w:shd w:val="clear" w:color="auto" w:fill="auto"/>
            <w:noWrap/>
            <w:vAlign w:val="center"/>
            <w:hideMark/>
          </w:tcPr>
          <w:p w14:paraId="2F3BDED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F5CEFE2"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822BF9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229</w:t>
            </w:r>
          </w:p>
        </w:tc>
        <w:tc>
          <w:tcPr>
            <w:tcW w:w="1654" w:type="dxa"/>
            <w:tcBorders>
              <w:top w:val="nil"/>
              <w:left w:val="nil"/>
              <w:bottom w:val="single" w:sz="4" w:space="0" w:color="auto"/>
              <w:right w:val="single" w:sz="4" w:space="0" w:color="auto"/>
            </w:tcBorders>
            <w:shd w:val="clear" w:color="auto" w:fill="auto"/>
            <w:noWrap/>
            <w:vAlign w:val="center"/>
            <w:hideMark/>
          </w:tcPr>
          <w:p w14:paraId="581D133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10.512,00</w:t>
            </w:r>
          </w:p>
        </w:tc>
        <w:tc>
          <w:tcPr>
            <w:tcW w:w="1616" w:type="dxa"/>
            <w:tcBorders>
              <w:top w:val="nil"/>
              <w:left w:val="nil"/>
              <w:bottom w:val="single" w:sz="4" w:space="0" w:color="auto"/>
              <w:right w:val="single" w:sz="4" w:space="0" w:color="auto"/>
            </w:tcBorders>
            <w:shd w:val="clear" w:color="auto" w:fill="auto"/>
            <w:noWrap/>
            <w:vAlign w:val="center"/>
            <w:hideMark/>
          </w:tcPr>
          <w:p w14:paraId="6E762AF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88" w:type="dxa"/>
            <w:tcBorders>
              <w:top w:val="nil"/>
              <w:left w:val="nil"/>
              <w:bottom w:val="single" w:sz="4" w:space="0" w:color="auto"/>
              <w:right w:val="single" w:sz="4" w:space="0" w:color="auto"/>
            </w:tcBorders>
            <w:shd w:val="clear" w:color="auto" w:fill="auto"/>
            <w:noWrap/>
            <w:vAlign w:val="center"/>
            <w:hideMark/>
          </w:tcPr>
          <w:p w14:paraId="465C5D9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207" w:type="dxa"/>
            <w:tcBorders>
              <w:top w:val="nil"/>
              <w:left w:val="nil"/>
              <w:bottom w:val="single" w:sz="4" w:space="0" w:color="auto"/>
              <w:right w:val="single" w:sz="4" w:space="0" w:color="auto"/>
            </w:tcBorders>
            <w:shd w:val="clear" w:color="auto" w:fill="auto"/>
            <w:noWrap/>
            <w:vAlign w:val="center"/>
            <w:hideMark/>
          </w:tcPr>
          <w:p w14:paraId="607E50E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68F3785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56C62E42"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B6B8D1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244</w:t>
            </w:r>
          </w:p>
        </w:tc>
        <w:tc>
          <w:tcPr>
            <w:tcW w:w="1654" w:type="dxa"/>
            <w:tcBorders>
              <w:top w:val="nil"/>
              <w:left w:val="nil"/>
              <w:bottom w:val="single" w:sz="4" w:space="0" w:color="auto"/>
              <w:right w:val="single" w:sz="4" w:space="0" w:color="auto"/>
            </w:tcBorders>
            <w:shd w:val="clear" w:color="auto" w:fill="auto"/>
            <w:noWrap/>
            <w:vAlign w:val="center"/>
            <w:hideMark/>
          </w:tcPr>
          <w:p w14:paraId="38116D7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w:t>
            </w:r>
          </w:p>
        </w:tc>
        <w:tc>
          <w:tcPr>
            <w:tcW w:w="1616" w:type="dxa"/>
            <w:tcBorders>
              <w:top w:val="nil"/>
              <w:left w:val="nil"/>
              <w:bottom w:val="single" w:sz="4" w:space="0" w:color="auto"/>
              <w:right w:val="single" w:sz="4" w:space="0" w:color="auto"/>
            </w:tcBorders>
            <w:shd w:val="clear" w:color="auto" w:fill="auto"/>
            <w:noWrap/>
            <w:vAlign w:val="center"/>
            <w:hideMark/>
          </w:tcPr>
          <w:p w14:paraId="0FA18FE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w:t>
            </w:r>
          </w:p>
        </w:tc>
        <w:tc>
          <w:tcPr>
            <w:tcW w:w="988" w:type="dxa"/>
            <w:tcBorders>
              <w:top w:val="nil"/>
              <w:left w:val="nil"/>
              <w:bottom w:val="single" w:sz="4" w:space="0" w:color="auto"/>
              <w:right w:val="single" w:sz="4" w:space="0" w:color="auto"/>
            </w:tcBorders>
            <w:shd w:val="clear" w:color="auto" w:fill="auto"/>
            <w:noWrap/>
            <w:vAlign w:val="center"/>
            <w:hideMark/>
          </w:tcPr>
          <w:p w14:paraId="441B503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07" w:type="dxa"/>
            <w:tcBorders>
              <w:top w:val="nil"/>
              <w:left w:val="nil"/>
              <w:bottom w:val="single" w:sz="4" w:space="0" w:color="auto"/>
              <w:right w:val="single" w:sz="4" w:space="0" w:color="auto"/>
            </w:tcBorders>
            <w:shd w:val="clear" w:color="auto" w:fill="auto"/>
            <w:noWrap/>
            <w:vAlign w:val="center"/>
            <w:hideMark/>
          </w:tcPr>
          <w:p w14:paraId="66E01A2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6" w:type="dxa"/>
            <w:tcBorders>
              <w:top w:val="nil"/>
              <w:left w:val="nil"/>
              <w:bottom w:val="single" w:sz="4" w:space="0" w:color="auto"/>
              <w:right w:val="single" w:sz="4" w:space="0" w:color="auto"/>
            </w:tcBorders>
            <w:shd w:val="clear" w:color="auto" w:fill="auto"/>
            <w:noWrap/>
            <w:vAlign w:val="center"/>
            <w:hideMark/>
          </w:tcPr>
          <w:p w14:paraId="3E58266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39C4B82"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BE988F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259</w:t>
            </w:r>
          </w:p>
        </w:tc>
        <w:tc>
          <w:tcPr>
            <w:tcW w:w="1654" w:type="dxa"/>
            <w:tcBorders>
              <w:top w:val="nil"/>
              <w:left w:val="nil"/>
              <w:bottom w:val="single" w:sz="4" w:space="0" w:color="auto"/>
              <w:right w:val="single" w:sz="4" w:space="0" w:color="auto"/>
            </w:tcBorders>
            <w:shd w:val="clear" w:color="FFFFFF" w:fill="FFFFFF"/>
            <w:noWrap/>
            <w:vAlign w:val="center"/>
            <w:hideMark/>
          </w:tcPr>
          <w:p w14:paraId="19378621" w14:textId="77777777" w:rsidR="00F56356" w:rsidRPr="00F56356" w:rsidRDefault="00F56356" w:rsidP="00F56356">
            <w:pPr>
              <w:spacing w:after="0" w:line="240" w:lineRule="auto"/>
              <w:jc w:val="right"/>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39.577.069,33</w:t>
            </w:r>
          </w:p>
        </w:tc>
        <w:tc>
          <w:tcPr>
            <w:tcW w:w="1616" w:type="dxa"/>
            <w:tcBorders>
              <w:top w:val="nil"/>
              <w:left w:val="nil"/>
              <w:bottom w:val="single" w:sz="4" w:space="0" w:color="auto"/>
              <w:right w:val="single" w:sz="4" w:space="0" w:color="auto"/>
            </w:tcBorders>
            <w:shd w:val="clear" w:color="FFFFFF" w:fill="FFFFFF"/>
            <w:noWrap/>
            <w:vAlign w:val="center"/>
            <w:hideMark/>
          </w:tcPr>
          <w:p w14:paraId="02216E25" w14:textId="77777777" w:rsidR="00F56356" w:rsidRPr="00F56356" w:rsidRDefault="00F56356" w:rsidP="00F56356">
            <w:pPr>
              <w:spacing w:after="0" w:line="240" w:lineRule="auto"/>
              <w:jc w:val="right"/>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62,63</w:t>
            </w:r>
          </w:p>
        </w:tc>
        <w:tc>
          <w:tcPr>
            <w:tcW w:w="988" w:type="dxa"/>
            <w:tcBorders>
              <w:top w:val="nil"/>
              <w:left w:val="nil"/>
              <w:bottom w:val="single" w:sz="4" w:space="0" w:color="auto"/>
              <w:right w:val="single" w:sz="4" w:space="0" w:color="auto"/>
            </w:tcBorders>
            <w:shd w:val="clear" w:color="auto" w:fill="auto"/>
            <w:noWrap/>
            <w:vAlign w:val="center"/>
            <w:hideMark/>
          </w:tcPr>
          <w:p w14:paraId="578B1F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07" w:type="dxa"/>
            <w:tcBorders>
              <w:top w:val="nil"/>
              <w:left w:val="nil"/>
              <w:bottom w:val="single" w:sz="4" w:space="0" w:color="auto"/>
              <w:right w:val="single" w:sz="4" w:space="0" w:color="auto"/>
            </w:tcBorders>
            <w:shd w:val="clear" w:color="auto" w:fill="auto"/>
            <w:noWrap/>
            <w:vAlign w:val="center"/>
            <w:hideMark/>
          </w:tcPr>
          <w:p w14:paraId="0F52316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6" w:type="dxa"/>
            <w:tcBorders>
              <w:top w:val="nil"/>
              <w:left w:val="nil"/>
              <w:bottom w:val="single" w:sz="4" w:space="0" w:color="auto"/>
              <w:right w:val="single" w:sz="4" w:space="0" w:color="auto"/>
            </w:tcBorders>
            <w:shd w:val="clear" w:color="auto" w:fill="auto"/>
            <w:noWrap/>
            <w:vAlign w:val="center"/>
            <w:hideMark/>
          </w:tcPr>
          <w:p w14:paraId="5F3D741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D16C536"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E09A54D"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54" w:type="dxa"/>
            <w:tcBorders>
              <w:top w:val="nil"/>
              <w:left w:val="nil"/>
              <w:bottom w:val="single" w:sz="4" w:space="0" w:color="auto"/>
              <w:right w:val="single" w:sz="4" w:space="0" w:color="auto"/>
            </w:tcBorders>
            <w:shd w:val="clear" w:color="auto" w:fill="auto"/>
            <w:noWrap/>
            <w:vAlign w:val="center"/>
            <w:hideMark/>
          </w:tcPr>
          <w:p w14:paraId="4317441A"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82.437.023,73</w:t>
            </w:r>
          </w:p>
        </w:tc>
        <w:tc>
          <w:tcPr>
            <w:tcW w:w="1616" w:type="dxa"/>
            <w:tcBorders>
              <w:top w:val="nil"/>
              <w:left w:val="nil"/>
              <w:bottom w:val="single" w:sz="4" w:space="0" w:color="auto"/>
              <w:right w:val="single" w:sz="4" w:space="0" w:color="auto"/>
            </w:tcBorders>
            <w:shd w:val="clear" w:color="auto" w:fill="auto"/>
            <w:noWrap/>
            <w:vAlign w:val="center"/>
            <w:hideMark/>
          </w:tcPr>
          <w:p w14:paraId="6E9C7E12"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40.628.538,73</w:t>
            </w:r>
          </w:p>
        </w:tc>
        <w:tc>
          <w:tcPr>
            <w:tcW w:w="988" w:type="dxa"/>
            <w:tcBorders>
              <w:top w:val="nil"/>
              <w:left w:val="nil"/>
              <w:bottom w:val="nil"/>
              <w:right w:val="nil"/>
            </w:tcBorders>
            <w:shd w:val="clear" w:color="auto" w:fill="auto"/>
            <w:noWrap/>
            <w:vAlign w:val="center"/>
            <w:hideMark/>
          </w:tcPr>
          <w:p w14:paraId="049D7693"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207" w:type="dxa"/>
            <w:tcBorders>
              <w:top w:val="nil"/>
              <w:left w:val="nil"/>
              <w:bottom w:val="nil"/>
              <w:right w:val="nil"/>
            </w:tcBorders>
            <w:shd w:val="clear" w:color="auto" w:fill="auto"/>
            <w:noWrap/>
            <w:vAlign w:val="center"/>
            <w:hideMark/>
          </w:tcPr>
          <w:p w14:paraId="27DA8699"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56" w:type="dxa"/>
            <w:tcBorders>
              <w:top w:val="nil"/>
              <w:left w:val="nil"/>
              <w:bottom w:val="nil"/>
              <w:right w:val="nil"/>
            </w:tcBorders>
            <w:shd w:val="clear" w:color="auto" w:fill="auto"/>
            <w:noWrap/>
            <w:vAlign w:val="center"/>
            <w:hideMark/>
          </w:tcPr>
          <w:p w14:paraId="056A60F8"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4D988E85" w14:textId="77777777" w:rsidR="00F56356" w:rsidRPr="00F56356" w:rsidRDefault="00F56356" w:rsidP="00F56356">
      <w:pPr>
        <w:spacing w:after="0" w:line="360" w:lineRule="auto"/>
        <w:jc w:val="center"/>
        <w:rPr>
          <w:rFonts w:ascii="Times New Roman" w:eastAsia="Times New Roman" w:hAnsi="Times New Roman" w:cs="Times New Roman"/>
          <w:color w:val="FF0000"/>
          <w:sz w:val="16"/>
          <w:szCs w:val="24"/>
          <w:lang w:eastAsia="it-IT"/>
        </w:rPr>
      </w:pPr>
    </w:p>
    <w:p w14:paraId="70A05F5A" w14:textId="77777777" w:rsidR="00F56356" w:rsidRPr="00F56356" w:rsidRDefault="00F56356" w:rsidP="00F56356">
      <w:pPr>
        <w:spacing w:after="0" w:line="360" w:lineRule="auto"/>
        <w:jc w:val="center"/>
        <w:rPr>
          <w:rFonts w:ascii="Times New Roman" w:eastAsia="Times New Roman" w:hAnsi="Times New Roman" w:cs="Times New Roman"/>
          <w:color w:val="FF0000"/>
          <w:sz w:val="16"/>
          <w:szCs w:val="24"/>
          <w:lang w:eastAsia="it-IT"/>
        </w:rPr>
      </w:pPr>
    </w:p>
    <w:tbl>
      <w:tblPr>
        <w:tblW w:w="7100" w:type="dxa"/>
        <w:jc w:val="center"/>
        <w:tblCellMar>
          <w:left w:w="70" w:type="dxa"/>
          <w:right w:w="70" w:type="dxa"/>
        </w:tblCellMar>
        <w:tblLook w:val="04A0" w:firstRow="1" w:lastRow="0" w:firstColumn="1" w:lastColumn="0" w:noHBand="0" w:noVBand="1"/>
      </w:tblPr>
      <w:tblGrid>
        <w:gridCol w:w="485"/>
        <w:gridCol w:w="1701"/>
        <w:gridCol w:w="1526"/>
        <w:gridCol w:w="1003"/>
        <w:gridCol w:w="1225"/>
        <w:gridCol w:w="1160"/>
      </w:tblGrid>
      <w:tr w:rsidR="00F56356" w:rsidRPr="00F56356" w14:paraId="1580A0AF" w14:textId="77777777" w:rsidTr="00F56356">
        <w:trPr>
          <w:trHeight w:val="420"/>
          <w:jc w:val="center"/>
        </w:trPr>
        <w:tc>
          <w:tcPr>
            <w:tcW w:w="71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6F422"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IN CONTO CAPITALE</w:t>
            </w:r>
          </w:p>
        </w:tc>
      </w:tr>
      <w:tr w:rsidR="00F56356" w:rsidRPr="00F56356" w14:paraId="5562EB70" w14:textId="77777777" w:rsidTr="00F56356">
        <w:trPr>
          <w:trHeight w:val="465"/>
          <w:jc w:val="center"/>
        </w:trPr>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A1155F"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8BD8F09"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accertati all’01/01/2022</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1B254EF3"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correnti al 31/12/2022</w:t>
            </w:r>
          </w:p>
        </w:tc>
        <w:tc>
          <w:tcPr>
            <w:tcW w:w="3388" w:type="dxa"/>
            <w:gridSpan w:val="3"/>
            <w:tcBorders>
              <w:top w:val="single" w:sz="4" w:space="0" w:color="auto"/>
              <w:left w:val="nil"/>
              <w:bottom w:val="single" w:sz="4" w:space="0" w:color="auto"/>
              <w:right w:val="single" w:sz="4" w:space="0" w:color="000000"/>
            </w:tcBorders>
            <w:shd w:val="clear" w:color="auto" w:fill="auto"/>
            <w:vAlign w:val="center"/>
            <w:hideMark/>
          </w:tcPr>
          <w:p w14:paraId="0152827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5DE755F0" w14:textId="77777777" w:rsidTr="00F56356">
        <w:trPr>
          <w:trHeight w:val="405"/>
          <w:jc w:val="center"/>
        </w:trPr>
        <w:tc>
          <w:tcPr>
            <w:tcW w:w="485" w:type="dxa"/>
            <w:vMerge/>
            <w:tcBorders>
              <w:top w:val="nil"/>
              <w:left w:val="single" w:sz="4" w:space="0" w:color="auto"/>
              <w:bottom w:val="single" w:sz="4" w:space="0" w:color="auto"/>
              <w:right w:val="single" w:sz="4" w:space="0" w:color="auto"/>
            </w:tcBorders>
            <w:vAlign w:val="center"/>
            <w:hideMark/>
          </w:tcPr>
          <w:p w14:paraId="4EEEFEFB"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701" w:type="dxa"/>
            <w:vMerge/>
            <w:tcBorders>
              <w:top w:val="nil"/>
              <w:left w:val="single" w:sz="4" w:space="0" w:color="auto"/>
              <w:bottom w:val="single" w:sz="4" w:space="0" w:color="auto"/>
              <w:right w:val="single" w:sz="4" w:space="0" w:color="auto"/>
            </w:tcBorders>
            <w:vAlign w:val="center"/>
            <w:hideMark/>
          </w:tcPr>
          <w:p w14:paraId="41B8B993"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526" w:type="dxa"/>
            <w:vMerge/>
            <w:tcBorders>
              <w:top w:val="nil"/>
              <w:left w:val="single" w:sz="4" w:space="0" w:color="auto"/>
              <w:bottom w:val="single" w:sz="4" w:space="0" w:color="auto"/>
              <w:right w:val="single" w:sz="4" w:space="0" w:color="auto"/>
            </w:tcBorders>
            <w:vAlign w:val="center"/>
            <w:hideMark/>
          </w:tcPr>
          <w:p w14:paraId="66B426CC"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003" w:type="dxa"/>
            <w:tcBorders>
              <w:top w:val="nil"/>
              <w:left w:val="nil"/>
              <w:bottom w:val="single" w:sz="4" w:space="0" w:color="auto"/>
              <w:right w:val="single" w:sz="4" w:space="0" w:color="auto"/>
            </w:tcBorders>
            <w:shd w:val="clear" w:color="auto" w:fill="auto"/>
            <w:vAlign w:val="center"/>
            <w:hideMark/>
          </w:tcPr>
          <w:p w14:paraId="28415D9E"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attesa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225" w:type="dxa"/>
            <w:tcBorders>
              <w:top w:val="nil"/>
              <w:left w:val="nil"/>
              <w:bottom w:val="single" w:sz="4" w:space="0" w:color="auto"/>
              <w:right w:val="single" w:sz="4" w:space="0" w:color="auto"/>
            </w:tcBorders>
            <w:shd w:val="clear" w:color="auto" w:fill="auto"/>
            <w:vAlign w:val="center"/>
            <w:hideMark/>
          </w:tcPr>
          <w:p w14:paraId="6EB13363"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realizzata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60" w:type="dxa"/>
            <w:tcBorders>
              <w:top w:val="nil"/>
              <w:left w:val="nil"/>
              <w:bottom w:val="single" w:sz="4" w:space="0" w:color="auto"/>
              <w:right w:val="single" w:sz="4" w:space="0" w:color="auto"/>
            </w:tcBorders>
            <w:shd w:val="clear" w:color="auto" w:fill="auto"/>
            <w:vAlign w:val="center"/>
            <w:hideMark/>
          </w:tcPr>
          <w:p w14:paraId="1F0D57A0"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scost.to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r>
      <w:tr w:rsidR="00F56356" w:rsidRPr="00F56356" w14:paraId="1536E46E"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ED8B69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901</w:t>
            </w:r>
          </w:p>
        </w:tc>
        <w:tc>
          <w:tcPr>
            <w:tcW w:w="1701" w:type="dxa"/>
            <w:tcBorders>
              <w:top w:val="nil"/>
              <w:left w:val="nil"/>
              <w:bottom w:val="single" w:sz="4" w:space="0" w:color="auto"/>
              <w:right w:val="single" w:sz="4" w:space="0" w:color="auto"/>
            </w:tcBorders>
            <w:shd w:val="clear" w:color="auto" w:fill="auto"/>
            <w:noWrap/>
            <w:vAlign w:val="center"/>
            <w:hideMark/>
          </w:tcPr>
          <w:p w14:paraId="2AE1E05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6.143,08</w:t>
            </w:r>
          </w:p>
        </w:tc>
        <w:tc>
          <w:tcPr>
            <w:tcW w:w="1526" w:type="dxa"/>
            <w:tcBorders>
              <w:top w:val="nil"/>
              <w:left w:val="nil"/>
              <w:bottom w:val="single" w:sz="4" w:space="0" w:color="auto"/>
              <w:right w:val="single" w:sz="4" w:space="0" w:color="auto"/>
            </w:tcBorders>
            <w:shd w:val="clear" w:color="auto" w:fill="auto"/>
            <w:noWrap/>
            <w:vAlign w:val="center"/>
            <w:hideMark/>
          </w:tcPr>
          <w:p w14:paraId="3667BAB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225,19</w:t>
            </w:r>
          </w:p>
        </w:tc>
        <w:tc>
          <w:tcPr>
            <w:tcW w:w="1003" w:type="dxa"/>
            <w:tcBorders>
              <w:top w:val="nil"/>
              <w:left w:val="nil"/>
              <w:bottom w:val="single" w:sz="4" w:space="0" w:color="auto"/>
              <w:right w:val="single" w:sz="4" w:space="0" w:color="auto"/>
            </w:tcBorders>
            <w:shd w:val="clear" w:color="auto" w:fill="auto"/>
            <w:noWrap/>
            <w:vAlign w:val="center"/>
            <w:hideMark/>
          </w:tcPr>
          <w:p w14:paraId="44724A1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225" w:type="dxa"/>
            <w:tcBorders>
              <w:top w:val="nil"/>
              <w:left w:val="nil"/>
              <w:bottom w:val="single" w:sz="4" w:space="0" w:color="auto"/>
              <w:right w:val="single" w:sz="4" w:space="0" w:color="auto"/>
            </w:tcBorders>
            <w:shd w:val="clear" w:color="auto" w:fill="auto"/>
            <w:noWrap/>
            <w:vAlign w:val="center"/>
            <w:hideMark/>
          </w:tcPr>
          <w:p w14:paraId="6F91C8E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96,33</w:t>
            </w:r>
          </w:p>
        </w:tc>
        <w:tc>
          <w:tcPr>
            <w:tcW w:w="1160" w:type="dxa"/>
            <w:tcBorders>
              <w:top w:val="nil"/>
              <w:left w:val="nil"/>
              <w:bottom w:val="single" w:sz="4" w:space="0" w:color="auto"/>
              <w:right w:val="single" w:sz="4" w:space="0" w:color="auto"/>
            </w:tcBorders>
            <w:shd w:val="clear" w:color="auto" w:fill="auto"/>
            <w:noWrap/>
            <w:vAlign w:val="center"/>
            <w:hideMark/>
          </w:tcPr>
          <w:p w14:paraId="46D5DAC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36,33</w:t>
            </w:r>
          </w:p>
        </w:tc>
      </w:tr>
      <w:tr w:rsidR="00F56356" w:rsidRPr="00F56356" w14:paraId="30C2791B"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5E6052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915</w:t>
            </w:r>
          </w:p>
        </w:tc>
        <w:tc>
          <w:tcPr>
            <w:tcW w:w="1701" w:type="dxa"/>
            <w:tcBorders>
              <w:top w:val="nil"/>
              <w:left w:val="nil"/>
              <w:bottom w:val="single" w:sz="4" w:space="0" w:color="auto"/>
              <w:right w:val="single" w:sz="4" w:space="0" w:color="auto"/>
            </w:tcBorders>
            <w:shd w:val="clear" w:color="auto" w:fill="auto"/>
            <w:noWrap/>
            <w:vAlign w:val="center"/>
            <w:hideMark/>
          </w:tcPr>
          <w:p w14:paraId="1460CE6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227.410.556,52</w:t>
            </w:r>
          </w:p>
        </w:tc>
        <w:tc>
          <w:tcPr>
            <w:tcW w:w="1526" w:type="dxa"/>
            <w:tcBorders>
              <w:top w:val="nil"/>
              <w:left w:val="nil"/>
              <w:bottom w:val="single" w:sz="4" w:space="0" w:color="auto"/>
              <w:right w:val="single" w:sz="4" w:space="0" w:color="auto"/>
            </w:tcBorders>
            <w:shd w:val="clear" w:color="auto" w:fill="auto"/>
            <w:noWrap/>
            <w:vAlign w:val="center"/>
            <w:hideMark/>
          </w:tcPr>
          <w:p w14:paraId="60DA735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1003" w:type="dxa"/>
            <w:tcBorders>
              <w:top w:val="nil"/>
              <w:left w:val="nil"/>
              <w:bottom w:val="single" w:sz="4" w:space="0" w:color="auto"/>
              <w:right w:val="single" w:sz="4" w:space="0" w:color="auto"/>
            </w:tcBorders>
            <w:shd w:val="clear" w:color="auto" w:fill="auto"/>
            <w:noWrap/>
            <w:vAlign w:val="center"/>
            <w:hideMark/>
          </w:tcPr>
          <w:p w14:paraId="3788E15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225" w:type="dxa"/>
            <w:tcBorders>
              <w:top w:val="nil"/>
              <w:left w:val="nil"/>
              <w:bottom w:val="single" w:sz="4" w:space="0" w:color="auto"/>
              <w:right w:val="single" w:sz="4" w:space="0" w:color="auto"/>
            </w:tcBorders>
            <w:shd w:val="clear" w:color="auto" w:fill="auto"/>
            <w:noWrap/>
            <w:vAlign w:val="center"/>
            <w:hideMark/>
          </w:tcPr>
          <w:p w14:paraId="1938F08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60" w:type="dxa"/>
            <w:tcBorders>
              <w:top w:val="nil"/>
              <w:left w:val="nil"/>
              <w:bottom w:val="single" w:sz="4" w:space="0" w:color="auto"/>
              <w:right w:val="single" w:sz="4" w:space="0" w:color="auto"/>
            </w:tcBorders>
            <w:shd w:val="clear" w:color="auto" w:fill="auto"/>
            <w:noWrap/>
            <w:vAlign w:val="center"/>
            <w:hideMark/>
          </w:tcPr>
          <w:p w14:paraId="386FB6B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r>
      <w:tr w:rsidR="00F56356" w:rsidRPr="00F56356" w14:paraId="5D3A59F7"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tcPr>
          <w:p w14:paraId="2FACD1B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992</w:t>
            </w:r>
          </w:p>
        </w:tc>
        <w:tc>
          <w:tcPr>
            <w:tcW w:w="1701" w:type="dxa"/>
            <w:tcBorders>
              <w:top w:val="nil"/>
              <w:left w:val="nil"/>
              <w:bottom w:val="single" w:sz="4" w:space="0" w:color="auto"/>
              <w:right w:val="single" w:sz="4" w:space="0" w:color="auto"/>
            </w:tcBorders>
            <w:shd w:val="clear" w:color="auto" w:fill="auto"/>
            <w:noWrap/>
            <w:vAlign w:val="center"/>
          </w:tcPr>
          <w:p w14:paraId="13F6D35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6.500.000,00</w:t>
            </w:r>
          </w:p>
        </w:tc>
        <w:tc>
          <w:tcPr>
            <w:tcW w:w="1526" w:type="dxa"/>
            <w:tcBorders>
              <w:top w:val="nil"/>
              <w:left w:val="nil"/>
              <w:bottom w:val="single" w:sz="4" w:space="0" w:color="auto"/>
              <w:right w:val="single" w:sz="4" w:space="0" w:color="auto"/>
            </w:tcBorders>
            <w:shd w:val="clear" w:color="auto" w:fill="auto"/>
            <w:noWrap/>
            <w:vAlign w:val="center"/>
          </w:tcPr>
          <w:p w14:paraId="7F178E3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6.500.000,00</w:t>
            </w:r>
          </w:p>
        </w:tc>
        <w:tc>
          <w:tcPr>
            <w:tcW w:w="1003" w:type="dxa"/>
            <w:tcBorders>
              <w:top w:val="nil"/>
              <w:left w:val="nil"/>
              <w:bottom w:val="single" w:sz="4" w:space="0" w:color="auto"/>
              <w:right w:val="single" w:sz="4" w:space="0" w:color="auto"/>
            </w:tcBorders>
            <w:shd w:val="clear" w:color="auto" w:fill="auto"/>
            <w:noWrap/>
            <w:vAlign w:val="center"/>
          </w:tcPr>
          <w:p w14:paraId="45B7E8B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25" w:type="dxa"/>
            <w:tcBorders>
              <w:top w:val="nil"/>
              <w:left w:val="nil"/>
              <w:bottom w:val="single" w:sz="4" w:space="0" w:color="auto"/>
              <w:right w:val="single" w:sz="4" w:space="0" w:color="auto"/>
            </w:tcBorders>
            <w:shd w:val="clear" w:color="auto" w:fill="auto"/>
            <w:noWrap/>
            <w:vAlign w:val="center"/>
          </w:tcPr>
          <w:p w14:paraId="3B677D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0" w:type="dxa"/>
            <w:tcBorders>
              <w:top w:val="nil"/>
              <w:left w:val="nil"/>
              <w:bottom w:val="single" w:sz="4" w:space="0" w:color="auto"/>
              <w:right w:val="single" w:sz="4" w:space="0" w:color="auto"/>
            </w:tcBorders>
            <w:shd w:val="clear" w:color="auto" w:fill="auto"/>
            <w:noWrap/>
            <w:vAlign w:val="center"/>
          </w:tcPr>
          <w:p w14:paraId="0C420EB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212AFF46" w14:textId="77777777" w:rsidTr="00F563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29A4561"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701" w:type="dxa"/>
            <w:tcBorders>
              <w:top w:val="nil"/>
              <w:left w:val="nil"/>
              <w:bottom w:val="single" w:sz="4" w:space="0" w:color="auto"/>
              <w:right w:val="single" w:sz="4" w:space="0" w:color="auto"/>
            </w:tcBorders>
            <w:shd w:val="clear" w:color="auto" w:fill="auto"/>
            <w:noWrap/>
            <w:vAlign w:val="center"/>
            <w:hideMark/>
          </w:tcPr>
          <w:p w14:paraId="13645C4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233.916.699,60</w:t>
            </w:r>
          </w:p>
        </w:tc>
        <w:tc>
          <w:tcPr>
            <w:tcW w:w="1526" w:type="dxa"/>
            <w:tcBorders>
              <w:top w:val="nil"/>
              <w:left w:val="nil"/>
              <w:bottom w:val="single" w:sz="4" w:space="0" w:color="auto"/>
              <w:right w:val="single" w:sz="4" w:space="0" w:color="auto"/>
            </w:tcBorders>
            <w:shd w:val="clear" w:color="auto" w:fill="auto"/>
            <w:noWrap/>
            <w:vAlign w:val="center"/>
            <w:hideMark/>
          </w:tcPr>
          <w:p w14:paraId="0C33DE1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6.500.225,19</w:t>
            </w:r>
          </w:p>
        </w:tc>
        <w:tc>
          <w:tcPr>
            <w:tcW w:w="1003" w:type="dxa"/>
            <w:tcBorders>
              <w:top w:val="nil"/>
              <w:left w:val="nil"/>
              <w:bottom w:val="nil"/>
              <w:right w:val="nil"/>
            </w:tcBorders>
            <w:shd w:val="clear" w:color="auto" w:fill="auto"/>
            <w:noWrap/>
            <w:vAlign w:val="center"/>
            <w:hideMark/>
          </w:tcPr>
          <w:p w14:paraId="3CDAEB59"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225" w:type="dxa"/>
            <w:tcBorders>
              <w:top w:val="nil"/>
              <w:left w:val="nil"/>
              <w:bottom w:val="nil"/>
              <w:right w:val="nil"/>
            </w:tcBorders>
            <w:shd w:val="clear" w:color="auto" w:fill="auto"/>
            <w:noWrap/>
            <w:vAlign w:val="center"/>
            <w:hideMark/>
          </w:tcPr>
          <w:p w14:paraId="35837F83"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60" w:type="dxa"/>
            <w:tcBorders>
              <w:top w:val="nil"/>
              <w:left w:val="nil"/>
              <w:bottom w:val="nil"/>
              <w:right w:val="nil"/>
            </w:tcBorders>
            <w:shd w:val="clear" w:color="auto" w:fill="auto"/>
            <w:noWrap/>
            <w:vAlign w:val="center"/>
            <w:hideMark/>
          </w:tcPr>
          <w:p w14:paraId="10BF97B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098FED16" w14:textId="77777777" w:rsidR="00F56356" w:rsidRPr="00F56356" w:rsidRDefault="00F56356" w:rsidP="00F56356">
      <w:pPr>
        <w:spacing w:after="0" w:line="360" w:lineRule="auto"/>
        <w:jc w:val="center"/>
        <w:rPr>
          <w:rFonts w:ascii="Times New Roman" w:eastAsia="Times New Roman" w:hAnsi="Times New Roman" w:cs="Times New Roman"/>
          <w:color w:val="FF0000"/>
          <w:sz w:val="16"/>
          <w:szCs w:val="24"/>
          <w:lang w:eastAsia="it-IT"/>
        </w:rPr>
      </w:pPr>
    </w:p>
    <w:p w14:paraId="7187117F"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8"/>
          <w:szCs w:val="24"/>
          <w:lang w:eastAsia="it-IT"/>
        </w:rPr>
      </w:pPr>
    </w:p>
    <w:p w14:paraId="65B7314A" w14:textId="77777777" w:rsidR="00F56356" w:rsidRPr="00F56356" w:rsidRDefault="00F56356" w:rsidP="00F56356">
      <w:pPr>
        <w:spacing w:after="0" w:line="360" w:lineRule="auto"/>
        <w:jc w:val="center"/>
        <w:rPr>
          <w:rFonts w:ascii="Times New Roman" w:eastAsia="Times New Roman" w:hAnsi="Times New Roman" w:cs="Times New Roman"/>
          <w:color w:val="FF0000"/>
          <w:sz w:val="16"/>
          <w:szCs w:val="24"/>
          <w:lang w:eastAsia="it-IT"/>
        </w:rPr>
      </w:pPr>
    </w:p>
    <w:p w14:paraId="3FEAE356"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838.746.189,37 sono state destinate per euro 212.585,74 al funzionamento, per euro 29.421.352,78 agli interventi e per euro 809.112.250,85 alle spese in conto capitale.</w:t>
      </w:r>
    </w:p>
    <w:p w14:paraId="312032F5" w14:textId="69A4AB5E" w:rsidR="00F56356" w:rsidRDefault="00F56356" w:rsidP="00F56356">
      <w:pPr>
        <w:spacing w:after="0" w:line="360" w:lineRule="auto"/>
        <w:ind w:left="284"/>
        <w:jc w:val="both"/>
        <w:rPr>
          <w:rFonts w:ascii="Times New Roman" w:eastAsia="Times New Roman" w:hAnsi="Times New Roman" w:cs="Times New Roman"/>
          <w:color w:val="FF0000"/>
          <w:sz w:val="12"/>
          <w:szCs w:val="24"/>
          <w:lang w:eastAsia="it-IT"/>
        </w:rPr>
      </w:pPr>
    </w:p>
    <w:p w14:paraId="6D4F1E45" w14:textId="77777777" w:rsidR="009B34AC" w:rsidRPr="00F56356" w:rsidRDefault="009B34AC" w:rsidP="00F56356">
      <w:pPr>
        <w:spacing w:after="0" w:line="360" w:lineRule="auto"/>
        <w:ind w:left="284"/>
        <w:jc w:val="both"/>
        <w:rPr>
          <w:rFonts w:ascii="Times New Roman" w:eastAsia="Times New Roman" w:hAnsi="Times New Roman" w:cs="Times New Roman"/>
          <w:color w:val="FF0000"/>
          <w:sz w:val="12"/>
          <w:szCs w:val="24"/>
          <w:lang w:eastAsia="it-IT"/>
        </w:rPr>
      </w:pPr>
    </w:p>
    <w:p w14:paraId="3B4FBD3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2.2.1</w:t>
      </w:r>
      <w:r w:rsidRPr="00F56356">
        <w:rPr>
          <w:rFonts w:ascii="Times New Roman" w:eastAsia="Times New Roman" w:hAnsi="Times New Roman" w:cs="Times New Roman"/>
          <w:sz w:val="24"/>
          <w:szCs w:val="24"/>
          <w:lang w:eastAsia="it-IT"/>
        </w:rPr>
        <w:t xml:space="preserve"> Le risorse impegnate per il funzionamento di euro 212.585,74 </w:t>
      </w:r>
      <w:r w:rsidRPr="00F56356">
        <w:rPr>
          <w:rFonts w:ascii="Times New Roman" w:eastAsia="Times New Roman" w:hAnsi="Times New Roman" w:cs="Times New Roman"/>
          <w:color w:val="000000" w:themeColor="text1"/>
          <w:sz w:val="24"/>
          <w:szCs w:val="24"/>
          <w:lang w:eastAsia="it-IT"/>
        </w:rPr>
        <w:t xml:space="preserve">sono state destinate al funzionamento e alla valorizzazione della Biblioteca </w:t>
      </w:r>
      <w:proofErr w:type="spellStart"/>
      <w:r w:rsidRPr="00F56356">
        <w:rPr>
          <w:rFonts w:ascii="Times New Roman" w:eastAsia="Times New Roman" w:hAnsi="Times New Roman" w:cs="Times New Roman"/>
          <w:color w:val="000000" w:themeColor="text1"/>
          <w:sz w:val="24"/>
          <w:szCs w:val="24"/>
          <w:lang w:eastAsia="it-IT"/>
        </w:rPr>
        <w:t>Chigiana</w:t>
      </w:r>
      <w:proofErr w:type="spellEnd"/>
      <w:r w:rsidRPr="00F56356">
        <w:rPr>
          <w:rFonts w:ascii="Times New Roman" w:eastAsia="Times New Roman" w:hAnsi="Times New Roman" w:cs="Times New Roman"/>
          <w:color w:val="000000" w:themeColor="text1"/>
          <w:sz w:val="24"/>
          <w:szCs w:val="24"/>
          <w:lang w:eastAsia="it-IT"/>
        </w:rPr>
        <w:t xml:space="preserve">, all’acquisto di abbonamenti per </w:t>
      </w:r>
      <w:r w:rsidRPr="00F56356">
        <w:rPr>
          <w:rFonts w:ascii="Times New Roman" w:eastAsia="Times New Roman" w:hAnsi="Times New Roman" w:cs="Times New Roman"/>
          <w:color w:val="000000" w:themeColor="text1"/>
          <w:sz w:val="24"/>
          <w:szCs w:val="24"/>
          <w:lang w:eastAsia="it-IT"/>
        </w:rPr>
        <w:lastRenderedPageBreak/>
        <w:t xml:space="preserve">banche dati </w:t>
      </w:r>
      <w:r w:rsidRPr="00F56356">
        <w:rPr>
          <w:rFonts w:ascii="Times New Roman" w:eastAsia="Times New Roman" w:hAnsi="Times New Roman" w:cs="Times New Roman"/>
          <w:i/>
          <w:color w:val="000000" w:themeColor="text1"/>
          <w:sz w:val="24"/>
          <w:szCs w:val="24"/>
          <w:lang w:eastAsia="it-IT"/>
        </w:rPr>
        <w:t>on line</w:t>
      </w:r>
      <w:r w:rsidRPr="00F56356">
        <w:rPr>
          <w:rFonts w:ascii="Times New Roman" w:eastAsia="Times New Roman" w:hAnsi="Times New Roman" w:cs="Times New Roman"/>
          <w:color w:val="000000" w:themeColor="text1"/>
          <w:sz w:val="24"/>
          <w:szCs w:val="24"/>
          <w:lang w:eastAsia="it-IT"/>
        </w:rPr>
        <w:t xml:space="preserve"> gestite dalla biblioteca </w:t>
      </w:r>
      <w:proofErr w:type="spellStart"/>
      <w:r w:rsidRPr="00F56356">
        <w:rPr>
          <w:rFonts w:ascii="Times New Roman" w:eastAsia="Times New Roman" w:hAnsi="Times New Roman" w:cs="Times New Roman"/>
          <w:color w:val="000000" w:themeColor="text1"/>
          <w:sz w:val="24"/>
          <w:szCs w:val="24"/>
          <w:lang w:eastAsia="it-IT"/>
        </w:rPr>
        <w:t>Chigiana</w:t>
      </w:r>
      <w:proofErr w:type="spellEnd"/>
      <w:r w:rsidRPr="00F56356">
        <w:rPr>
          <w:rFonts w:ascii="Times New Roman" w:eastAsia="Times New Roman" w:hAnsi="Times New Roman" w:cs="Times New Roman"/>
          <w:color w:val="000000" w:themeColor="text1"/>
          <w:sz w:val="24"/>
          <w:szCs w:val="24"/>
          <w:lang w:eastAsia="it-IT"/>
        </w:rPr>
        <w:t>, a disposizione di tutta l’utenza interna della Presidenza del Consiglio dei ministri, nonché al pagamento di diritti di reprografia e dei contributi per i cataloghi bibliografici</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114);</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all’attività di supporto alla pianificazione ed effettuazione del trasporto aereo per esigenze di Stato, per ragioni sanitarie d’urgenza e umanitarie e per finalità di sicurezza (cap. 132); alle spese per il funzionamento del Comitato per la Biosicurezza, le Biotecnologie e le Scienze della vita (cap. 179), in particolare alle spese di missione dei componenti del Comitato, residenti fuori Roma che partecipano alle riunioni plenarie e alle attività internazionali in ambito OECD e al</w:t>
      </w:r>
      <w:r w:rsidRPr="00F56356">
        <w:rPr>
          <w:rFonts w:ascii="Times New Roman" w:eastAsia="Times New Roman" w:hAnsi="Times New Roman" w:cs="Times New Roman"/>
          <w:color w:val="000000" w:themeColor="text1"/>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 xml:space="preserve">rimborso delle spese di missione ai componenti del Collegio dei Genetisti che effettuano le verifiche ai sensi degli articoli 15 e 16 della legge 30 giugno 2009, n. 85 e dell’articolo 28 del decreto del Presidente della Repubblica n. 87 del 7 aprile 2016; alle spese di funzionamento dell’Ufficio di segreteria della Conferenza Stato-città e autonomie locali, in particolare alle spese per il servizio di </w:t>
      </w:r>
      <w:proofErr w:type="spellStart"/>
      <w:r w:rsidRPr="00F56356">
        <w:rPr>
          <w:rFonts w:ascii="Times New Roman" w:eastAsia="Times New Roman" w:hAnsi="Times New Roman" w:cs="Times New Roman"/>
          <w:color w:val="000000" w:themeColor="text1"/>
          <w:sz w:val="24"/>
          <w:szCs w:val="24"/>
          <w:lang w:eastAsia="it-IT"/>
        </w:rPr>
        <w:t>resocontazione</w:t>
      </w:r>
      <w:proofErr w:type="spellEnd"/>
      <w:r w:rsidRPr="00F56356">
        <w:rPr>
          <w:rFonts w:ascii="Times New Roman" w:eastAsia="Times New Roman" w:hAnsi="Times New Roman" w:cs="Times New Roman"/>
          <w:color w:val="000000" w:themeColor="text1"/>
          <w:sz w:val="24"/>
          <w:szCs w:val="24"/>
          <w:lang w:eastAsia="it-IT"/>
        </w:rPr>
        <w:t xml:space="preserve"> delle riunioni e sedute della Conferenza  Stato-città e autonomie locali (cap. 431). </w:t>
      </w:r>
    </w:p>
    <w:p w14:paraId="7D1BBE0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2"/>
          <w:szCs w:val="24"/>
          <w:lang w:eastAsia="it-IT"/>
        </w:rPr>
      </w:pPr>
    </w:p>
    <w:p w14:paraId="2C54F4F8" w14:textId="77777777" w:rsidR="00F56356" w:rsidRPr="00F56356" w:rsidRDefault="00F56356" w:rsidP="00F56356">
      <w:pPr>
        <w:spacing w:after="0" w:line="360" w:lineRule="auto"/>
        <w:ind w:left="284" w:right="-1"/>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5246A862" w14:textId="77777777" w:rsidR="00F56356" w:rsidRPr="00F56356" w:rsidRDefault="00F56356" w:rsidP="00F56356">
      <w:pPr>
        <w:spacing w:after="0" w:line="240" w:lineRule="auto"/>
        <w:jc w:val="both"/>
        <w:rPr>
          <w:rFonts w:ascii="Times New Roman" w:eastAsia="Times New Roman" w:hAnsi="Times New Roman" w:cs="Times New Roman"/>
          <w:noProof/>
          <w:sz w:val="6"/>
          <w:szCs w:val="28"/>
          <w:lang w:eastAsia="it-IT"/>
        </w:rPr>
      </w:pPr>
    </w:p>
    <w:p w14:paraId="7BB68CB7" w14:textId="77777777" w:rsidR="00F56356" w:rsidRPr="00F56356" w:rsidRDefault="00F56356" w:rsidP="00F56356">
      <w:pPr>
        <w:spacing w:after="0" w:line="240" w:lineRule="auto"/>
        <w:jc w:val="both"/>
        <w:rPr>
          <w:rFonts w:ascii="Times New Roman" w:eastAsia="Times New Roman" w:hAnsi="Times New Roman" w:cs="Times New Roman"/>
          <w:noProof/>
          <w:sz w:val="6"/>
          <w:szCs w:val="28"/>
          <w:lang w:eastAsia="it-IT"/>
        </w:rPr>
      </w:pPr>
    </w:p>
    <w:p w14:paraId="254155DF" w14:textId="77777777" w:rsidR="00F56356" w:rsidRPr="00F56356" w:rsidRDefault="00F56356" w:rsidP="00F56356">
      <w:pPr>
        <w:spacing w:after="0" w:line="240" w:lineRule="auto"/>
        <w:jc w:val="both"/>
        <w:rPr>
          <w:rFonts w:ascii="Times New Roman" w:eastAsia="Times New Roman" w:hAnsi="Times New Roman" w:cs="Times New Roman"/>
          <w:noProof/>
          <w:sz w:val="6"/>
          <w:szCs w:val="28"/>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665408" behindDoc="1" locked="0" layoutInCell="1" allowOverlap="1" wp14:anchorId="757B8098" wp14:editId="1E013F8E">
            <wp:simplePos x="0" y="0"/>
            <wp:positionH relativeFrom="margin">
              <wp:posOffset>146685</wp:posOffset>
            </wp:positionH>
            <wp:positionV relativeFrom="paragraph">
              <wp:posOffset>66040</wp:posOffset>
            </wp:positionV>
            <wp:extent cx="6019800" cy="2048510"/>
            <wp:effectExtent l="0" t="0" r="0" b="8890"/>
            <wp:wrapTight wrapText="bothSides">
              <wp:wrapPolygon edited="0">
                <wp:start x="0" y="0"/>
                <wp:lineTo x="0" y="21493"/>
                <wp:lineTo x="12304" y="21493"/>
                <wp:lineTo x="21395" y="20288"/>
                <wp:lineTo x="21532" y="19283"/>
                <wp:lineTo x="21532" y="16270"/>
                <wp:lineTo x="21122" y="16069"/>
                <wp:lineTo x="21532" y="15065"/>
                <wp:lineTo x="21532" y="13659"/>
                <wp:lineTo x="21122" y="12856"/>
                <wp:lineTo x="21532" y="12454"/>
                <wp:lineTo x="21532" y="0"/>
                <wp:lineTo x="0" y="0"/>
              </wp:wrapPolygon>
            </wp:wrapTight>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9800" cy="2048510"/>
                    </a:xfrm>
                    <a:prstGeom prst="rect">
                      <a:avLst/>
                    </a:prstGeom>
                    <a:noFill/>
                    <a:ln>
                      <a:noFill/>
                    </a:ln>
                  </pic:spPr>
                </pic:pic>
              </a:graphicData>
            </a:graphic>
            <wp14:sizeRelH relativeFrom="margin">
              <wp14:pctWidth>0</wp14:pctWidth>
            </wp14:sizeRelH>
          </wp:anchor>
        </w:drawing>
      </w:r>
    </w:p>
    <w:p w14:paraId="56881C8F" w14:textId="77777777" w:rsidR="00F56356" w:rsidRPr="00F56356" w:rsidRDefault="00F56356" w:rsidP="00F56356">
      <w:pPr>
        <w:spacing w:after="0" w:line="240" w:lineRule="auto"/>
        <w:jc w:val="both"/>
        <w:rPr>
          <w:rFonts w:ascii="Times New Roman" w:eastAsia="Times New Roman" w:hAnsi="Times New Roman" w:cs="Times New Roman"/>
          <w:noProof/>
          <w:sz w:val="6"/>
          <w:szCs w:val="28"/>
          <w:lang w:eastAsia="it-IT"/>
        </w:rPr>
      </w:pPr>
    </w:p>
    <w:p w14:paraId="3EBC7DE7" w14:textId="77777777" w:rsidR="00F56356" w:rsidRPr="00F56356" w:rsidRDefault="00F56356" w:rsidP="00F56356">
      <w:pPr>
        <w:spacing w:after="0" w:line="240" w:lineRule="auto"/>
        <w:jc w:val="both"/>
        <w:rPr>
          <w:rFonts w:ascii="Times New Roman" w:eastAsia="Times New Roman" w:hAnsi="Times New Roman" w:cs="Times New Roman"/>
          <w:color w:val="FF0000"/>
          <w:sz w:val="16"/>
          <w:szCs w:val="16"/>
          <w:lang w:eastAsia="it-IT"/>
        </w:rPr>
      </w:pPr>
    </w:p>
    <w:p w14:paraId="6036EC98" w14:textId="0F493734" w:rsid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06D77C5E" w14:textId="77777777" w:rsidR="009B34AC" w:rsidRPr="00F56356" w:rsidRDefault="009B34AC" w:rsidP="00F56356">
      <w:pPr>
        <w:spacing w:after="0" w:line="360" w:lineRule="auto"/>
        <w:ind w:left="284"/>
        <w:jc w:val="both"/>
        <w:rPr>
          <w:rFonts w:ascii="Times New Roman" w:eastAsia="Times New Roman" w:hAnsi="Times New Roman" w:cs="Times New Roman"/>
          <w:b/>
          <w:sz w:val="24"/>
          <w:szCs w:val="24"/>
          <w:lang w:eastAsia="it-IT"/>
        </w:rPr>
      </w:pPr>
    </w:p>
    <w:p w14:paraId="361F6FB7"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2.2.2 </w:t>
      </w:r>
      <w:r w:rsidRPr="00F56356">
        <w:rPr>
          <w:rFonts w:ascii="Times New Roman" w:eastAsia="Times New Roman" w:hAnsi="Times New Roman" w:cs="Times New Roman"/>
          <w:sz w:val="24"/>
          <w:szCs w:val="24"/>
          <w:lang w:eastAsia="it-IT"/>
        </w:rPr>
        <w:t>Le risorse impegnate per gli interventi di euro 29.421.352,78, di cui euro 20.586.392,73 riferiti a reiscrizioni di residui passivi perenti, sono state destinate:</w:t>
      </w:r>
    </w:p>
    <w:p w14:paraId="6F0D99EB"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 xml:space="preserve">Spese per progetti settoriali e per eventi di promozione di natura celebrativa” </w:t>
      </w:r>
      <w:r w:rsidRPr="00F56356">
        <w:rPr>
          <w:rFonts w:ascii="Times New Roman" w:eastAsia="Times New Roman" w:hAnsi="Times New Roman" w:cs="Times New Roman"/>
          <w:color w:val="000000" w:themeColor="text1"/>
          <w:sz w:val="24"/>
          <w:szCs w:val="24"/>
          <w:lang w:eastAsia="it-IT"/>
        </w:rPr>
        <w:t>(cap. 184)</w:t>
      </w:r>
    </w:p>
    <w:p w14:paraId="77D6AF6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42.910,05 per progetti settoriali ed eventi di promozione di natura celebrativa; </w:t>
      </w:r>
    </w:p>
    <w:p w14:paraId="0214C78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Somma assegnata alla Presidenza del Consiglio dei ministri per l’attuazione del programma straordinario di interventi per la riqualificazione urbana e la sicurezza delle periferie”</w:t>
      </w:r>
      <w:r w:rsidRPr="00F56356">
        <w:rPr>
          <w:rFonts w:ascii="Times New Roman" w:eastAsia="Times New Roman" w:hAnsi="Times New Roman" w:cs="Times New Roman"/>
          <w:color w:val="000000" w:themeColor="text1"/>
          <w:sz w:val="24"/>
          <w:szCs w:val="24"/>
          <w:lang w:eastAsia="it-IT"/>
        </w:rPr>
        <w:t xml:space="preserve"> (cap. 220) - euro 20.586.392,73 riferiti a reiscrizioni di residui passivi perenti; </w:t>
      </w:r>
    </w:p>
    <w:p w14:paraId="72378BA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 xml:space="preserve">Somme per i premi intitolati a Giacomo Matteotti e per il funzionamento delle Commissioni giudicatrici e per la promozione dei premi (legge 5 ottobre 2004, n. 255, art.2)” </w:t>
      </w:r>
      <w:r w:rsidRPr="00F56356">
        <w:rPr>
          <w:rFonts w:ascii="Times New Roman" w:eastAsia="Times New Roman" w:hAnsi="Times New Roman" w:cs="Times New Roman"/>
          <w:color w:val="000000" w:themeColor="text1"/>
          <w:sz w:val="24"/>
          <w:szCs w:val="24"/>
          <w:lang w:eastAsia="it-IT"/>
        </w:rPr>
        <w:t>(cap. 229)</w:t>
      </w:r>
    </w:p>
    <w:p w14:paraId="57F4E74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euro 27.812,00 all’organizzazione del Premio annuale intitolato a Giacomo Matteotti;</w:t>
      </w:r>
    </w:p>
    <w:p w14:paraId="6958568B" w14:textId="77777777" w:rsidR="00F56356" w:rsidRPr="00F56356" w:rsidRDefault="00F56356"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d) </w:t>
      </w:r>
      <w:r w:rsidRPr="00F56356">
        <w:rPr>
          <w:rFonts w:ascii="Times New Roman" w:eastAsia="Times New Roman" w:hAnsi="Times New Roman" w:cs="Times New Roman"/>
          <w:i/>
          <w:color w:val="000000" w:themeColor="text1"/>
          <w:sz w:val="24"/>
          <w:szCs w:val="24"/>
          <w:lang w:eastAsia="it-IT"/>
        </w:rPr>
        <w:t xml:space="preserve">“Somme destinate alla Delegazione per la presidenza italiana del G20” </w:t>
      </w:r>
      <w:r w:rsidRPr="00F56356">
        <w:rPr>
          <w:rFonts w:ascii="Times New Roman" w:eastAsia="Times New Roman" w:hAnsi="Times New Roman" w:cs="Times New Roman"/>
          <w:color w:val="000000" w:themeColor="text1"/>
          <w:sz w:val="24"/>
          <w:szCs w:val="24"/>
          <w:lang w:eastAsia="it-IT"/>
        </w:rPr>
        <w:t>(cap. 259)</w:t>
      </w:r>
    </w:p>
    <w:p w14:paraId="7CFCF998" w14:textId="77777777" w:rsidR="00F56356" w:rsidRPr="00F56356" w:rsidRDefault="00F56356"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464.238,00 alle attività di carattere logistico-organizzativo connesse con la Presidenza italiana del G20, diverse dagli interventi infrastrutturali e dall’approntamento del dispositivo di sicurezza.  È opportuno segnalare che la Delegazione ha operato fino alla conclusione delle attività ed è cessata il 31 dicembre 2022, come previsto dall’articolo 1 del DPCM 26 novembre 2019; </w:t>
      </w:r>
    </w:p>
    <w:p w14:paraId="10003A07" w14:textId="77777777" w:rsidR="00F56356" w:rsidRPr="00F56356" w:rsidRDefault="00F56356"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Somma da destinare alla Fondazione Futuro della Città</w:t>
      </w:r>
      <w:r w:rsidRPr="00F56356">
        <w:rPr>
          <w:rFonts w:ascii="Times New Roman" w:eastAsia="Times New Roman" w:hAnsi="Times New Roman" w:cs="Times New Roman"/>
          <w:color w:val="000000" w:themeColor="text1"/>
          <w:sz w:val="24"/>
          <w:szCs w:val="24"/>
          <w:lang w:eastAsia="it-IT"/>
        </w:rPr>
        <w:t>” (cap. 268)</w:t>
      </w:r>
    </w:p>
    <w:p w14:paraId="73BED11E" w14:textId="77777777" w:rsidR="00F56356" w:rsidRPr="00F56356" w:rsidRDefault="00F56356"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8.000.000,00 a favore della Fondazione “Futuro della Città”, istituita ai sensi dell’articolo 1, comma 566, della legge 30 dicembre 2020, n. 178, con il compito di promuovere il progresso della ricerca e dell’alta formazione basata su soluzioni prevalentemente vegetali, al fine di garantire lo sviluppo del sistema produttivo nazionale in relazione alla transizione verde dell’Italia;</w:t>
      </w:r>
    </w:p>
    <w:p w14:paraId="7A695D09" w14:textId="77777777" w:rsidR="00F56356" w:rsidRPr="00F56356" w:rsidRDefault="00F56356" w:rsidP="00F56356">
      <w:pPr>
        <w:spacing w:after="0" w:line="360" w:lineRule="auto"/>
        <w:ind w:left="340"/>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f) </w:t>
      </w:r>
      <w:r w:rsidRPr="00F56356">
        <w:rPr>
          <w:rFonts w:ascii="Times New Roman" w:eastAsia="Times New Roman" w:hAnsi="Times New Roman" w:cs="Times New Roman"/>
          <w:i/>
          <w:color w:val="000000" w:themeColor="text1"/>
          <w:sz w:val="24"/>
          <w:szCs w:val="24"/>
          <w:lang w:eastAsia="it-IT"/>
        </w:rPr>
        <w:t>“Contributi ad Organismi sovranazionali</w:t>
      </w:r>
      <w:r w:rsidRPr="00F56356">
        <w:rPr>
          <w:rFonts w:ascii="Times New Roman" w:eastAsia="Times New Roman" w:hAnsi="Times New Roman" w:cs="Times New Roman"/>
          <w:color w:val="000000" w:themeColor="text1"/>
          <w:sz w:val="24"/>
          <w:szCs w:val="24"/>
          <w:lang w:eastAsia="it-IT"/>
        </w:rPr>
        <w:t xml:space="preserve">” (cap. 273) </w:t>
      </w:r>
    </w:p>
    <w:p w14:paraId="37232D43"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 - euro 300.000,00 quale contributo annuale, da parte dello Stato italiano, al Conto speciale del Consiglio d’Europa, ai sensi dell’articolo 1, comma 383, della legge 30 dicembre 2021, n. 234, recante “Bilancio di previsione dello Stato per l’anno finanziario 2022 e bilancio pluriennale per il triennio 2022 – 2024”. Il suddetto comma 383, infatti,  allo scopo di ridurre i tempi per la trattazione dei ricorsi pendenti nei confronti dell’Italia presso la CEDU, ha istituito nello stato di previsione del Ministero dell’economia e delle finanze, per il successivo trasferimento al bilancio autonomo della Presidenza del Consiglio dei ministri, un fondo con una dotazione di euro 300.000,00 annui a decorrere dall’anno 2022, per la concessione da parte dello Stato italiano di un contributo annuale da destinare al Conto speciale del Consiglio d’Europa.</w:t>
      </w:r>
    </w:p>
    <w:p w14:paraId="5B8C3B14" w14:textId="77777777" w:rsidR="00F56356" w:rsidRPr="00F56356" w:rsidRDefault="00F56356" w:rsidP="00F56356">
      <w:pPr>
        <w:spacing w:after="0" w:line="360" w:lineRule="auto"/>
        <w:jc w:val="center"/>
        <w:rPr>
          <w:rFonts w:ascii="Times New Roman" w:eastAsia="Times New Roman" w:hAnsi="Times New Roman" w:cs="Times New Roman"/>
          <w:sz w:val="12"/>
          <w:szCs w:val="24"/>
          <w:lang w:eastAsia="it-IT"/>
        </w:rPr>
      </w:pPr>
    </w:p>
    <w:p w14:paraId="2DC36301" w14:textId="77777777" w:rsidR="00F56356" w:rsidRPr="00F56356" w:rsidRDefault="00F56356" w:rsidP="00F56356">
      <w:pPr>
        <w:spacing w:after="0" w:line="360" w:lineRule="auto"/>
        <w:jc w:val="center"/>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sz w:val="24"/>
          <w:szCs w:val="24"/>
          <w:lang w:eastAsia="it-IT"/>
        </w:rPr>
        <w:t>Indicatori di bilancio</w:t>
      </w:r>
      <w:r w:rsidRPr="00F56356">
        <w:rPr>
          <w:rFonts w:ascii="Times New Roman" w:eastAsia="Times New Roman" w:hAnsi="Times New Roman" w:cs="Times New Roman"/>
          <w:noProof/>
          <w:sz w:val="24"/>
          <w:szCs w:val="24"/>
          <w:lang w:eastAsia="it-IT"/>
        </w:rPr>
        <w:drawing>
          <wp:anchor distT="0" distB="0" distL="114300" distR="114300" simplePos="0" relativeHeight="251666432" behindDoc="1" locked="0" layoutInCell="1" allowOverlap="1" wp14:anchorId="30EFF9A3" wp14:editId="0148ADE6">
            <wp:simplePos x="0" y="0"/>
            <wp:positionH relativeFrom="column">
              <wp:posOffset>194310</wp:posOffset>
            </wp:positionH>
            <wp:positionV relativeFrom="paragraph">
              <wp:posOffset>260985</wp:posOffset>
            </wp:positionV>
            <wp:extent cx="5924550" cy="2743200"/>
            <wp:effectExtent l="0" t="0" r="0" b="0"/>
            <wp:wrapTight wrapText="bothSides">
              <wp:wrapPolygon edited="0">
                <wp:start x="0" y="0"/>
                <wp:lineTo x="0" y="21450"/>
                <wp:lineTo x="12293" y="21450"/>
                <wp:lineTo x="21461" y="20100"/>
                <wp:lineTo x="21531" y="19950"/>
                <wp:lineTo x="21044" y="19200"/>
                <wp:lineTo x="21531" y="19050"/>
                <wp:lineTo x="21531" y="17550"/>
                <wp:lineTo x="20211" y="16800"/>
                <wp:lineTo x="21531" y="16800"/>
                <wp:lineTo x="21531" y="12150"/>
                <wp:lineTo x="21044" y="12000"/>
                <wp:lineTo x="21531" y="11250"/>
                <wp:lineTo x="21531" y="7950"/>
                <wp:lineTo x="21044" y="7200"/>
                <wp:lineTo x="21531" y="7050"/>
                <wp:lineTo x="21531" y="0"/>
                <wp:lineTo x="0" y="0"/>
              </wp:wrapPolygon>
            </wp:wrapTight>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4550" cy="2743200"/>
                    </a:xfrm>
                    <a:prstGeom prst="rect">
                      <a:avLst/>
                    </a:prstGeom>
                    <a:noFill/>
                    <a:ln>
                      <a:noFill/>
                    </a:ln>
                  </pic:spPr>
                </pic:pic>
              </a:graphicData>
            </a:graphic>
            <wp14:sizeRelH relativeFrom="margin">
              <wp14:pctWidth>0</wp14:pctWidth>
            </wp14:sizeRelH>
          </wp:anchor>
        </w:drawing>
      </w:r>
    </w:p>
    <w:p w14:paraId="3BB9F70E"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67BFC94E" w14:textId="77777777" w:rsidR="009B34AC" w:rsidRDefault="009B34AC"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1BF4DD34" w14:textId="77777777" w:rsidR="009B34AC" w:rsidRDefault="009B34AC"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684797D2" w14:textId="439A928C"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 xml:space="preserve">2.2.3 </w:t>
      </w:r>
      <w:r w:rsidRPr="00F56356">
        <w:rPr>
          <w:rFonts w:ascii="Times New Roman" w:eastAsia="Times New Roman" w:hAnsi="Times New Roman" w:cs="Times New Roman"/>
          <w:color w:val="000000" w:themeColor="text1"/>
          <w:sz w:val="24"/>
          <w:szCs w:val="24"/>
          <w:lang w:eastAsia="it-IT"/>
        </w:rPr>
        <w:t>Le risorse impegnate per le spese in conto capitale di euro 809.112.250,85 sono state destinate:</w:t>
      </w:r>
    </w:p>
    <w:p w14:paraId="1D9834E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per acquisto e conservazione di libri e pubblicazioni per la dotazione della Biblioteca </w:t>
      </w:r>
      <w:proofErr w:type="spellStart"/>
      <w:r w:rsidRPr="00F56356">
        <w:rPr>
          <w:rFonts w:ascii="Times New Roman" w:eastAsia="Times New Roman" w:hAnsi="Times New Roman" w:cs="Times New Roman"/>
          <w:i/>
          <w:color w:val="000000" w:themeColor="text1"/>
          <w:sz w:val="24"/>
          <w:szCs w:val="24"/>
          <w:lang w:eastAsia="it-IT"/>
        </w:rPr>
        <w:t>Chigiana</w:t>
      </w:r>
      <w:proofErr w:type="spellEnd"/>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901)</w:t>
      </w:r>
    </w:p>
    <w:p w14:paraId="73330F3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28.598,50 all’acquisto di monografie, alla Gazzetta Ufficiale della Repubblica italiana, a pubblicazioni per la dotazione della biblioteca </w:t>
      </w:r>
      <w:proofErr w:type="spellStart"/>
      <w:r w:rsidRPr="00F56356">
        <w:rPr>
          <w:rFonts w:ascii="Times New Roman" w:eastAsia="Times New Roman" w:hAnsi="Times New Roman" w:cs="Times New Roman"/>
          <w:color w:val="000000" w:themeColor="text1"/>
          <w:sz w:val="24"/>
          <w:szCs w:val="24"/>
          <w:lang w:eastAsia="it-IT"/>
        </w:rPr>
        <w:t>Chigiana</w:t>
      </w:r>
      <w:proofErr w:type="spellEnd"/>
      <w:r w:rsidRPr="00F56356">
        <w:rPr>
          <w:rFonts w:ascii="Times New Roman" w:eastAsia="Times New Roman" w:hAnsi="Times New Roman" w:cs="Times New Roman"/>
          <w:color w:val="000000" w:themeColor="text1"/>
          <w:sz w:val="24"/>
          <w:szCs w:val="24"/>
          <w:lang w:eastAsia="it-IT"/>
        </w:rPr>
        <w:t xml:space="preserve"> e all’incremento del patrimonio bibliografico;</w:t>
      </w:r>
    </w:p>
    <w:p w14:paraId="08DB5D6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6"/>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Somme assegnate alla Presidenza del Consiglio dei ministri per l’Agenzia spaziale europea e la realizzazione di programmi spaziali nazionali ed in cooperazione internazionale”</w:t>
      </w:r>
      <w:r w:rsidRPr="00F56356">
        <w:rPr>
          <w:rFonts w:ascii="Times New Roman" w:eastAsia="Times New Roman" w:hAnsi="Times New Roman" w:cs="Times New Roman"/>
          <w:color w:val="000000" w:themeColor="text1"/>
          <w:sz w:val="24"/>
          <w:szCs w:val="24"/>
          <w:lang w:eastAsia="it-IT"/>
        </w:rPr>
        <w:t xml:space="preserve"> (cap. 915) </w:t>
      </w:r>
    </w:p>
    <w:p w14:paraId="629B7A6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805.583.652,35 all’Agenzia spaziale europea e alla realizzazione di programmi spaziali nazionali e in cooperazione internazionale;</w:t>
      </w:r>
    </w:p>
    <w:p w14:paraId="01B3CBE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Somme destinate alla manutenzione straordinaria delle strutture che insistono sulle aree adibite a sedi per lo svolgimento del vertice G8 nell’ex Arsenale militare marina La Maddalena e nelle aree adiacenti all’interno del SIN ai sensi dell’articolo 1, comma 817, della legge 30 dicembre 2021, n. 234”</w:t>
      </w:r>
      <w:r w:rsidRPr="00F56356">
        <w:rPr>
          <w:rFonts w:ascii="Times New Roman" w:eastAsia="Times New Roman" w:hAnsi="Times New Roman" w:cs="Times New Roman"/>
          <w:color w:val="000000" w:themeColor="text1"/>
          <w:sz w:val="24"/>
          <w:szCs w:val="24"/>
          <w:lang w:eastAsia="it-IT"/>
        </w:rPr>
        <w:t xml:space="preserve"> (cap. 970)</w:t>
      </w:r>
    </w:p>
    <w:p w14:paraId="51491B95" w14:textId="6AD4E43C" w:rsid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3.500.000,00 trasferiti alla struttura di supporto alla gestione commissariale per la bonifica ambientale delle strutture che insistono sulle aree adibite a sedi per lo svolgimento del vertice G8 nell’ex Arsenale militare La Maddalena e nelle aree adiacenti all’interno del SIN.  Con la legge 30 dicembre 2021, n. 234, recante “Bilancio di previsione dello Stato per l’anno 2022 e bilancio pluriennale per il triennio 2022 – 2024” e, in particolare, con l’articolo 1, comma 817, è stato previsto un contributo a favore della Regione Sardegna di euro  3.500.000,00 per ciascuno degli anni 2022, 2023 e 2024 per la realizzazione di interventi urgenti di manutenzione straordinaria delle strutture che insistono sulle aree adibite a sedi per lo svolgimento del Vertice G8, nell’ex Arsenale della Marina militare alla Maddalena e nelle aree adiacenti all’interno del sito di interesse nazionale. Il decreto del Presidente del Consiglio dei ministri 21 gennaio 2022 ha istituito la struttura di supporto alla gestione commissariale per la bonifica ambientale. In particolare, l’articolo 2 del citato decreto del Presidente del Consiglio dei ministri 21 gennaio 2022 ha assegnato alla struttura commissariale le risorse di cui all’articolo 1, comma 817, della legge 30 dicembre 2021, n. 234.</w:t>
      </w:r>
    </w:p>
    <w:p w14:paraId="0444D380" w14:textId="1BD6CD4A" w:rsid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A8E489B" w14:textId="5F84290A" w:rsidR="009B34AC"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C275074" w14:textId="3B465A97" w:rsidR="009B34AC"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50E34CA" w14:textId="5D0BEC5E" w:rsidR="009B34AC"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2D77BAD3" w14:textId="79877971" w:rsidR="009B34AC"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Ù</w:t>
      </w:r>
    </w:p>
    <w:p w14:paraId="626E47B0" w14:textId="5D4AD651" w:rsidR="009B34AC"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B0CBB6B" w14:textId="527EB11E" w:rsidR="009B34AC"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15D9D0B" w14:textId="77777777" w:rsidR="009B34AC" w:rsidRPr="00F56356"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7CB40129" w14:textId="77777777" w:rsidR="00F56356" w:rsidRPr="00F56356" w:rsidRDefault="00F56356" w:rsidP="00F56356">
      <w:pPr>
        <w:spacing w:after="0" w:line="24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Indicatori di bilancio</w:t>
      </w:r>
    </w:p>
    <w:p w14:paraId="209D8087" w14:textId="75D2038B"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67456" behindDoc="1" locked="0" layoutInCell="1" allowOverlap="1" wp14:anchorId="5C43EF33" wp14:editId="353C5C88">
            <wp:simplePos x="0" y="0"/>
            <wp:positionH relativeFrom="margin">
              <wp:align>right</wp:align>
            </wp:positionH>
            <wp:positionV relativeFrom="paragraph">
              <wp:posOffset>0</wp:posOffset>
            </wp:positionV>
            <wp:extent cx="5924550" cy="1631950"/>
            <wp:effectExtent l="0" t="0" r="0" b="6350"/>
            <wp:wrapTight wrapText="bothSides">
              <wp:wrapPolygon edited="0">
                <wp:start x="0" y="0"/>
                <wp:lineTo x="0" y="21432"/>
                <wp:lineTo x="12293" y="21432"/>
                <wp:lineTo x="12293" y="20171"/>
                <wp:lineTo x="18961" y="20171"/>
                <wp:lineTo x="21531" y="19163"/>
                <wp:lineTo x="21531" y="13363"/>
                <wp:lineTo x="21253" y="12103"/>
                <wp:lineTo x="21531" y="11851"/>
                <wp:lineTo x="21531" y="0"/>
                <wp:lineTo x="0" y="0"/>
              </wp:wrapPolygon>
            </wp:wrapTight>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24550" cy="1631950"/>
                    </a:xfrm>
                    <a:prstGeom prst="rect">
                      <a:avLst/>
                    </a:prstGeom>
                    <a:noFill/>
                    <a:ln>
                      <a:noFill/>
                    </a:ln>
                  </pic:spPr>
                </pic:pic>
              </a:graphicData>
            </a:graphic>
            <wp14:sizeRelH relativeFrom="margin">
              <wp14:pctWidth>0</wp14:pctWidth>
            </wp14:sizeRelH>
          </wp:anchor>
        </w:drawing>
      </w:r>
    </w:p>
    <w:p w14:paraId="55C9F9A6" w14:textId="77777777" w:rsidR="00B162D3" w:rsidRPr="009B34AC" w:rsidRDefault="00B162D3"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18"/>
          <w:szCs w:val="24"/>
          <w:lang w:eastAsia="it-IT"/>
        </w:rPr>
      </w:pPr>
    </w:p>
    <w:p w14:paraId="55586D9E" w14:textId="0BF1C973"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3C72378A" w14:textId="77777777" w:rsidR="00F56356" w:rsidRPr="00F56356" w:rsidRDefault="00F56356" w:rsidP="00F56356">
      <w:pPr>
        <w:numPr>
          <w:ilvl w:val="0"/>
          <w:numId w:val="23"/>
        </w:numPr>
        <w:tabs>
          <w:tab w:val="left" w:pos="284"/>
        </w:tabs>
        <w:spacing w:after="0" w:line="360" w:lineRule="auto"/>
        <w:ind w:left="284" w:firstLine="0"/>
        <w:contextualSpacing/>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per il capitolo 132 - </w:t>
      </w:r>
      <w:r w:rsidRPr="00F56356">
        <w:rPr>
          <w:rFonts w:ascii="Times New Roman" w:eastAsia="Times New Roman" w:hAnsi="Times New Roman" w:cs="Times New Roman"/>
          <w:i/>
          <w:sz w:val="24"/>
          <w:szCs w:val="24"/>
          <w:lang w:eastAsia="it-IT"/>
        </w:rPr>
        <w:t>Spese connesse all’effettuazione del trasporto aereo per esigenze di Stato, per ragioni sanitarie d’urgenza e per finalità di sicurezza</w:t>
      </w:r>
      <w:r w:rsidRPr="00F56356">
        <w:rPr>
          <w:rFonts w:ascii="Times New Roman" w:eastAsia="Times New Roman" w:hAnsi="Times New Roman" w:cs="Times New Roman"/>
          <w:color w:val="000000" w:themeColor="text1"/>
          <w:sz w:val="24"/>
          <w:szCs w:val="24"/>
          <w:lang w:eastAsia="it-IT"/>
        </w:rPr>
        <w:t>, dal minor utilizzo dei voli di Stato e dei servizi accessori connessi;</w:t>
      </w:r>
    </w:p>
    <w:p w14:paraId="04C98D9E" w14:textId="77777777" w:rsidR="00F56356" w:rsidRPr="00F56356" w:rsidRDefault="00F56356" w:rsidP="00F56356">
      <w:pPr>
        <w:numPr>
          <w:ilvl w:val="0"/>
          <w:numId w:val="23"/>
        </w:numPr>
        <w:tabs>
          <w:tab w:val="left" w:pos="284"/>
        </w:tabs>
        <w:spacing w:after="0" w:line="360" w:lineRule="auto"/>
        <w:ind w:left="284" w:firstLine="0"/>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per il capitolo 179 - </w:t>
      </w:r>
      <w:r w:rsidRPr="00F56356">
        <w:rPr>
          <w:rFonts w:ascii="Times New Roman" w:eastAsia="Times New Roman" w:hAnsi="Times New Roman" w:cs="Times New Roman"/>
          <w:i/>
          <w:color w:val="000000" w:themeColor="text1"/>
          <w:sz w:val="24"/>
          <w:szCs w:val="24"/>
          <w:lang w:eastAsia="it-IT"/>
        </w:rPr>
        <w:t>Spese per il funzionamento del Comitato Nazionale per la biosicurezza, le biotecnologie e le scienze della vita,</w:t>
      </w:r>
      <w:r w:rsidRPr="00F56356">
        <w:rPr>
          <w:rFonts w:ascii="Times New Roman" w:eastAsia="Times New Roman" w:hAnsi="Times New Roman" w:cs="Times New Roman"/>
          <w:color w:val="000000" w:themeColor="text1"/>
          <w:sz w:val="24"/>
          <w:szCs w:val="24"/>
          <w:lang w:eastAsia="it-IT"/>
        </w:rPr>
        <w:t xml:space="preserve"> dalla limitazione delle riunioni in presenza nel corso del 2022 del Comitato e, pertanto, dai minori oneri relativi ai rimborsi per missione a Roma dei componenti;  </w:t>
      </w:r>
    </w:p>
    <w:p w14:paraId="434A89C4" w14:textId="77777777" w:rsidR="00F56356" w:rsidRPr="00F56356" w:rsidRDefault="00F56356" w:rsidP="00F56356">
      <w:pPr>
        <w:numPr>
          <w:ilvl w:val="0"/>
          <w:numId w:val="23"/>
        </w:numPr>
        <w:autoSpaceDE w:val="0"/>
        <w:autoSpaceDN w:val="0"/>
        <w:adjustRightInd w:val="0"/>
        <w:spacing w:after="0" w:line="360" w:lineRule="auto"/>
        <w:ind w:left="284" w:firstLine="0"/>
        <w:contextualSpacing/>
        <w:jc w:val="both"/>
        <w:rPr>
          <w:rFonts w:ascii="Times New Roman" w:eastAsiaTheme="minorEastAsia"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per il capitolo 431 - </w:t>
      </w:r>
      <w:r w:rsidRPr="00F56356">
        <w:rPr>
          <w:rFonts w:ascii="Times New Roman" w:eastAsia="Times New Roman" w:hAnsi="Times New Roman" w:cs="Times New Roman"/>
          <w:bCs/>
          <w:i/>
          <w:sz w:val="24"/>
          <w:szCs w:val="24"/>
          <w:lang w:eastAsia="it-IT"/>
        </w:rPr>
        <w:t>Spese di funzionamento della conferenza Stato – Città,</w:t>
      </w:r>
      <w:r w:rsidRPr="00F56356">
        <w:rPr>
          <w:rFonts w:ascii="Times New Roman" w:eastAsia="Times New Roman" w:hAnsi="Times New Roman" w:cs="Times New Roman"/>
          <w:bCs/>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dai minori oneri derivanti dal protrarsi del periodo emergenziale.</w:t>
      </w:r>
    </w:p>
    <w:p w14:paraId="1D93F3DB"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4FFECF4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7D61E16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color w:val="000000" w:themeColor="text1"/>
          <w:sz w:val="24"/>
          <w:szCs w:val="24"/>
          <w:lang w:eastAsia="it-IT"/>
        </w:rPr>
        <w:tab/>
        <w:t xml:space="preserve">le risorse assegnate sul capitolo 147 - </w:t>
      </w:r>
      <w:r w:rsidRPr="00F56356">
        <w:rPr>
          <w:rFonts w:ascii="Times New Roman" w:eastAsia="Times New Roman" w:hAnsi="Times New Roman" w:cs="Times New Roman"/>
          <w:i/>
          <w:color w:val="000000" w:themeColor="text1"/>
          <w:sz w:val="24"/>
          <w:szCs w:val="24"/>
          <w:lang w:eastAsia="it-IT"/>
        </w:rPr>
        <w:t>Spese per il funzionamento della Delegazione per la presidenza italiana G20,</w:t>
      </w:r>
      <w:r w:rsidRPr="00F56356">
        <w:rPr>
          <w:rFonts w:ascii="Times New Roman" w:eastAsia="Times New Roman" w:hAnsi="Times New Roman" w:cs="Times New Roman"/>
          <w:color w:val="000000" w:themeColor="text1"/>
          <w:sz w:val="24"/>
          <w:szCs w:val="24"/>
          <w:lang w:eastAsia="it-IT"/>
        </w:rPr>
        <w:t xml:space="preserve"> non sono state impegnate a seguito della cessazione dell’operatività della Delegazione il 31 dicembre 2022;</w:t>
      </w:r>
    </w:p>
    <w:p w14:paraId="2F102E3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color w:val="000000" w:themeColor="text1"/>
          <w:sz w:val="24"/>
          <w:szCs w:val="24"/>
          <w:lang w:eastAsia="it-IT"/>
        </w:rPr>
        <w:tab/>
        <w:t xml:space="preserve">per il capitolo 177 - </w:t>
      </w:r>
      <w:r w:rsidRPr="00F56356">
        <w:rPr>
          <w:rFonts w:ascii="Times New Roman" w:eastAsia="Times New Roman" w:hAnsi="Times New Roman" w:cs="Times New Roman"/>
          <w:i/>
          <w:color w:val="000000" w:themeColor="text1"/>
          <w:sz w:val="24"/>
          <w:szCs w:val="24"/>
          <w:lang w:eastAsia="it-IT"/>
        </w:rPr>
        <w:t>Spese per il funzionamento del Comitato Nazionale per la Bioetica,</w:t>
      </w:r>
      <w:r w:rsidRPr="00F56356">
        <w:rPr>
          <w:rFonts w:ascii="Times New Roman" w:eastAsia="Times New Roman" w:hAnsi="Times New Roman" w:cs="Times New Roman"/>
          <w:color w:val="000000" w:themeColor="text1"/>
          <w:sz w:val="24"/>
          <w:szCs w:val="24"/>
          <w:lang w:eastAsia="it-IT"/>
        </w:rPr>
        <w:t xml:space="preserve"> il mancato utilizzo delle risorse è imputabile all’assenza di oneri derivanti dal periodo emergenziale e all’assenza di riunioni in presenza del Comitato per la Bioetica in modalità tradizionale; </w:t>
      </w:r>
    </w:p>
    <w:p w14:paraId="1ACAB87F"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r w:rsidRPr="00F56356">
        <w:rPr>
          <w:rFonts w:ascii="Times New Roman" w:eastAsia="Times New Roman" w:hAnsi="Times New Roman" w:cs="Times New Roman"/>
          <w:color w:val="000000" w:themeColor="text1"/>
          <w:sz w:val="24"/>
          <w:szCs w:val="24"/>
          <w:lang w:eastAsia="it-IT"/>
        </w:rPr>
        <w:t>c)</w:t>
      </w:r>
      <w:r w:rsidRPr="00F56356">
        <w:rPr>
          <w:rFonts w:ascii="Times New Roman" w:eastAsia="Times New Roman" w:hAnsi="Times New Roman" w:cs="Times New Roman"/>
          <w:color w:val="000000" w:themeColor="text1"/>
          <w:sz w:val="24"/>
          <w:szCs w:val="24"/>
          <w:lang w:eastAsia="it-IT"/>
        </w:rPr>
        <w:tab/>
        <w:t xml:space="preserve">per il capitolo 232 - </w:t>
      </w:r>
      <w:r w:rsidRPr="00F56356">
        <w:rPr>
          <w:rFonts w:ascii="Times New Roman" w:eastAsia="Times New Roman" w:hAnsi="Times New Roman" w:cs="Times New Roman"/>
          <w:i/>
          <w:color w:val="000000" w:themeColor="text1"/>
          <w:sz w:val="24"/>
          <w:szCs w:val="24"/>
          <w:lang w:eastAsia="it-IT"/>
        </w:rPr>
        <w:t>Somme da destinare al restauro del blocco n. 21 del campo di Auschwitz</w:t>
      </w:r>
      <w:r w:rsidRPr="00F56356">
        <w:rPr>
          <w:rFonts w:ascii="Times New Roman" w:eastAsia="Times New Roman" w:hAnsi="Times New Roman" w:cs="Times New Roman"/>
          <w:color w:val="000000" w:themeColor="text1"/>
          <w:sz w:val="24"/>
          <w:szCs w:val="24"/>
          <w:lang w:eastAsia="it-IT"/>
        </w:rPr>
        <w:t>, le risorse non sono state impegnate dal competente Servizio poiché in corso di definizione le modalità di erogazione delle stesse;</w:t>
      </w:r>
      <w:r w:rsidRPr="00F56356">
        <w:rPr>
          <w:rFonts w:ascii="Times New Roman" w:eastAsia="Times New Roman" w:hAnsi="Times New Roman" w:cs="Times New Roman"/>
          <w:b/>
          <w:color w:val="FF0000"/>
          <w:sz w:val="10"/>
          <w:szCs w:val="24"/>
          <w:lang w:eastAsia="it-IT"/>
        </w:rPr>
        <w:t xml:space="preserve"> </w:t>
      </w:r>
    </w:p>
    <w:p w14:paraId="6E14ADE9"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000000" w:themeColor="text1"/>
          <w:sz w:val="24"/>
          <w:szCs w:val="24"/>
          <w:lang w:eastAsia="it-IT"/>
        </w:rPr>
        <w:tab/>
        <w:t xml:space="preserve">per il capitolo 269 - </w:t>
      </w:r>
      <w:r w:rsidRPr="00F56356">
        <w:rPr>
          <w:rFonts w:ascii="Times New Roman" w:eastAsia="Times New Roman" w:hAnsi="Times New Roman" w:cs="Times New Roman"/>
          <w:i/>
          <w:color w:val="000000" w:themeColor="text1"/>
          <w:sz w:val="24"/>
          <w:szCs w:val="24"/>
          <w:lang w:eastAsia="it-IT"/>
        </w:rPr>
        <w:t>Somma destinata agli interventi e le opere necessarie al Giubileo del 2025,</w:t>
      </w:r>
      <w:r w:rsidRPr="00F56356">
        <w:rPr>
          <w:rFonts w:ascii="Times New Roman" w:eastAsia="Times New Roman" w:hAnsi="Times New Roman" w:cs="Times New Roman"/>
          <w:color w:val="000000" w:themeColor="text1"/>
          <w:sz w:val="24"/>
          <w:szCs w:val="24"/>
          <w:lang w:eastAsia="it-IT"/>
        </w:rPr>
        <w:t xml:space="preserve"> le risorse assegnate per il 2022, ai sensi dell’articolo 1, comma 178, della legge 30 dicembre 2020, n. 178, al fine di coordinare le iniziative e la realizzazione degli interventi e delle opere necessarie per lo svolgimento del Giubileo della Chiesa cattolica previsto per l’anno 2025, non sono state impegnate in quanto sono in corso le interlocuzioni con le strutture preposte alla realizzazione dell’evento;</w:t>
      </w:r>
    </w:p>
    <w:p w14:paraId="2A60B25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e)</w:t>
      </w:r>
      <w:r w:rsidRPr="00F56356">
        <w:rPr>
          <w:rFonts w:ascii="Times New Roman" w:eastAsia="Times New Roman" w:hAnsi="Times New Roman" w:cs="Times New Roman"/>
          <w:color w:val="000000" w:themeColor="text1"/>
          <w:sz w:val="24"/>
          <w:szCs w:val="24"/>
          <w:lang w:eastAsia="it-IT"/>
        </w:rPr>
        <w:tab/>
        <w:t xml:space="preserve">per il capitolo 271 - </w:t>
      </w:r>
      <w:r w:rsidRPr="00F56356">
        <w:rPr>
          <w:rFonts w:ascii="Times New Roman" w:eastAsia="Times New Roman" w:hAnsi="Times New Roman" w:cs="Times New Roman"/>
          <w:i/>
          <w:color w:val="000000" w:themeColor="text1"/>
          <w:sz w:val="24"/>
          <w:szCs w:val="24"/>
          <w:lang w:eastAsia="it-IT"/>
        </w:rPr>
        <w:t>Somme destinate alla sistemazione contabile di pagamenti disposti da Banca d’Italia conseguenti ad ordinanze di assegnazione delle somme relative a contenziosi</w:t>
      </w:r>
      <w:r w:rsidRPr="00F56356">
        <w:rPr>
          <w:rFonts w:ascii="Times New Roman" w:eastAsia="Times New Roman" w:hAnsi="Times New Roman" w:cs="Times New Roman"/>
          <w:color w:val="000000" w:themeColor="text1"/>
          <w:sz w:val="24"/>
          <w:szCs w:val="24"/>
          <w:lang w:eastAsia="it-IT"/>
        </w:rPr>
        <w:t>, istituito con il decreto del Presidente del Consiglio dei ministri n. 396/</w:t>
      </w:r>
      <w:proofErr w:type="spellStart"/>
      <w:r w:rsidRPr="00F56356">
        <w:rPr>
          <w:rFonts w:ascii="Times New Roman" w:eastAsia="Times New Roman" w:hAnsi="Times New Roman" w:cs="Times New Roman"/>
          <w:color w:val="000000" w:themeColor="text1"/>
          <w:sz w:val="24"/>
          <w:szCs w:val="24"/>
          <w:lang w:eastAsia="it-IT"/>
        </w:rPr>
        <w:t>Bil</w:t>
      </w:r>
      <w:proofErr w:type="spellEnd"/>
      <w:r w:rsidRPr="00F56356">
        <w:rPr>
          <w:rFonts w:ascii="Times New Roman" w:eastAsia="Times New Roman" w:hAnsi="Times New Roman" w:cs="Times New Roman"/>
          <w:color w:val="000000" w:themeColor="text1"/>
          <w:sz w:val="24"/>
          <w:szCs w:val="24"/>
          <w:lang w:eastAsia="it-IT"/>
        </w:rPr>
        <w:t xml:space="preserve"> del 22 novembre 2021, lo stanziamento previsto per il 2022, di euro 160.488.555,42, non è stato impegnato. L’assegnazione delle risorse si è resa necessaria al fine di procedere alla sistemazione delle scritture contabili per le somme anticipate direttamente sul conto di tesoreria n. 22330 dalla Banca d’Italia - in veste di terza pignorata - per la definizione di contenziosi in cui la Presidenza del Consiglio dei ministri, nella gran parte dei casi, è condannata in solido con altre Amministrazioni, ovvero per contenziosi non derivanti da attività istituzionali proprie;</w:t>
      </w:r>
    </w:p>
    <w:p w14:paraId="5AA58BD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color w:val="000000" w:themeColor="text1"/>
          <w:sz w:val="24"/>
          <w:szCs w:val="24"/>
          <w:lang w:eastAsia="it-IT"/>
        </w:rPr>
        <w:tab/>
        <w:t xml:space="preserve">per il capitolo 921 </w:t>
      </w:r>
      <w:r w:rsidRPr="00F56356">
        <w:rPr>
          <w:rFonts w:ascii="Times New Roman" w:eastAsia="Times New Roman" w:hAnsi="Times New Roman" w:cs="Times New Roman"/>
          <w:i/>
          <w:color w:val="000000" w:themeColor="text1"/>
          <w:sz w:val="24"/>
          <w:szCs w:val="24"/>
          <w:lang w:eastAsia="it-IT"/>
        </w:rPr>
        <w:t>- Somma assegnata alla Presidenza del Consiglio dei ministri per il Fondo per l’attrazione di investimenti in aree dismesse e per beni dismessi,</w:t>
      </w:r>
      <w:r w:rsidRPr="00F56356">
        <w:rPr>
          <w:rFonts w:ascii="Times New Roman" w:eastAsia="Times New Roman" w:hAnsi="Times New Roman" w:cs="Times New Roman"/>
          <w:color w:val="000000" w:themeColor="text1"/>
          <w:sz w:val="24"/>
          <w:szCs w:val="24"/>
          <w:lang w:eastAsia="it-IT"/>
        </w:rPr>
        <w:t xml:space="preserve"> non sono state impegnate le risorse assegnate per la definizione dei piani di sviluppo per i finanziamenti degli interventi necessari per la rigenerazione delle aree dismesse nonché di infrastrutture e di beni immobili in disuso appartenenti alle amministrazioni pubbliche (ex gestione </w:t>
      </w:r>
      <w:proofErr w:type="spellStart"/>
      <w:r w:rsidRPr="00F56356">
        <w:rPr>
          <w:rFonts w:ascii="Times New Roman" w:eastAsia="Times New Roman" w:hAnsi="Times New Roman" w:cs="Times New Roman"/>
          <w:color w:val="000000" w:themeColor="text1"/>
          <w:sz w:val="24"/>
          <w:szCs w:val="24"/>
          <w:lang w:eastAsia="it-IT"/>
        </w:rPr>
        <w:t>Investitalia</w:t>
      </w:r>
      <w:proofErr w:type="spellEnd"/>
      <w:r w:rsidRPr="00F56356">
        <w:rPr>
          <w:rFonts w:ascii="Times New Roman" w:eastAsia="Times New Roman" w:hAnsi="Times New Roman" w:cs="Times New Roman"/>
          <w:color w:val="000000" w:themeColor="text1"/>
          <w:sz w:val="24"/>
          <w:szCs w:val="24"/>
          <w:lang w:eastAsia="it-IT"/>
        </w:rPr>
        <w:t>), in quanto sono ancora in corso le interlocuzioni per l’utilizzo dello stanziamento, anche a seguito della nuova  compagine governativa;</w:t>
      </w:r>
    </w:p>
    <w:p w14:paraId="1BF29CB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 </w:t>
      </w:r>
      <w:r w:rsidRPr="00F56356">
        <w:rPr>
          <w:rFonts w:ascii="Times New Roman" w:eastAsia="Times New Roman" w:hAnsi="Times New Roman" w:cs="Times New Roman"/>
          <w:color w:val="000000" w:themeColor="text1"/>
          <w:sz w:val="24"/>
          <w:szCs w:val="24"/>
          <w:lang w:eastAsia="it-IT"/>
        </w:rPr>
        <w:tab/>
        <w:t xml:space="preserve">per il capitolo 927 - </w:t>
      </w:r>
      <w:r w:rsidRPr="00F56356">
        <w:rPr>
          <w:rFonts w:ascii="Times New Roman" w:eastAsia="Times New Roman" w:hAnsi="Times New Roman" w:cs="Times New Roman"/>
          <w:i/>
          <w:color w:val="000000" w:themeColor="text1"/>
          <w:sz w:val="24"/>
          <w:szCs w:val="24"/>
          <w:lang w:eastAsia="it-IT"/>
        </w:rPr>
        <w:t xml:space="preserve">Fondo per la partecipazione italiana al programma spaziale </w:t>
      </w:r>
      <w:proofErr w:type="spellStart"/>
      <w:r w:rsidRPr="00F56356">
        <w:rPr>
          <w:rFonts w:ascii="Times New Roman" w:eastAsia="Times New Roman" w:hAnsi="Times New Roman" w:cs="Times New Roman"/>
          <w:i/>
          <w:color w:val="000000" w:themeColor="text1"/>
          <w:sz w:val="24"/>
          <w:szCs w:val="24"/>
          <w:lang w:eastAsia="it-IT"/>
        </w:rPr>
        <w:t>Artemis</w:t>
      </w:r>
      <w:proofErr w:type="spellEnd"/>
      <w:r w:rsidRPr="00F56356">
        <w:rPr>
          <w:rFonts w:ascii="Times New Roman" w:eastAsia="Times New Roman" w:hAnsi="Times New Roman" w:cs="Times New Roman"/>
          <w:color w:val="000000" w:themeColor="text1"/>
          <w:sz w:val="24"/>
          <w:szCs w:val="24"/>
          <w:lang w:eastAsia="it-IT"/>
        </w:rPr>
        <w:t>, non c’è stata alcuna movimentazione poiché l’Autorità politica delegata per le politiche spaziali e aerospaziali e le competenti Strutture preposte nell’anno 2022 per il coordinamento delle attività, non hanno inviato richieste di assegnazione delle predette risorse.</w:t>
      </w:r>
    </w:p>
    <w:p w14:paraId="4572B14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C07F5B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386A502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192173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3C90E55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DBBA82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432DCC2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4EFF0AE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2951317B" w14:textId="407B29F9" w:rsid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0061909" w14:textId="14FB5779" w:rsidR="00B162D3"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9577156" w14:textId="7AA3A271" w:rsidR="00B162D3"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729BBDB6" w14:textId="5BC9E846" w:rsidR="00B162D3"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BE0BAB1" w14:textId="2766FC68" w:rsidR="00B162D3"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34EDEF09" w14:textId="26F7EA2A" w:rsidR="00B162D3"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FDF0216" w14:textId="795FBBA3" w:rsidR="00B162D3"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320" w:type="dxa"/>
        <w:jc w:val="center"/>
        <w:tblCellMar>
          <w:left w:w="70" w:type="dxa"/>
          <w:right w:w="70" w:type="dxa"/>
        </w:tblCellMar>
        <w:tblLook w:val="04A0" w:firstRow="1" w:lastRow="0" w:firstColumn="1" w:lastColumn="0" w:noHBand="0" w:noVBand="1"/>
      </w:tblPr>
      <w:tblGrid>
        <w:gridCol w:w="2740"/>
        <w:gridCol w:w="540"/>
        <w:gridCol w:w="1240"/>
        <w:gridCol w:w="1140"/>
        <w:gridCol w:w="1180"/>
        <w:gridCol w:w="1340"/>
        <w:gridCol w:w="1140"/>
      </w:tblGrid>
      <w:tr w:rsidR="00F56356" w:rsidRPr="00F56356" w14:paraId="1DEED21C" w14:textId="77777777" w:rsidTr="00F56356">
        <w:trPr>
          <w:trHeight w:val="510"/>
          <w:jc w:val="center"/>
        </w:trPr>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CD2AC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226B4682" w14:textId="77777777" w:rsidTr="00F56356">
        <w:trPr>
          <w:trHeight w:val="69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FF506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6BBEC7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2A8FE9E5" w14:textId="77777777" w:rsidTr="00F56356">
        <w:trPr>
          <w:trHeight w:val="69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7CA26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6EED3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7081149B" w14:textId="77777777" w:rsidTr="00F56356">
        <w:trPr>
          <w:trHeight w:val="69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E0CBA8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95C99B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5C5F043A" w14:textId="77777777" w:rsidTr="00F56356">
        <w:trPr>
          <w:trHeight w:val="40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00818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575342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85E93E9" w14:textId="77777777" w:rsidTr="00F56356">
        <w:trPr>
          <w:trHeight w:val="40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31FE2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CF0439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E3771A6" w14:textId="77777777" w:rsidTr="00F56356">
        <w:trPr>
          <w:trHeight w:val="36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F5D1C2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20CC03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Incrementare la qualità e la celerità degli investimenti </w:t>
            </w:r>
          </w:p>
        </w:tc>
      </w:tr>
      <w:tr w:rsidR="00F56356" w:rsidRPr="00F56356" w14:paraId="62F0B2FB" w14:textId="77777777" w:rsidTr="00F56356">
        <w:trPr>
          <w:trHeight w:val="84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00FBB7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6973C4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Promuovere l'adozione di misure sia a livello centrale che </w:t>
            </w:r>
            <w:proofErr w:type="gramStart"/>
            <w:r w:rsidRPr="00F56356">
              <w:rPr>
                <w:rFonts w:ascii="Times New Roman" w:eastAsia="Times New Roman" w:hAnsi="Times New Roman" w:cs="Times New Roman"/>
                <w:color w:val="000000"/>
                <w:sz w:val="20"/>
                <w:szCs w:val="20"/>
                <w:lang w:eastAsia="it-IT"/>
              </w:rPr>
              <w:t>locale volte</w:t>
            </w:r>
            <w:proofErr w:type="gramEnd"/>
            <w:r w:rsidRPr="00F56356">
              <w:rPr>
                <w:rFonts w:ascii="Times New Roman" w:eastAsia="Times New Roman" w:hAnsi="Times New Roman" w:cs="Times New Roman"/>
                <w:color w:val="000000"/>
                <w:sz w:val="20"/>
                <w:szCs w:val="20"/>
                <w:lang w:eastAsia="it-IT"/>
              </w:rPr>
              <w:t xml:space="preserve"> a rafforzare le capacità di programmazione e pianificazione nonché di erogazione delle risorse stanziate. </w:t>
            </w:r>
          </w:p>
        </w:tc>
      </w:tr>
      <w:tr w:rsidR="00F56356" w:rsidRPr="00F56356" w14:paraId="3BA28E70" w14:textId="77777777" w:rsidTr="00F56356">
        <w:trPr>
          <w:trHeight w:val="525"/>
          <w:jc w:val="center"/>
        </w:trPr>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0F27B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B72895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205</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0BB8D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0BF72C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0ECBBF2" w14:textId="77777777" w:rsidTr="00F56356">
        <w:trPr>
          <w:trHeight w:val="1305"/>
          <w:jc w:val="center"/>
        </w:trPr>
        <w:tc>
          <w:tcPr>
            <w:tcW w:w="2740" w:type="dxa"/>
            <w:vMerge/>
            <w:tcBorders>
              <w:top w:val="nil"/>
              <w:left w:val="single" w:sz="4" w:space="0" w:color="auto"/>
              <w:bottom w:val="single" w:sz="4" w:space="0" w:color="000000"/>
              <w:right w:val="single" w:sz="4" w:space="0" w:color="auto"/>
            </w:tcBorders>
            <w:vAlign w:val="center"/>
            <w:hideMark/>
          </w:tcPr>
          <w:p w14:paraId="663F323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176EF9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AD1DB0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0FCD7D3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9491AE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649A79D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541307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152E890C" w14:textId="77777777" w:rsidTr="00F56356">
        <w:trPr>
          <w:trHeight w:val="720"/>
          <w:jc w:val="center"/>
        </w:trPr>
        <w:tc>
          <w:tcPr>
            <w:tcW w:w="2740" w:type="dxa"/>
            <w:vMerge/>
            <w:tcBorders>
              <w:top w:val="nil"/>
              <w:left w:val="single" w:sz="4" w:space="0" w:color="auto"/>
              <w:bottom w:val="single" w:sz="4" w:space="0" w:color="000000"/>
              <w:right w:val="single" w:sz="4" w:space="0" w:color="auto"/>
            </w:tcBorders>
            <w:vAlign w:val="center"/>
            <w:hideMark/>
          </w:tcPr>
          <w:p w14:paraId="14F2D25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27AFEA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388763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24.037.423,00</w:t>
            </w:r>
          </w:p>
        </w:tc>
        <w:tc>
          <w:tcPr>
            <w:tcW w:w="1140" w:type="dxa"/>
            <w:tcBorders>
              <w:top w:val="nil"/>
              <w:left w:val="nil"/>
              <w:bottom w:val="single" w:sz="4" w:space="0" w:color="auto"/>
              <w:right w:val="single" w:sz="4" w:space="0" w:color="auto"/>
            </w:tcBorders>
            <w:shd w:val="clear" w:color="auto" w:fill="auto"/>
            <w:noWrap/>
            <w:vAlign w:val="center"/>
            <w:hideMark/>
          </w:tcPr>
          <w:p w14:paraId="252B216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2AD199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5BBF0B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560EE9D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705AD783" w14:textId="77777777" w:rsidTr="00F56356">
        <w:trPr>
          <w:trHeight w:val="330"/>
          <w:jc w:val="center"/>
        </w:trPr>
        <w:tc>
          <w:tcPr>
            <w:tcW w:w="2740" w:type="dxa"/>
            <w:tcBorders>
              <w:top w:val="nil"/>
              <w:left w:val="single" w:sz="4" w:space="0" w:color="auto"/>
              <w:bottom w:val="nil"/>
              <w:right w:val="nil"/>
            </w:tcBorders>
            <w:shd w:val="clear" w:color="auto" w:fill="auto"/>
            <w:noWrap/>
            <w:vAlign w:val="center"/>
            <w:hideMark/>
          </w:tcPr>
          <w:p w14:paraId="354C48F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A97B04D"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85356E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7038FEE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598E0B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4F1372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4DCA96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A679E0D" w14:textId="77777777" w:rsidTr="00F56356">
        <w:trPr>
          <w:trHeight w:val="345"/>
          <w:jc w:val="center"/>
        </w:trPr>
        <w:tc>
          <w:tcPr>
            <w:tcW w:w="9320" w:type="dxa"/>
            <w:gridSpan w:val="7"/>
            <w:tcBorders>
              <w:top w:val="nil"/>
              <w:left w:val="single" w:sz="4" w:space="0" w:color="auto"/>
              <w:bottom w:val="nil"/>
              <w:right w:val="single" w:sz="4" w:space="0" w:color="000000"/>
            </w:tcBorders>
            <w:shd w:val="clear" w:color="auto" w:fill="auto"/>
            <w:vAlign w:val="center"/>
            <w:hideMark/>
          </w:tcPr>
          <w:p w14:paraId="680A9E4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22DF0131" w14:textId="77777777" w:rsidTr="00F56356">
        <w:trPr>
          <w:trHeight w:val="345"/>
          <w:jc w:val="center"/>
        </w:trPr>
        <w:tc>
          <w:tcPr>
            <w:tcW w:w="9320" w:type="dxa"/>
            <w:gridSpan w:val="7"/>
            <w:tcBorders>
              <w:top w:val="nil"/>
              <w:left w:val="single" w:sz="4" w:space="0" w:color="auto"/>
              <w:bottom w:val="nil"/>
              <w:right w:val="single" w:sz="4" w:space="0" w:color="000000"/>
            </w:tcBorders>
            <w:shd w:val="clear" w:color="auto" w:fill="auto"/>
            <w:vAlign w:val="center"/>
            <w:hideMark/>
          </w:tcPr>
          <w:p w14:paraId="74274DC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30E725AC" w14:textId="77777777" w:rsidTr="00F56356">
        <w:trPr>
          <w:trHeight w:val="345"/>
          <w:jc w:val="center"/>
        </w:trPr>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03D761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5636624B" w14:textId="77777777" w:rsidTr="00F56356">
        <w:trPr>
          <w:trHeight w:val="480"/>
          <w:jc w:val="center"/>
        </w:trPr>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CF38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2E5903C0" w14:textId="77777777" w:rsidTr="00F56356">
        <w:trPr>
          <w:trHeight w:val="54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F65CD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F8BB98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autorizzati nell'anno di riferimento</w:t>
            </w:r>
          </w:p>
        </w:tc>
      </w:tr>
      <w:tr w:rsidR="00F56356" w:rsidRPr="00F56356" w14:paraId="5C2B691D" w14:textId="77777777" w:rsidTr="00F56356">
        <w:trPr>
          <w:trHeight w:val="795"/>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F1ADE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DA91F8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Sistema di monitoraggio della direttiva, protocollo informatico, posta certificata, posta elettronica ordinaria e SICOGE</w:t>
            </w:r>
          </w:p>
        </w:tc>
      </w:tr>
      <w:tr w:rsidR="00F56356" w:rsidRPr="00F56356" w14:paraId="00F0E37E" w14:textId="77777777" w:rsidTr="00F56356">
        <w:trPr>
          <w:trHeight w:val="1200"/>
          <w:jc w:val="center"/>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6C6D1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42A26A0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di progetti/iniziative avviati/N. di progetti/iniziative autorizzati in coerenza con la direttiva annuale dell'Autorità politica</w:t>
            </w:r>
          </w:p>
        </w:tc>
        <w:tc>
          <w:tcPr>
            <w:tcW w:w="1180" w:type="dxa"/>
            <w:tcBorders>
              <w:top w:val="nil"/>
              <w:left w:val="nil"/>
              <w:bottom w:val="single" w:sz="4" w:space="0" w:color="auto"/>
              <w:right w:val="nil"/>
            </w:tcBorders>
            <w:shd w:val="clear" w:color="auto" w:fill="auto"/>
            <w:vAlign w:val="center"/>
            <w:hideMark/>
          </w:tcPr>
          <w:p w14:paraId="6BCAFB8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520CB4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233D3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0048336C" w14:textId="77777777" w:rsidTr="00F56356">
        <w:trPr>
          <w:trHeight w:val="615"/>
          <w:jc w:val="center"/>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454113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247C6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AC4C36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7989626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690137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r>
      <w:tr w:rsidR="00F56356" w:rsidRPr="00F56356" w14:paraId="52DF4D66" w14:textId="77777777" w:rsidTr="00F56356">
        <w:trPr>
          <w:trHeight w:val="810"/>
          <w:jc w:val="center"/>
        </w:trPr>
        <w:tc>
          <w:tcPr>
            <w:tcW w:w="93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CE972A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La Struttura di Missione "</w:t>
            </w:r>
            <w:proofErr w:type="spellStart"/>
            <w:r w:rsidRPr="00F56356">
              <w:rPr>
                <w:rFonts w:ascii="Times New Roman" w:eastAsia="Times New Roman" w:hAnsi="Times New Roman" w:cs="Times New Roman"/>
                <w:color w:val="000000"/>
                <w:sz w:val="20"/>
                <w:szCs w:val="20"/>
                <w:lang w:eastAsia="it-IT"/>
              </w:rPr>
              <w:t>Investitalia</w:t>
            </w:r>
            <w:proofErr w:type="spellEnd"/>
            <w:r w:rsidRPr="00F56356">
              <w:rPr>
                <w:rFonts w:ascii="Times New Roman" w:eastAsia="Times New Roman" w:hAnsi="Times New Roman" w:cs="Times New Roman"/>
                <w:color w:val="000000"/>
                <w:sz w:val="20"/>
                <w:szCs w:val="20"/>
                <w:lang w:eastAsia="it-IT"/>
              </w:rPr>
              <w:t xml:space="preserve">", è stata prorogata, da ultimo, fino al 15 settembre 2021 (termine indicato dal </w:t>
            </w:r>
            <w:proofErr w:type="spellStart"/>
            <w:r w:rsidRPr="00F56356">
              <w:rPr>
                <w:rFonts w:ascii="Times New Roman" w:eastAsia="Times New Roman" w:hAnsi="Times New Roman" w:cs="Times New Roman"/>
                <w:color w:val="000000"/>
                <w:sz w:val="20"/>
                <w:szCs w:val="20"/>
                <w:lang w:eastAsia="it-IT"/>
              </w:rPr>
              <w:t>dPCM</w:t>
            </w:r>
            <w:proofErr w:type="spellEnd"/>
            <w:r w:rsidRPr="00F56356">
              <w:rPr>
                <w:rFonts w:ascii="Times New Roman" w:eastAsia="Times New Roman" w:hAnsi="Times New Roman" w:cs="Times New Roman"/>
                <w:color w:val="000000"/>
                <w:sz w:val="20"/>
                <w:szCs w:val="20"/>
                <w:lang w:eastAsia="it-IT"/>
              </w:rPr>
              <w:t xml:space="preserve"> 30 luglio 2021), conseguentemente, il Ministero dell'economia e delle finanze non ha provveduto al versamento di quanto stanziato per l'anno finanziario 2022.</w:t>
            </w:r>
          </w:p>
        </w:tc>
      </w:tr>
    </w:tbl>
    <w:p w14:paraId="5BA9323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04F88B5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4E05C81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4EDA0B7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1DF7EB9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0E2A6D47" w14:textId="77777777" w:rsidTr="00F56356">
        <w:trPr>
          <w:trHeight w:val="510"/>
        </w:trPr>
        <w:tc>
          <w:tcPr>
            <w:tcW w:w="340" w:type="dxa"/>
            <w:tcBorders>
              <w:top w:val="nil"/>
              <w:left w:val="nil"/>
              <w:bottom w:val="nil"/>
              <w:right w:val="nil"/>
            </w:tcBorders>
            <w:shd w:val="clear" w:color="auto" w:fill="auto"/>
            <w:noWrap/>
            <w:vAlign w:val="bottom"/>
            <w:hideMark/>
          </w:tcPr>
          <w:p w14:paraId="4B16D62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17FA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7764B2FE" w14:textId="77777777" w:rsidTr="00F56356">
        <w:trPr>
          <w:trHeight w:val="690"/>
        </w:trPr>
        <w:tc>
          <w:tcPr>
            <w:tcW w:w="340" w:type="dxa"/>
            <w:tcBorders>
              <w:top w:val="nil"/>
              <w:left w:val="nil"/>
              <w:bottom w:val="nil"/>
              <w:right w:val="nil"/>
            </w:tcBorders>
            <w:shd w:val="clear" w:color="auto" w:fill="auto"/>
            <w:noWrap/>
            <w:vAlign w:val="center"/>
            <w:hideMark/>
          </w:tcPr>
          <w:p w14:paraId="0CAF073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1B3F12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F37B69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36F52A5F" w14:textId="77777777" w:rsidTr="00F56356">
        <w:trPr>
          <w:trHeight w:val="690"/>
        </w:trPr>
        <w:tc>
          <w:tcPr>
            <w:tcW w:w="340" w:type="dxa"/>
            <w:tcBorders>
              <w:top w:val="nil"/>
              <w:left w:val="nil"/>
              <w:bottom w:val="nil"/>
              <w:right w:val="nil"/>
            </w:tcBorders>
            <w:shd w:val="clear" w:color="auto" w:fill="auto"/>
            <w:noWrap/>
            <w:vAlign w:val="center"/>
            <w:hideMark/>
          </w:tcPr>
          <w:p w14:paraId="6D33A8F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E50A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ACA1E3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3DCE3A1E" w14:textId="77777777" w:rsidTr="00F56356">
        <w:trPr>
          <w:trHeight w:val="690"/>
        </w:trPr>
        <w:tc>
          <w:tcPr>
            <w:tcW w:w="340" w:type="dxa"/>
            <w:tcBorders>
              <w:top w:val="nil"/>
              <w:left w:val="nil"/>
              <w:bottom w:val="nil"/>
              <w:right w:val="nil"/>
            </w:tcBorders>
            <w:shd w:val="clear" w:color="auto" w:fill="auto"/>
            <w:noWrap/>
            <w:vAlign w:val="center"/>
            <w:hideMark/>
          </w:tcPr>
          <w:p w14:paraId="76675FF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6DA792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6678E6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7A8DF050" w14:textId="77777777" w:rsidTr="00F56356">
        <w:trPr>
          <w:trHeight w:val="405"/>
        </w:trPr>
        <w:tc>
          <w:tcPr>
            <w:tcW w:w="340" w:type="dxa"/>
            <w:tcBorders>
              <w:top w:val="nil"/>
              <w:left w:val="nil"/>
              <w:bottom w:val="nil"/>
              <w:right w:val="nil"/>
            </w:tcBorders>
            <w:shd w:val="clear" w:color="auto" w:fill="auto"/>
            <w:noWrap/>
            <w:vAlign w:val="center"/>
            <w:hideMark/>
          </w:tcPr>
          <w:p w14:paraId="2B9855A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E1BEAA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006A8F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Premio nazionale intitolato a Giacomo Matteotti</w:t>
            </w:r>
          </w:p>
        </w:tc>
      </w:tr>
      <w:tr w:rsidR="00F56356" w:rsidRPr="00F56356" w14:paraId="1239464D" w14:textId="77777777" w:rsidTr="00F56356">
        <w:trPr>
          <w:trHeight w:val="735"/>
        </w:trPr>
        <w:tc>
          <w:tcPr>
            <w:tcW w:w="340" w:type="dxa"/>
            <w:tcBorders>
              <w:top w:val="nil"/>
              <w:left w:val="nil"/>
              <w:bottom w:val="nil"/>
              <w:right w:val="nil"/>
            </w:tcBorders>
            <w:shd w:val="clear" w:color="auto" w:fill="auto"/>
            <w:noWrap/>
            <w:vAlign w:val="center"/>
            <w:hideMark/>
          </w:tcPr>
          <w:p w14:paraId="3249175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1021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ADED90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Ottimizzazione delle attività procedimentali al fine di garantire il rispetto di tutti i termini previsti per l’adozione dei provvedimenti </w:t>
            </w:r>
          </w:p>
        </w:tc>
      </w:tr>
      <w:tr w:rsidR="00F56356" w:rsidRPr="00F56356" w14:paraId="222175D3" w14:textId="77777777" w:rsidTr="00F56356">
        <w:trPr>
          <w:trHeight w:val="435"/>
        </w:trPr>
        <w:tc>
          <w:tcPr>
            <w:tcW w:w="340" w:type="dxa"/>
            <w:tcBorders>
              <w:top w:val="nil"/>
              <w:left w:val="nil"/>
              <w:bottom w:val="nil"/>
              <w:right w:val="nil"/>
            </w:tcBorders>
            <w:shd w:val="clear" w:color="auto" w:fill="auto"/>
            <w:noWrap/>
            <w:vAlign w:val="center"/>
            <w:hideMark/>
          </w:tcPr>
          <w:p w14:paraId="3A4AC08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C7E81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0204C7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8F9DA6F" w14:textId="77777777" w:rsidTr="00F56356">
        <w:trPr>
          <w:trHeight w:val="525"/>
        </w:trPr>
        <w:tc>
          <w:tcPr>
            <w:tcW w:w="340" w:type="dxa"/>
            <w:tcBorders>
              <w:top w:val="nil"/>
              <w:left w:val="nil"/>
              <w:bottom w:val="nil"/>
              <w:right w:val="nil"/>
            </w:tcBorders>
            <w:shd w:val="clear" w:color="auto" w:fill="auto"/>
            <w:noWrap/>
            <w:vAlign w:val="center"/>
            <w:hideMark/>
          </w:tcPr>
          <w:p w14:paraId="78B1F35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D1730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7378BC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1AA7837" w14:textId="77777777" w:rsidTr="00F56356">
        <w:trPr>
          <w:trHeight w:val="525"/>
        </w:trPr>
        <w:tc>
          <w:tcPr>
            <w:tcW w:w="340" w:type="dxa"/>
            <w:tcBorders>
              <w:top w:val="nil"/>
              <w:left w:val="nil"/>
              <w:bottom w:val="nil"/>
              <w:right w:val="nil"/>
            </w:tcBorders>
            <w:shd w:val="clear" w:color="auto" w:fill="auto"/>
            <w:noWrap/>
            <w:vAlign w:val="bottom"/>
            <w:hideMark/>
          </w:tcPr>
          <w:p w14:paraId="643DB44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E3B08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9BB38E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229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82230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187613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7FED4EAB" w14:textId="77777777" w:rsidTr="00F56356">
        <w:trPr>
          <w:trHeight w:val="1305"/>
        </w:trPr>
        <w:tc>
          <w:tcPr>
            <w:tcW w:w="340" w:type="dxa"/>
            <w:tcBorders>
              <w:top w:val="nil"/>
              <w:left w:val="nil"/>
              <w:bottom w:val="nil"/>
              <w:right w:val="nil"/>
            </w:tcBorders>
            <w:shd w:val="clear" w:color="auto" w:fill="auto"/>
            <w:noWrap/>
            <w:vAlign w:val="bottom"/>
            <w:hideMark/>
          </w:tcPr>
          <w:p w14:paraId="73D2B70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5C3D08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424586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1608DF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033CE4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E7DF39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0F74B6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A14EDA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132DDA5" w14:textId="77777777" w:rsidTr="00F56356">
        <w:trPr>
          <w:trHeight w:val="720"/>
        </w:trPr>
        <w:tc>
          <w:tcPr>
            <w:tcW w:w="340" w:type="dxa"/>
            <w:tcBorders>
              <w:top w:val="nil"/>
              <w:left w:val="nil"/>
              <w:bottom w:val="nil"/>
              <w:right w:val="nil"/>
            </w:tcBorders>
            <w:shd w:val="clear" w:color="auto" w:fill="auto"/>
            <w:noWrap/>
            <w:vAlign w:val="bottom"/>
            <w:hideMark/>
          </w:tcPr>
          <w:p w14:paraId="4DEFF44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97A936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E764AF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B277A9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37.952,00</w:t>
            </w:r>
          </w:p>
        </w:tc>
        <w:tc>
          <w:tcPr>
            <w:tcW w:w="1140" w:type="dxa"/>
            <w:tcBorders>
              <w:top w:val="nil"/>
              <w:left w:val="nil"/>
              <w:bottom w:val="single" w:sz="4" w:space="0" w:color="auto"/>
              <w:right w:val="single" w:sz="4" w:space="0" w:color="auto"/>
            </w:tcBorders>
            <w:shd w:val="clear" w:color="auto" w:fill="auto"/>
            <w:noWrap/>
            <w:vAlign w:val="center"/>
            <w:hideMark/>
          </w:tcPr>
          <w:p w14:paraId="1496D2E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37.952,00</w:t>
            </w:r>
          </w:p>
        </w:tc>
        <w:tc>
          <w:tcPr>
            <w:tcW w:w="1180" w:type="dxa"/>
            <w:tcBorders>
              <w:top w:val="nil"/>
              <w:left w:val="nil"/>
              <w:bottom w:val="single" w:sz="4" w:space="0" w:color="auto"/>
              <w:right w:val="single" w:sz="4" w:space="0" w:color="auto"/>
            </w:tcBorders>
            <w:shd w:val="clear" w:color="auto" w:fill="auto"/>
            <w:noWrap/>
            <w:vAlign w:val="center"/>
            <w:hideMark/>
          </w:tcPr>
          <w:p w14:paraId="79262F9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19.800,00</w:t>
            </w:r>
          </w:p>
        </w:tc>
        <w:tc>
          <w:tcPr>
            <w:tcW w:w="1340" w:type="dxa"/>
            <w:tcBorders>
              <w:top w:val="nil"/>
              <w:left w:val="nil"/>
              <w:bottom w:val="single" w:sz="4" w:space="0" w:color="auto"/>
              <w:right w:val="single" w:sz="4" w:space="0" w:color="auto"/>
            </w:tcBorders>
            <w:shd w:val="clear" w:color="auto" w:fill="auto"/>
            <w:noWrap/>
            <w:vAlign w:val="center"/>
            <w:hideMark/>
          </w:tcPr>
          <w:p w14:paraId="48FD038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8.012,00</w:t>
            </w:r>
          </w:p>
        </w:tc>
        <w:tc>
          <w:tcPr>
            <w:tcW w:w="1140" w:type="dxa"/>
            <w:tcBorders>
              <w:top w:val="nil"/>
              <w:left w:val="nil"/>
              <w:bottom w:val="single" w:sz="4" w:space="0" w:color="auto"/>
              <w:right w:val="single" w:sz="4" w:space="0" w:color="auto"/>
            </w:tcBorders>
            <w:shd w:val="clear" w:color="auto" w:fill="auto"/>
            <w:noWrap/>
            <w:vAlign w:val="center"/>
            <w:hideMark/>
          </w:tcPr>
          <w:p w14:paraId="2D7E4BE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27.812,00</w:t>
            </w:r>
          </w:p>
        </w:tc>
      </w:tr>
      <w:tr w:rsidR="00F56356" w:rsidRPr="00F56356" w14:paraId="10D92C04" w14:textId="77777777" w:rsidTr="00F56356">
        <w:trPr>
          <w:trHeight w:val="330"/>
        </w:trPr>
        <w:tc>
          <w:tcPr>
            <w:tcW w:w="340" w:type="dxa"/>
            <w:tcBorders>
              <w:top w:val="nil"/>
              <w:left w:val="nil"/>
              <w:bottom w:val="nil"/>
              <w:right w:val="nil"/>
            </w:tcBorders>
            <w:shd w:val="clear" w:color="auto" w:fill="auto"/>
            <w:noWrap/>
            <w:vAlign w:val="bottom"/>
            <w:hideMark/>
          </w:tcPr>
          <w:p w14:paraId="776DDF0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D11F27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48EF6A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B98319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58B3430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020115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9469C6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4EB459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799F325" w14:textId="77777777" w:rsidTr="00F56356">
        <w:trPr>
          <w:trHeight w:val="345"/>
        </w:trPr>
        <w:tc>
          <w:tcPr>
            <w:tcW w:w="340" w:type="dxa"/>
            <w:tcBorders>
              <w:top w:val="nil"/>
              <w:left w:val="nil"/>
              <w:bottom w:val="nil"/>
              <w:right w:val="nil"/>
            </w:tcBorders>
            <w:shd w:val="clear" w:color="auto" w:fill="auto"/>
            <w:noWrap/>
            <w:vAlign w:val="bottom"/>
            <w:hideMark/>
          </w:tcPr>
          <w:p w14:paraId="767A427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B556F4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0789C764" w14:textId="77777777" w:rsidTr="00F56356">
        <w:trPr>
          <w:trHeight w:val="345"/>
        </w:trPr>
        <w:tc>
          <w:tcPr>
            <w:tcW w:w="340" w:type="dxa"/>
            <w:tcBorders>
              <w:top w:val="nil"/>
              <w:left w:val="nil"/>
              <w:bottom w:val="nil"/>
              <w:right w:val="nil"/>
            </w:tcBorders>
            <w:shd w:val="clear" w:color="auto" w:fill="auto"/>
            <w:noWrap/>
            <w:vAlign w:val="bottom"/>
            <w:hideMark/>
          </w:tcPr>
          <w:p w14:paraId="5811A6C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839414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1C043F7E" w14:textId="77777777" w:rsidTr="00F56356">
        <w:trPr>
          <w:trHeight w:val="345"/>
        </w:trPr>
        <w:tc>
          <w:tcPr>
            <w:tcW w:w="340" w:type="dxa"/>
            <w:tcBorders>
              <w:top w:val="nil"/>
              <w:left w:val="nil"/>
              <w:bottom w:val="nil"/>
              <w:right w:val="nil"/>
            </w:tcBorders>
            <w:shd w:val="clear" w:color="auto" w:fill="auto"/>
            <w:noWrap/>
            <w:vAlign w:val="bottom"/>
            <w:hideMark/>
          </w:tcPr>
          <w:p w14:paraId="4BB2FA3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C35838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650F5676" w14:textId="77777777" w:rsidTr="00F56356">
        <w:trPr>
          <w:trHeight w:val="480"/>
        </w:trPr>
        <w:tc>
          <w:tcPr>
            <w:tcW w:w="340" w:type="dxa"/>
            <w:tcBorders>
              <w:top w:val="nil"/>
              <w:left w:val="nil"/>
              <w:bottom w:val="nil"/>
              <w:right w:val="nil"/>
            </w:tcBorders>
            <w:shd w:val="clear" w:color="auto" w:fill="auto"/>
            <w:noWrap/>
            <w:vAlign w:val="bottom"/>
            <w:hideMark/>
          </w:tcPr>
          <w:p w14:paraId="6A04900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1537E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09E8B776" w14:textId="77777777" w:rsidTr="00F56356">
        <w:trPr>
          <w:trHeight w:val="540"/>
        </w:trPr>
        <w:tc>
          <w:tcPr>
            <w:tcW w:w="340" w:type="dxa"/>
            <w:tcBorders>
              <w:top w:val="nil"/>
              <w:left w:val="nil"/>
              <w:bottom w:val="nil"/>
              <w:right w:val="nil"/>
            </w:tcBorders>
            <w:shd w:val="clear" w:color="auto" w:fill="auto"/>
            <w:noWrap/>
            <w:vAlign w:val="center"/>
            <w:hideMark/>
          </w:tcPr>
          <w:p w14:paraId="1874E52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786EAE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DEF219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Tempestività nella realizzazione delle istruttorie e degli atti previsti </w:t>
            </w:r>
          </w:p>
        </w:tc>
      </w:tr>
      <w:tr w:rsidR="00F56356" w:rsidRPr="00F56356" w14:paraId="4DCB3470" w14:textId="77777777" w:rsidTr="00F56356">
        <w:trPr>
          <w:trHeight w:val="795"/>
        </w:trPr>
        <w:tc>
          <w:tcPr>
            <w:tcW w:w="340" w:type="dxa"/>
            <w:tcBorders>
              <w:top w:val="nil"/>
              <w:left w:val="nil"/>
              <w:bottom w:val="nil"/>
              <w:right w:val="nil"/>
            </w:tcBorders>
            <w:shd w:val="clear" w:color="auto" w:fill="auto"/>
            <w:noWrap/>
            <w:vAlign w:val="center"/>
            <w:hideMark/>
          </w:tcPr>
          <w:p w14:paraId="3FD2EB6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99EB2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82C126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roofErr w:type="spellStart"/>
            <w:r w:rsidRPr="00F56356">
              <w:rPr>
                <w:rFonts w:ascii="Times New Roman" w:eastAsia="Times New Roman" w:hAnsi="Times New Roman" w:cs="Times New Roman"/>
                <w:color w:val="000000"/>
                <w:sz w:val="20"/>
                <w:szCs w:val="20"/>
                <w:lang w:eastAsia="it-IT"/>
              </w:rPr>
              <w:t>Sicoge</w:t>
            </w:r>
            <w:proofErr w:type="spellEnd"/>
            <w:r w:rsidRPr="00F56356">
              <w:rPr>
                <w:rFonts w:ascii="Times New Roman" w:eastAsia="Times New Roman" w:hAnsi="Times New Roman" w:cs="Times New Roman"/>
                <w:color w:val="000000"/>
                <w:sz w:val="20"/>
                <w:szCs w:val="20"/>
                <w:lang w:eastAsia="it-IT"/>
              </w:rPr>
              <w:t xml:space="preserve">, protocollo informatico e sito internet </w:t>
            </w:r>
          </w:p>
        </w:tc>
      </w:tr>
      <w:tr w:rsidR="00F56356" w:rsidRPr="00F56356" w14:paraId="502FF93C" w14:textId="77777777" w:rsidTr="00F56356">
        <w:trPr>
          <w:trHeight w:val="1740"/>
        </w:trPr>
        <w:tc>
          <w:tcPr>
            <w:tcW w:w="340" w:type="dxa"/>
            <w:tcBorders>
              <w:top w:val="nil"/>
              <w:left w:val="nil"/>
              <w:bottom w:val="nil"/>
              <w:right w:val="nil"/>
            </w:tcBorders>
            <w:shd w:val="clear" w:color="auto" w:fill="auto"/>
            <w:noWrap/>
            <w:vAlign w:val="center"/>
            <w:hideMark/>
          </w:tcPr>
          <w:p w14:paraId="07A794E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308A1E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D3742E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provvedimenti adottati entro i rispettivi termini di scadenza, effettivi o convenzionali/N. provvedimenti da adottare entro i rispettivi termini di scadenza, effettivi o convenzionali</w:t>
            </w:r>
          </w:p>
        </w:tc>
        <w:tc>
          <w:tcPr>
            <w:tcW w:w="1180" w:type="dxa"/>
            <w:tcBorders>
              <w:top w:val="nil"/>
              <w:left w:val="nil"/>
              <w:bottom w:val="single" w:sz="4" w:space="0" w:color="auto"/>
              <w:right w:val="nil"/>
            </w:tcBorders>
            <w:shd w:val="clear" w:color="auto" w:fill="auto"/>
            <w:vAlign w:val="center"/>
            <w:hideMark/>
          </w:tcPr>
          <w:p w14:paraId="0C0D7B2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C3AFA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B2D20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DD5FC32" w14:textId="77777777" w:rsidTr="00F56356">
        <w:trPr>
          <w:trHeight w:val="615"/>
        </w:trPr>
        <w:tc>
          <w:tcPr>
            <w:tcW w:w="340" w:type="dxa"/>
            <w:tcBorders>
              <w:top w:val="nil"/>
              <w:left w:val="nil"/>
              <w:bottom w:val="nil"/>
              <w:right w:val="nil"/>
            </w:tcBorders>
            <w:shd w:val="clear" w:color="auto" w:fill="auto"/>
            <w:noWrap/>
            <w:vAlign w:val="bottom"/>
            <w:hideMark/>
          </w:tcPr>
          <w:p w14:paraId="5B79508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5813542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890922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D445D5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22BD33F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F7F330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7538E3C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22872C6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36C01110" w14:textId="480E712F" w:rsid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6D18FAFA" w14:textId="72614007" w:rsidR="00B162D3" w:rsidRDefault="00B162D3"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17E24C73" w14:textId="5F9B8DA6" w:rsidR="00B162D3" w:rsidRDefault="00B162D3"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6D960A25" w14:textId="30101C69" w:rsidR="00B162D3" w:rsidRDefault="00B162D3"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751EC26E" w14:textId="77777777" w:rsidR="00B162D3" w:rsidRPr="00F56356" w:rsidRDefault="00B162D3"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p w14:paraId="015B66E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2D89BEC0" w14:textId="77777777" w:rsidTr="00F56356">
        <w:trPr>
          <w:trHeight w:val="510"/>
        </w:trPr>
        <w:tc>
          <w:tcPr>
            <w:tcW w:w="340" w:type="dxa"/>
            <w:tcBorders>
              <w:top w:val="nil"/>
              <w:left w:val="nil"/>
              <w:bottom w:val="nil"/>
              <w:right w:val="nil"/>
            </w:tcBorders>
            <w:shd w:val="clear" w:color="auto" w:fill="auto"/>
            <w:noWrap/>
            <w:vAlign w:val="bottom"/>
            <w:hideMark/>
          </w:tcPr>
          <w:p w14:paraId="2A86BE4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F4D6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bookmarkStart w:id="31" w:name="RANGE!B1:H20"/>
            <w:r w:rsidRPr="00F56356">
              <w:rPr>
                <w:rFonts w:ascii="Times New Roman" w:eastAsia="Times New Roman" w:hAnsi="Times New Roman" w:cs="Times New Roman"/>
                <w:b/>
                <w:bCs/>
                <w:i/>
                <w:iCs/>
                <w:color w:val="000000"/>
                <w:sz w:val="28"/>
                <w:szCs w:val="28"/>
                <w:lang w:eastAsia="it-IT"/>
              </w:rPr>
              <w:t>SCHEDA OBIETTIVO</w:t>
            </w:r>
            <w:bookmarkEnd w:id="31"/>
          </w:p>
        </w:tc>
      </w:tr>
      <w:tr w:rsidR="00F56356" w:rsidRPr="00F56356" w14:paraId="2531C022" w14:textId="77777777" w:rsidTr="00F56356">
        <w:trPr>
          <w:trHeight w:val="690"/>
        </w:trPr>
        <w:tc>
          <w:tcPr>
            <w:tcW w:w="340" w:type="dxa"/>
            <w:tcBorders>
              <w:top w:val="nil"/>
              <w:left w:val="nil"/>
              <w:bottom w:val="nil"/>
              <w:right w:val="nil"/>
            </w:tcBorders>
            <w:shd w:val="clear" w:color="auto" w:fill="auto"/>
            <w:noWrap/>
            <w:vAlign w:val="center"/>
            <w:hideMark/>
          </w:tcPr>
          <w:p w14:paraId="1867A8C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C28E0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CF9FC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03D430CF" w14:textId="77777777" w:rsidTr="00F56356">
        <w:trPr>
          <w:trHeight w:val="343"/>
        </w:trPr>
        <w:tc>
          <w:tcPr>
            <w:tcW w:w="340" w:type="dxa"/>
            <w:tcBorders>
              <w:top w:val="nil"/>
              <w:left w:val="nil"/>
              <w:bottom w:val="nil"/>
              <w:right w:val="nil"/>
            </w:tcBorders>
            <w:shd w:val="clear" w:color="auto" w:fill="auto"/>
            <w:noWrap/>
            <w:vAlign w:val="center"/>
            <w:hideMark/>
          </w:tcPr>
          <w:p w14:paraId="00A4913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640C6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D3BA27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1F224BAA" w14:textId="77777777" w:rsidTr="00F56356">
        <w:trPr>
          <w:trHeight w:val="493"/>
        </w:trPr>
        <w:tc>
          <w:tcPr>
            <w:tcW w:w="340" w:type="dxa"/>
            <w:tcBorders>
              <w:top w:val="nil"/>
              <w:left w:val="nil"/>
              <w:bottom w:val="nil"/>
              <w:right w:val="nil"/>
            </w:tcBorders>
            <w:shd w:val="clear" w:color="auto" w:fill="auto"/>
            <w:noWrap/>
            <w:vAlign w:val="center"/>
            <w:hideMark/>
          </w:tcPr>
          <w:p w14:paraId="7E61218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F5132C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16EA2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332BEC2F" w14:textId="77777777" w:rsidTr="00F56356">
        <w:trPr>
          <w:trHeight w:val="630"/>
        </w:trPr>
        <w:tc>
          <w:tcPr>
            <w:tcW w:w="340" w:type="dxa"/>
            <w:tcBorders>
              <w:top w:val="nil"/>
              <w:left w:val="nil"/>
              <w:bottom w:val="nil"/>
              <w:right w:val="nil"/>
            </w:tcBorders>
            <w:shd w:val="clear" w:color="auto" w:fill="auto"/>
            <w:noWrap/>
            <w:vAlign w:val="center"/>
            <w:hideMark/>
          </w:tcPr>
          <w:p w14:paraId="01BD7CA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638F2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F776A0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Espletamento delle attività di carattere logistico - organizzativo connesse con la Presidenza Italiana del G20</w:t>
            </w:r>
          </w:p>
        </w:tc>
      </w:tr>
      <w:tr w:rsidR="00F56356" w:rsidRPr="00F56356" w14:paraId="562BC6C5" w14:textId="77777777" w:rsidTr="00F56356">
        <w:trPr>
          <w:trHeight w:val="3688"/>
        </w:trPr>
        <w:tc>
          <w:tcPr>
            <w:tcW w:w="340" w:type="dxa"/>
            <w:tcBorders>
              <w:top w:val="nil"/>
              <w:left w:val="nil"/>
              <w:bottom w:val="nil"/>
              <w:right w:val="nil"/>
            </w:tcBorders>
            <w:shd w:val="clear" w:color="auto" w:fill="auto"/>
            <w:noWrap/>
            <w:vAlign w:val="center"/>
            <w:hideMark/>
          </w:tcPr>
          <w:p w14:paraId="371085C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E9718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9B3EA2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La Presidenza italiana del G20 si concluderà a fine novembre 2021. Successivamente a tale data e prevalentemente nel corso del 2022, dovranno essere espletate talune attività di completamento strettamente connesse agli eventi svolti nel corso dell’anno di presidenza italiana. Gli stanziamenti previsti sono funzionali, quindi, al perseguimento dell’obiettivo di assicurare le forniture e l’espletamento dei servizi di completamento delle attività, nonché necessari a definire, anche sotto il profilo amministrativo, le attività svolte. In tale ottica è ipotizzabile, a mero titolo esemplificativo, di dare corso alla produzione di pubblicazioni e di supportare le esigenze di comunicazione istituzionale. Potranno essere implementati, altresì, i servizi a supporto delle esigenze di rendicontazione, avvalendosi, laddove necessario, di personale della società di somministrazione contrattualizzata dalla Delegazione presidenza italiana. Gli stanziamenti previsti sono funzionali al perseguimento dell’obiettivo di assicurare il necessario supporto per le esigenze di informazione e di comunicazione istituzionale.</w:t>
            </w:r>
          </w:p>
        </w:tc>
      </w:tr>
      <w:tr w:rsidR="00F56356" w:rsidRPr="00F56356" w14:paraId="4ACB1083" w14:textId="77777777" w:rsidTr="00F56356">
        <w:trPr>
          <w:trHeight w:val="390"/>
        </w:trPr>
        <w:tc>
          <w:tcPr>
            <w:tcW w:w="340" w:type="dxa"/>
            <w:tcBorders>
              <w:top w:val="nil"/>
              <w:left w:val="nil"/>
              <w:bottom w:val="nil"/>
              <w:right w:val="nil"/>
            </w:tcBorders>
            <w:shd w:val="clear" w:color="auto" w:fill="auto"/>
            <w:noWrap/>
            <w:vAlign w:val="center"/>
            <w:hideMark/>
          </w:tcPr>
          <w:p w14:paraId="6875482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65E298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56B273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ACD0D8E" w14:textId="77777777" w:rsidTr="00F56356">
        <w:trPr>
          <w:trHeight w:val="390"/>
        </w:trPr>
        <w:tc>
          <w:tcPr>
            <w:tcW w:w="340" w:type="dxa"/>
            <w:tcBorders>
              <w:top w:val="nil"/>
              <w:left w:val="nil"/>
              <w:bottom w:val="nil"/>
              <w:right w:val="nil"/>
            </w:tcBorders>
            <w:shd w:val="clear" w:color="auto" w:fill="auto"/>
            <w:noWrap/>
            <w:vAlign w:val="center"/>
            <w:hideMark/>
          </w:tcPr>
          <w:p w14:paraId="6B4554A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DCD1CB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0D3DCD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E461C07" w14:textId="77777777" w:rsidTr="00F56356">
        <w:trPr>
          <w:trHeight w:val="525"/>
        </w:trPr>
        <w:tc>
          <w:tcPr>
            <w:tcW w:w="340" w:type="dxa"/>
            <w:tcBorders>
              <w:top w:val="nil"/>
              <w:left w:val="nil"/>
              <w:bottom w:val="nil"/>
              <w:right w:val="nil"/>
            </w:tcBorders>
            <w:shd w:val="clear" w:color="auto" w:fill="auto"/>
            <w:noWrap/>
            <w:vAlign w:val="bottom"/>
            <w:hideMark/>
          </w:tcPr>
          <w:p w14:paraId="278E09C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F1A079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4A2D03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259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1B11C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A857E2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F548A54" w14:textId="77777777" w:rsidTr="00F56356">
        <w:trPr>
          <w:trHeight w:val="1033"/>
        </w:trPr>
        <w:tc>
          <w:tcPr>
            <w:tcW w:w="340" w:type="dxa"/>
            <w:tcBorders>
              <w:top w:val="nil"/>
              <w:left w:val="nil"/>
              <w:bottom w:val="nil"/>
              <w:right w:val="nil"/>
            </w:tcBorders>
            <w:shd w:val="clear" w:color="auto" w:fill="auto"/>
            <w:noWrap/>
            <w:vAlign w:val="bottom"/>
            <w:hideMark/>
          </w:tcPr>
          <w:p w14:paraId="32ADFB4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78EB31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879EF7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8E5A91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3D93A10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396728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DB5443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E07E12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1018A8DA" w14:textId="77777777" w:rsidTr="00F56356">
        <w:trPr>
          <w:trHeight w:val="410"/>
        </w:trPr>
        <w:tc>
          <w:tcPr>
            <w:tcW w:w="340" w:type="dxa"/>
            <w:tcBorders>
              <w:top w:val="nil"/>
              <w:left w:val="nil"/>
              <w:bottom w:val="nil"/>
              <w:right w:val="nil"/>
            </w:tcBorders>
            <w:shd w:val="clear" w:color="auto" w:fill="auto"/>
            <w:noWrap/>
            <w:vAlign w:val="bottom"/>
            <w:hideMark/>
          </w:tcPr>
          <w:p w14:paraId="094B7C1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FE4C52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66BCBC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076232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464.238,00</w:t>
            </w:r>
          </w:p>
        </w:tc>
        <w:tc>
          <w:tcPr>
            <w:tcW w:w="1140" w:type="dxa"/>
            <w:tcBorders>
              <w:top w:val="nil"/>
              <w:left w:val="nil"/>
              <w:bottom w:val="single" w:sz="4" w:space="0" w:color="auto"/>
              <w:right w:val="single" w:sz="4" w:space="0" w:color="auto"/>
            </w:tcBorders>
            <w:shd w:val="clear" w:color="auto" w:fill="auto"/>
            <w:noWrap/>
            <w:vAlign w:val="center"/>
            <w:hideMark/>
          </w:tcPr>
          <w:p w14:paraId="6F2F8B7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464.238,00</w:t>
            </w:r>
          </w:p>
        </w:tc>
        <w:tc>
          <w:tcPr>
            <w:tcW w:w="1180" w:type="dxa"/>
            <w:tcBorders>
              <w:top w:val="nil"/>
              <w:left w:val="nil"/>
              <w:bottom w:val="single" w:sz="4" w:space="0" w:color="auto"/>
              <w:right w:val="single" w:sz="4" w:space="0" w:color="auto"/>
            </w:tcBorders>
            <w:shd w:val="clear" w:color="auto" w:fill="auto"/>
            <w:noWrap/>
            <w:vAlign w:val="center"/>
            <w:hideMark/>
          </w:tcPr>
          <w:p w14:paraId="0E0687E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464.238,00</w:t>
            </w:r>
          </w:p>
        </w:tc>
        <w:tc>
          <w:tcPr>
            <w:tcW w:w="1340" w:type="dxa"/>
            <w:tcBorders>
              <w:top w:val="nil"/>
              <w:left w:val="nil"/>
              <w:bottom w:val="single" w:sz="4" w:space="0" w:color="auto"/>
              <w:right w:val="single" w:sz="4" w:space="0" w:color="auto"/>
            </w:tcBorders>
            <w:shd w:val="clear" w:color="auto" w:fill="auto"/>
            <w:noWrap/>
            <w:vAlign w:val="center"/>
            <w:hideMark/>
          </w:tcPr>
          <w:p w14:paraId="2B98BF4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DEFB5A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464.238,00</w:t>
            </w:r>
          </w:p>
        </w:tc>
      </w:tr>
      <w:tr w:rsidR="00F56356" w:rsidRPr="00F56356" w14:paraId="6844A7BE" w14:textId="77777777" w:rsidTr="00F56356">
        <w:trPr>
          <w:trHeight w:val="330"/>
        </w:trPr>
        <w:tc>
          <w:tcPr>
            <w:tcW w:w="340" w:type="dxa"/>
            <w:tcBorders>
              <w:top w:val="nil"/>
              <w:left w:val="nil"/>
              <w:bottom w:val="nil"/>
              <w:right w:val="nil"/>
            </w:tcBorders>
            <w:shd w:val="clear" w:color="auto" w:fill="auto"/>
            <w:noWrap/>
            <w:vAlign w:val="bottom"/>
            <w:hideMark/>
          </w:tcPr>
          <w:p w14:paraId="1D127D3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695ADF3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E32A70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83DE9FE" w14:textId="77777777" w:rsidR="00F56356" w:rsidRPr="00F56356" w:rsidRDefault="00F56356" w:rsidP="00F56356">
            <w:pPr>
              <w:spacing w:after="0" w:line="240" w:lineRule="auto"/>
              <w:jc w:val="both"/>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5A468F30" w14:textId="77777777" w:rsidR="00F56356" w:rsidRPr="00F56356" w:rsidRDefault="00F56356" w:rsidP="00F56356">
            <w:pPr>
              <w:spacing w:after="0" w:line="240" w:lineRule="auto"/>
              <w:jc w:val="both"/>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FEFFD13" w14:textId="77777777" w:rsidR="00F56356" w:rsidRPr="00F56356" w:rsidRDefault="00F56356" w:rsidP="00F56356">
            <w:pPr>
              <w:spacing w:after="0" w:line="240" w:lineRule="auto"/>
              <w:jc w:val="both"/>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4CCBD89" w14:textId="77777777" w:rsidR="00F56356" w:rsidRPr="00F56356" w:rsidRDefault="00F56356" w:rsidP="00F56356">
            <w:pPr>
              <w:spacing w:after="0" w:line="240" w:lineRule="auto"/>
              <w:jc w:val="both"/>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D8FFF5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6738AB6" w14:textId="77777777" w:rsidTr="00F56356">
        <w:trPr>
          <w:trHeight w:val="230"/>
        </w:trPr>
        <w:tc>
          <w:tcPr>
            <w:tcW w:w="340" w:type="dxa"/>
            <w:tcBorders>
              <w:top w:val="nil"/>
              <w:left w:val="nil"/>
              <w:bottom w:val="nil"/>
              <w:right w:val="nil"/>
            </w:tcBorders>
            <w:shd w:val="clear" w:color="auto" w:fill="auto"/>
            <w:noWrap/>
            <w:vAlign w:val="bottom"/>
            <w:hideMark/>
          </w:tcPr>
          <w:p w14:paraId="2CE401C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224523B"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38D7DDBD" w14:textId="77777777" w:rsidTr="00F56356">
        <w:trPr>
          <w:trHeight w:val="345"/>
        </w:trPr>
        <w:tc>
          <w:tcPr>
            <w:tcW w:w="340" w:type="dxa"/>
            <w:tcBorders>
              <w:top w:val="nil"/>
              <w:left w:val="nil"/>
              <w:bottom w:val="nil"/>
              <w:right w:val="nil"/>
            </w:tcBorders>
            <w:shd w:val="clear" w:color="auto" w:fill="auto"/>
            <w:noWrap/>
            <w:vAlign w:val="bottom"/>
            <w:hideMark/>
          </w:tcPr>
          <w:p w14:paraId="199D237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C663A5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7F5391E5" w14:textId="77777777" w:rsidTr="00F56356">
        <w:trPr>
          <w:trHeight w:val="224"/>
        </w:trPr>
        <w:tc>
          <w:tcPr>
            <w:tcW w:w="340" w:type="dxa"/>
            <w:tcBorders>
              <w:top w:val="nil"/>
              <w:left w:val="nil"/>
              <w:bottom w:val="nil"/>
              <w:right w:val="nil"/>
            </w:tcBorders>
            <w:shd w:val="clear" w:color="auto" w:fill="auto"/>
            <w:noWrap/>
            <w:vAlign w:val="bottom"/>
            <w:hideMark/>
          </w:tcPr>
          <w:p w14:paraId="4C626AD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6AA538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055CE98E" w14:textId="77777777" w:rsidTr="00F56356">
        <w:trPr>
          <w:trHeight w:val="274"/>
        </w:trPr>
        <w:tc>
          <w:tcPr>
            <w:tcW w:w="340" w:type="dxa"/>
            <w:tcBorders>
              <w:top w:val="nil"/>
              <w:left w:val="nil"/>
              <w:bottom w:val="nil"/>
              <w:right w:val="nil"/>
            </w:tcBorders>
            <w:shd w:val="clear" w:color="auto" w:fill="auto"/>
            <w:noWrap/>
            <w:vAlign w:val="bottom"/>
            <w:hideMark/>
          </w:tcPr>
          <w:p w14:paraId="44110A6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825B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C054BBA" w14:textId="77777777" w:rsidTr="00F56356">
        <w:trPr>
          <w:trHeight w:val="420"/>
        </w:trPr>
        <w:tc>
          <w:tcPr>
            <w:tcW w:w="340" w:type="dxa"/>
            <w:tcBorders>
              <w:top w:val="nil"/>
              <w:left w:val="nil"/>
              <w:bottom w:val="nil"/>
              <w:right w:val="nil"/>
            </w:tcBorders>
            <w:shd w:val="clear" w:color="auto" w:fill="auto"/>
            <w:noWrap/>
            <w:vAlign w:val="center"/>
            <w:hideMark/>
          </w:tcPr>
          <w:p w14:paraId="5878A5E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818D6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01A4CE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Indicatore di realizzazione finanziaria</w:t>
            </w:r>
          </w:p>
        </w:tc>
      </w:tr>
      <w:tr w:rsidR="00F56356" w:rsidRPr="00F56356" w14:paraId="3A4A387B" w14:textId="77777777" w:rsidTr="00F56356">
        <w:trPr>
          <w:trHeight w:val="336"/>
        </w:trPr>
        <w:tc>
          <w:tcPr>
            <w:tcW w:w="340" w:type="dxa"/>
            <w:tcBorders>
              <w:top w:val="nil"/>
              <w:left w:val="nil"/>
              <w:bottom w:val="nil"/>
              <w:right w:val="nil"/>
            </w:tcBorders>
            <w:shd w:val="clear" w:color="auto" w:fill="auto"/>
            <w:noWrap/>
            <w:vAlign w:val="center"/>
            <w:hideMark/>
          </w:tcPr>
          <w:p w14:paraId="72370A8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9C46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A4D15C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w:t>
            </w:r>
          </w:p>
        </w:tc>
      </w:tr>
      <w:tr w:rsidR="00F56356" w:rsidRPr="00F56356" w14:paraId="3E61FEDE" w14:textId="77777777" w:rsidTr="00F56356">
        <w:trPr>
          <w:trHeight w:val="1635"/>
        </w:trPr>
        <w:tc>
          <w:tcPr>
            <w:tcW w:w="340" w:type="dxa"/>
            <w:tcBorders>
              <w:top w:val="nil"/>
              <w:left w:val="nil"/>
              <w:bottom w:val="nil"/>
              <w:right w:val="nil"/>
            </w:tcBorders>
            <w:shd w:val="clear" w:color="auto" w:fill="auto"/>
            <w:noWrap/>
            <w:vAlign w:val="center"/>
            <w:hideMark/>
          </w:tcPr>
          <w:p w14:paraId="4C65ACC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3A3712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60385A2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La Delega.ne opera attraverso la figura del </w:t>
            </w:r>
            <w:proofErr w:type="spellStart"/>
            <w:r w:rsidRPr="00F56356">
              <w:rPr>
                <w:rFonts w:ascii="Times New Roman" w:eastAsia="Times New Roman" w:hAnsi="Times New Roman" w:cs="Times New Roman"/>
                <w:color w:val="000000"/>
                <w:sz w:val="20"/>
                <w:szCs w:val="20"/>
                <w:lang w:eastAsia="it-IT"/>
              </w:rPr>
              <w:t>funz</w:t>
            </w:r>
            <w:proofErr w:type="spellEnd"/>
            <w:r w:rsidRPr="00F56356">
              <w:rPr>
                <w:rFonts w:ascii="Times New Roman" w:eastAsia="Times New Roman" w:hAnsi="Times New Roman" w:cs="Times New Roman"/>
                <w:color w:val="000000"/>
                <w:sz w:val="20"/>
                <w:szCs w:val="20"/>
                <w:lang w:eastAsia="it-IT"/>
              </w:rPr>
              <w:t xml:space="preserve">. del. in regime di </w:t>
            </w:r>
            <w:proofErr w:type="spellStart"/>
            <w:r w:rsidRPr="00F56356">
              <w:rPr>
                <w:rFonts w:ascii="Times New Roman" w:eastAsia="Times New Roman" w:hAnsi="Times New Roman" w:cs="Times New Roman"/>
                <w:color w:val="000000"/>
                <w:sz w:val="20"/>
                <w:szCs w:val="20"/>
                <w:lang w:eastAsia="it-IT"/>
              </w:rPr>
              <w:t>cont</w:t>
            </w:r>
            <w:proofErr w:type="spellEnd"/>
            <w:r w:rsidRPr="00F56356">
              <w:rPr>
                <w:rFonts w:ascii="Times New Roman" w:eastAsia="Times New Roman" w:hAnsi="Times New Roman" w:cs="Times New Roman"/>
                <w:color w:val="000000"/>
                <w:sz w:val="20"/>
                <w:szCs w:val="20"/>
                <w:lang w:eastAsia="it-IT"/>
              </w:rPr>
              <w:t xml:space="preserve">. </w:t>
            </w:r>
            <w:proofErr w:type="spellStart"/>
            <w:r w:rsidRPr="00F56356">
              <w:rPr>
                <w:rFonts w:ascii="Times New Roman" w:eastAsia="Times New Roman" w:hAnsi="Times New Roman" w:cs="Times New Roman"/>
                <w:color w:val="000000"/>
                <w:sz w:val="20"/>
                <w:szCs w:val="20"/>
                <w:lang w:eastAsia="it-IT"/>
              </w:rPr>
              <w:t>ord</w:t>
            </w:r>
            <w:proofErr w:type="spellEnd"/>
            <w:r w:rsidRPr="00F56356">
              <w:rPr>
                <w:rFonts w:ascii="Times New Roman" w:eastAsia="Times New Roman" w:hAnsi="Times New Roman" w:cs="Times New Roman"/>
                <w:color w:val="000000"/>
                <w:sz w:val="20"/>
                <w:szCs w:val="20"/>
                <w:lang w:eastAsia="it-IT"/>
              </w:rPr>
              <w:t>. L’indice di realizzazione è costruito come rapporto tra somme pagate e importo delle fatture ricevute</w:t>
            </w:r>
          </w:p>
        </w:tc>
        <w:tc>
          <w:tcPr>
            <w:tcW w:w="1180" w:type="dxa"/>
            <w:tcBorders>
              <w:top w:val="nil"/>
              <w:left w:val="nil"/>
              <w:bottom w:val="single" w:sz="4" w:space="0" w:color="auto"/>
              <w:right w:val="nil"/>
            </w:tcBorders>
            <w:shd w:val="clear" w:color="auto" w:fill="auto"/>
            <w:vAlign w:val="center"/>
            <w:hideMark/>
          </w:tcPr>
          <w:p w14:paraId="6CE76F8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5AF1E7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A313F9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0F8CC09B" w14:textId="77777777" w:rsidTr="00F56356">
        <w:trPr>
          <w:trHeight w:val="615"/>
        </w:trPr>
        <w:tc>
          <w:tcPr>
            <w:tcW w:w="340" w:type="dxa"/>
            <w:tcBorders>
              <w:top w:val="nil"/>
              <w:left w:val="nil"/>
              <w:bottom w:val="nil"/>
              <w:right w:val="nil"/>
            </w:tcBorders>
            <w:shd w:val="clear" w:color="auto" w:fill="auto"/>
            <w:noWrap/>
            <w:vAlign w:val="bottom"/>
            <w:hideMark/>
          </w:tcPr>
          <w:p w14:paraId="507B512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5E5427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33043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B3605B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5286968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04A5AD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r>
    </w:tbl>
    <w:p w14:paraId="25C5B880"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D43D733"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3CDC6314" w14:textId="77777777" w:rsidR="00B162D3" w:rsidRDefault="00B162D3" w:rsidP="00F56356">
      <w:pPr>
        <w:autoSpaceDE w:val="0"/>
        <w:autoSpaceDN w:val="0"/>
        <w:adjustRightInd w:val="0"/>
        <w:spacing w:after="0" w:line="360" w:lineRule="auto"/>
        <w:ind w:left="284"/>
        <w:jc w:val="both"/>
        <w:rPr>
          <w:rFonts w:ascii="Times New Roman" w:eastAsia="Times New Roman" w:hAnsi="Times New Roman" w:cs="Times New Roman"/>
          <w:b/>
          <w:sz w:val="24"/>
          <w:szCs w:val="24"/>
          <w:u w:val="single"/>
          <w:lang w:eastAsia="it-IT"/>
        </w:rPr>
      </w:pPr>
    </w:p>
    <w:p w14:paraId="1EA38B0F" w14:textId="3815F172"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sz w:val="24"/>
          <w:szCs w:val="24"/>
          <w:u w:val="single"/>
          <w:lang w:eastAsia="it-IT"/>
        </w:rPr>
      </w:pPr>
      <w:r w:rsidRPr="00F56356">
        <w:rPr>
          <w:rFonts w:ascii="Times New Roman" w:eastAsia="Times New Roman" w:hAnsi="Times New Roman" w:cs="Times New Roman"/>
          <w:b/>
          <w:sz w:val="24"/>
          <w:szCs w:val="24"/>
          <w:u w:val="single"/>
          <w:lang w:eastAsia="it-IT"/>
        </w:rPr>
        <w:lastRenderedPageBreak/>
        <w:t>Ufficio del cerimoniale di Stato e per le onorificenze</w:t>
      </w:r>
    </w:p>
    <w:p w14:paraId="031A7587"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sz w:val="14"/>
          <w:szCs w:val="24"/>
          <w:lang w:eastAsia="it-IT"/>
        </w:rPr>
      </w:pPr>
    </w:p>
    <w:p w14:paraId="291B5C90"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bCs/>
          <w:sz w:val="24"/>
          <w:szCs w:val="24"/>
          <w:lang w:eastAsia="it-IT"/>
        </w:rPr>
        <w:t>1.</w:t>
      </w:r>
      <w:r w:rsidRPr="00F56356">
        <w:rPr>
          <w:rFonts w:ascii="Times New Roman" w:eastAsia="Times New Roman" w:hAnsi="Times New Roman" w:cs="Times New Roman"/>
          <w:i/>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19BAD3B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sz w:val="24"/>
          <w:szCs w:val="24"/>
          <w:lang w:eastAsia="it-IT"/>
        </w:rPr>
      </w:pPr>
      <w:r w:rsidRPr="00F56356">
        <w:rPr>
          <w:rFonts w:ascii="Times New Roman" w:eastAsiaTheme="minorEastAsia" w:hAnsi="Times New Roman" w:cs="Times New Roman"/>
          <w:sz w:val="24"/>
          <w:szCs w:val="24"/>
          <w:lang w:eastAsia="it-IT"/>
        </w:rPr>
        <w:t>L’Ufficio del cerimoniale di Stato e per le onorificenze cura il cerimoniale di Stato nazionale e assiste il Presidente nell’attività di rappresentanza ufficiale, provvedendo anche all’organizzazione delle sue visite in Italia e all’estero, comunicando le opportune disposizioni alle prefetture per il coordinamento delle attività di cerimoniale. Coordina, altresì, l’attività protocollare degli Organi costituzionali per gli affari di comune interesse, indirizza istruzioni protocollari agli organi del Governo e aggiorna norme e prassi protocollari, anche ai fini di consulenza ad altri soggetti pubblici. Cura le rappresentanze e le adesioni governative; provvede al coordinamento interministeriale e alla cura degli aspetti organizzativi degli incontri bilaterali, in Italia, del Presidente del Consiglio dei ministri con Capi di Stato e di Governo che si svolgono anche fuori sede, comprese le relative prestazioni di interpretariato, d’intesa con il Ministero degli affari esteri e  della cooperazione internazionale; coordina il cerimoniale nazionale delle visite pastorali del Pontefice e assiste i Presidenti emeriti della Repubblica nell’attività di rappresentanza ufficiale. Provvede all’assistenza protocollare ai Vice Presidenti e al Sottosegretario di Stato alla Presidenza del Consiglio dei ministri. Provvede alle autorizzazioni e istruzioni relative all’esposizione delle bandiere e all’uso dei simboli dello Stato e alla predisposizione dei messaggi ufficiali del Presidente, dei Vice Presidenti del Consiglio e del Sottosegretario di Stato alla Presidenza del Consiglio. Emana direttive in materia protocollare in occasione delle festività nazionali e dei lutti pubblici, cura le esequie di Stato e gli adempimenti di carattere protocollare in occasione dell’utilizzo degli alloggi presidenziali e delle sedi di rappresentanza. L’Ufficio ha, altresì, il compito di assistere il Segretario generale nello svolgimento delle funzioni istituzionali di supporto al Presidente in attuazione della legge 3 marzo 1951, n. 178, istitutiva dell’Ordine “Al merito della Repubblica Italiana” e, ai sensi del decreto del Presidente del Consiglio dei ministri 28 gennaio 2011, cura gli adempimenti connessi all’autorizzazione a fregiarsi in Italia delle onorificenze cavalleresche pontificie e alla concessione di emblemi araldici. Inoltre, provvede alla conduzione dell’alloggio del Presidente del Consiglio dei ministri e dell’anticamera del Presidente e supporta le visite guidate nelle sedi della Presidenza.</w:t>
      </w:r>
    </w:p>
    <w:p w14:paraId="2F58BDF7" w14:textId="5F5EA455" w:rsid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sz w:val="24"/>
          <w:szCs w:val="24"/>
          <w:lang w:eastAsia="it-IT"/>
        </w:rPr>
      </w:pPr>
    </w:p>
    <w:p w14:paraId="4CD33BF3" w14:textId="77777777" w:rsidR="009B34AC" w:rsidRPr="00F56356" w:rsidRDefault="009B34AC" w:rsidP="00F56356">
      <w:pPr>
        <w:autoSpaceDE w:val="0"/>
        <w:autoSpaceDN w:val="0"/>
        <w:adjustRightInd w:val="0"/>
        <w:spacing w:after="0" w:line="360" w:lineRule="auto"/>
        <w:ind w:left="284"/>
        <w:jc w:val="both"/>
        <w:rPr>
          <w:rFonts w:ascii="Times New Roman" w:eastAsiaTheme="minorEastAsia" w:hAnsi="Times New Roman" w:cs="Times New Roman"/>
          <w:i/>
          <w:sz w:val="24"/>
          <w:szCs w:val="24"/>
          <w:lang w:eastAsia="it-IT"/>
        </w:rPr>
      </w:pPr>
    </w:p>
    <w:p w14:paraId="7A7C8631"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1635015C"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risorse complessivamente assegnate sono state pari a euro 1.006.576,73, riferite interamente ad assegnazioni di competenza.</w:t>
      </w:r>
    </w:p>
    <w:p w14:paraId="0A81EE22"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Gli impegni assunti ammontano a euro 514.542,53, con un’economia di bilancio di euro 492.034,20. Il totale dei pagamenti riferiti alla competenza è di euro 502.583,88, con un indice di capacità di pagamento (rapporto pagato/impegnato) che si attesta al 97,68 per cento.</w:t>
      </w:r>
    </w:p>
    <w:p w14:paraId="35993B4F"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p>
    <w:p w14:paraId="52851EF0" w14:textId="1BE4DFD5" w:rsid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 residui passivi al 1° gennaio 2022 erano pari a euro 13.202,78. Su questi sono stati effettuati pagamenti per euro 12.922,48.</w:t>
      </w:r>
    </w:p>
    <w:p w14:paraId="366BB5C9" w14:textId="77777777" w:rsidR="009B34AC" w:rsidRPr="00F56356" w:rsidRDefault="009B34A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18B61233" w14:textId="5D29BDD4" w:rsidR="009B34AC"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4FC627AC"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E31A"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6CFFAF9C"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ECD968"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3C5D688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667F3BA2"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3A1FB215"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2F3A7FF2"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2800E7AA"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45C41F20"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0FEAFB9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44C1EDED"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5ED1676D"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2279A1A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A999175"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24B345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118</w:t>
            </w:r>
          </w:p>
        </w:tc>
        <w:tc>
          <w:tcPr>
            <w:tcW w:w="1574" w:type="dxa"/>
            <w:tcBorders>
              <w:top w:val="nil"/>
              <w:left w:val="nil"/>
              <w:bottom w:val="single" w:sz="4" w:space="0" w:color="auto"/>
              <w:right w:val="single" w:sz="4" w:space="0" w:color="auto"/>
            </w:tcBorders>
            <w:shd w:val="clear" w:color="auto" w:fill="auto"/>
            <w:noWrap/>
            <w:vAlign w:val="center"/>
            <w:hideMark/>
          </w:tcPr>
          <w:p w14:paraId="4A22D34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250,60</w:t>
            </w:r>
          </w:p>
        </w:tc>
        <w:tc>
          <w:tcPr>
            <w:tcW w:w="1440" w:type="dxa"/>
            <w:tcBorders>
              <w:top w:val="nil"/>
              <w:left w:val="nil"/>
              <w:bottom w:val="single" w:sz="4" w:space="0" w:color="auto"/>
              <w:right w:val="single" w:sz="4" w:space="0" w:color="auto"/>
            </w:tcBorders>
            <w:shd w:val="clear" w:color="auto" w:fill="auto"/>
            <w:noWrap/>
            <w:vAlign w:val="center"/>
            <w:hideMark/>
          </w:tcPr>
          <w:p w14:paraId="350F378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250,60</w:t>
            </w:r>
          </w:p>
        </w:tc>
        <w:tc>
          <w:tcPr>
            <w:tcW w:w="996" w:type="dxa"/>
            <w:tcBorders>
              <w:top w:val="nil"/>
              <w:left w:val="nil"/>
              <w:bottom w:val="single" w:sz="4" w:space="0" w:color="auto"/>
              <w:right w:val="single" w:sz="4" w:space="0" w:color="auto"/>
            </w:tcBorders>
            <w:shd w:val="clear" w:color="auto" w:fill="auto"/>
            <w:noWrap/>
            <w:vAlign w:val="center"/>
            <w:hideMark/>
          </w:tcPr>
          <w:p w14:paraId="23D345B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219" w:type="dxa"/>
            <w:tcBorders>
              <w:top w:val="nil"/>
              <w:left w:val="nil"/>
              <w:bottom w:val="single" w:sz="4" w:space="0" w:color="auto"/>
              <w:right w:val="single" w:sz="4" w:space="0" w:color="auto"/>
            </w:tcBorders>
            <w:shd w:val="clear" w:color="auto" w:fill="auto"/>
            <w:noWrap/>
            <w:vAlign w:val="center"/>
            <w:hideMark/>
          </w:tcPr>
          <w:p w14:paraId="7B262C0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2" w:type="dxa"/>
            <w:tcBorders>
              <w:top w:val="nil"/>
              <w:left w:val="nil"/>
              <w:bottom w:val="single" w:sz="4" w:space="0" w:color="auto"/>
              <w:right w:val="single" w:sz="4" w:space="0" w:color="auto"/>
            </w:tcBorders>
            <w:shd w:val="clear" w:color="auto" w:fill="auto"/>
            <w:noWrap/>
            <w:vAlign w:val="center"/>
            <w:hideMark/>
          </w:tcPr>
          <w:p w14:paraId="0273413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r>
      <w:tr w:rsidR="00F56356" w:rsidRPr="00F56356" w14:paraId="70143934"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106DEB0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w:t>
            </w:r>
          </w:p>
        </w:tc>
        <w:tc>
          <w:tcPr>
            <w:tcW w:w="1574" w:type="dxa"/>
            <w:tcBorders>
              <w:top w:val="nil"/>
              <w:left w:val="nil"/>
              <w:bottom w:val="single" w:sz="4" w:space="0" w:color="auto"/>
              <w:right w:val="single" w:sz="4" w:space="0" w:color="auto"/>
            </w:tcBorders>
            <w:shd w:val="clear" w:color="auto" w:fill="auto"/>
            <w:noWrap/>
            <w:vAlign w:val="center"/>
            <w:hideMark/>
          </w:tcPr>
          <w:p w14:paraId="63DD6A5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482,63</w:t>
            </w:r>
          </w:p>
        </w:tc>
        <w:tc>
          <w:tcPr>
            <w:tcW w:w="1440" w:type="dxa"/>
            <w:tcBorders>
              <w:top w:val="nil"/>
              <w:left w:val="nil"/>
              <w:bottom w:val="single" w:sz="4" w:space="0" w:color="auto"/>
              <w:right w:val="single" w:sz="4" w:space="0" w:color="auto"/>
            </w:tcBorders>
            <w:shd w:val="clear" w:color="auto" w:fill="auto"/>
            <w:noWrap/>
            <w:vAlign w:val="center"/>
            <w:hideMark/>
          </w:tcPr>
          <w:p w14:paraId="40466C4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29,70</w:t>
            </w:r>
          </w:p>
        </w:tc>
        <w:tc>
          <w:tcPr>
            <w:tcW w:w="996" w:type="dxa"/>
            <w:tcBorders>
              <w:top w:val="nil"/>
              <w:left w:val="nil"/>
              <w:bottom w:val="single" w:sz="4" w:space="0" w:color="auto"/>
              <w:right w:val="single" w:sz="4" w:space="0" w:color="auto"/>
            </w:tcBorders>
            <w:shd w:val="clear" w:color="auto" w:fill="auto"/>
            <w:noWrap/>
            <w:vAlign w:val="center"/>
            <w:hideMark/>
          </w:tcPr>
          <w:p w14:paraId="68B5526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219" w:type="dxa"/>
            <w:tcBorders>
              <w:top w:val="nil"/>
              <w:left w:val="nil"/>
              <w:bottom w:val="single" w:sz="4" w:space="0" w:color="auto"/>
              <w:right w:val="single" w:sz="4" w:space="0" w:color="auto"/>
            </w:tcBorders>
            <w:shd w:val="clear" w:color="auto" w:fill="auto"/>
            <w:noWrap/>
            <w:vAlign w:val="center"/>
            <w:hideMark/>
          </w:tcPr>
          <w:p w14:paraId="0F2765D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93,85</w:t>
            </w:r>
          </w:p>
        </w:tc>
        <w:tc>
          <w:tcPr>
            <w:tcW w:w="1152" w:type="dxa"/>
            <w:tcBorders>
              <w:top w:val="nil"/>
              <w:left w:val="nil"/>
              <w:bottom w:val="single" w:sz="4" w:space="0" w:color="auto"/>
              <w:right w:val="single" w:sz="4" w:space="0" w:color="auto"/>
            </w:tcBorders>
            <w:shd w:val="clear" w:color="auto" w:fill="auto"/>
            <w:noWrap/>
            <w:vAlign w:val="center"/>
            <w:hideMark/>
          </w:tcPr>
          <w:p w14:paraId="757A4E2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8,85</w:t>
            </w:r>
          </w:p>
        </w:tc>
      </w:tr>
      <w:tr w:rsidR="00F56356" w:rsidRPr="00F56356" w14:paraId="6535C345"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52E36B6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121</w:t>
            </w:r>
          </w:p>
        </w:tc>
        <w:tc>
          <w:tcPr>
            <w:tcW w:w="1574" w:type="dxa"/>
            <w:tcBorders>
              <w:top w:val="nil"/>
              <w:left w:val="nil"/>
              <w:bottom w:val="single" w:sz="4" w:space="0" w:color="auto"/>
              <w:right w:val="single" w:sz="4" w:space="0" w:color="auto"/>
            </w:tcBorders>
            <w:shd w:val="clear" w:color="auto" w:fill="auto"/>
            <w:noWrap/>
            <w:vAlign w:val="center"/>
            <w:hideMark/>
          </w:tcPr>
          <w:p w14:paraId="799C8E2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10.216,58</w:t>
            </w:r>
          </w:p>
        </w:tc>
        <w:tc>
          <w:tcPr>
            <w:tcW w:w="1440" w:type="dxa"/>
            <w:tcBorders>
              <w:top w:val="nil"/>
              <w:left w:val="nil"/>
              <w:bottom w:val="single" w:sz="4" w:space="0" w:color="auto"/>
              <w:right w:val="single" w:sz="4" w:space="0" w:color="auto"/>
            </w:tcBorders>
            <w:shd w:val="clear" w:color="auto" w:fill="auto"/>
            <w:noWrap/>
            <w:vAlign w:val="center"/>
            <w:hideMark/>
          </w:tcPr>
          <w:p w14:paraId="06068DC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4796E2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219" w:type="dxa"/>
            <w:tcBorders>
              <w:top w:val="nil"/>
              <w:left w:val="nil"/>
              <w:bottom w:val="single" w:sz="4" w:space="0" w:color="auto"/>
              <w:right w:val="single" w:sz="4" w:space="0" w:color="auto"/>
            </w:tcBorders>
            <w:shd w:val="clear" w:color="auto" w:fill="auto"/>
            <w:noWrap/>
            <w:vAlign w:val="center"/>
            <w:hideMark/>
          </w:tcPr>
          <w:p w14:paraId="0183686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2948B43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47F4A710"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5A9122F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122</w:t>
            </w:r>
          </w:p>
        </w:tc>
        <w:tc>
          <w:tcPr>
            <w:tcW w:w="1574" w:type="dxa"/>
            <w:tcBorders>
              <w:top w:val="nil"/>
              <w:left w:val="nil"/>
              <w:bottom w:val="single" w:sz="4" w:space="0" w:color="auto"/>
              <w:right w:val="single" w:sz="4" w:space="0" w:color="auto"/>
            </w:tcBorders>
            <w:shd w:val="clear" w:color="auto" w:fill="auto"/>
            <w:noWrap/>
            <w:vAlign w:val="center"/>
            <w:hideMark/>
          </w:tcPr>
          <w:p w14:paraId="0CF8423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2.252,97</w:t>
            </w:r>
          </w:p>
        </w:tc>
        <w:tc>
          <w:tcPr>
            <w:tcW w:w="1440" w:type="dxa"/>
            <w:tcBorders>
              <w:top w:val="nil"/>
              <w:left w:val="nil"/>
              <w:bottom w:val="single" w:sz="4" w:space="0" w:color="auto"/>
              <w:right w:val="single" w:sz="4" w:space="0" w:color="auto"/>
            </w:tcBorders>
            <w:shd w:val="clear" w:color="auto" w:fill="auto"/>
            <w:noWrap/>
            <w:vAlign w:val="center"/>
            <w:hideMark/>
          </w:tcPr>
          <w:p w14:paraId="2B12017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CCE196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219" w:type="dxa"/>
            <w:tcBorders>
              <w:top w:val="nil"/>
              <w:left w:val="nil"/>
              <w:bottom w:val="single" w:sz="4" w:space="0" w:color="auto"/>
              <w:right w:val="single" w:sz="4" w:space="0" w:color="auto"/>
            </w:tcBorders>
            <w:shd w:val="clear" w:color="auto" w:fill="auto"/>
            <w:noWrap/>
            <w:vAlign w:val="center"/>
            <w:hideMark/>
          </w:tcPr>
          <w:p w14:paraId="39B0631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3ED68D3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2C661720"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FB9E51C"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699723E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13.202,78</w:t>
            </w:r>
          </w:p>
        </w:tc>
        <w:tc>
          <w:tcPr>
            <w:tcW w:w="1440" w:type="dxa"/>
            <w:tcBorders>
              <w:top w:val="nil"/>
              <w:left w:val="nil"/>
              <w:bottom w:val="single" w:sz="4" w:space="0" w:color="auto"/>
              <w:right w:val="single" w:sz="4" w:space="0" w:color="auto"/>
            </w:tcBorders>
            <w:shd w:val="clear" w:color="auto" w:fill="auto"/>
            <w:noWrap/>
            <w:vAlign w:val="center"/>
            <w:hideMark/>
          </w:tcPr>
          <w:p w14:paraId="6649791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280,30</w:t>
            </w:r>
          </w:p>
        </w:tc>
        <w:tc>
          <w:tcPr>
            <w:tcW w:w="996" w:type="dxa"/>
            <w:tcBorders>
              <w:top w:val="nil"/>
              <w:left w:val="nil"/>
              <w:bottom w:val="nil"/>
              <w:right w:val="nil"/>
            </w:tcBorders>
            <w:shd w:val="clear" w:color="auto" w:fill="auto"/>
            <w:noWrap/>
            <w:vAlign w:val="center"/>
            <w:hideMark/>
          </w:tcPr>
          <w:p w14:paraId="2BB719DC"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219" w:type="dxa"/>
            <w:tcBorders>
              <w:top w:val="nil"/>
              <w:left w:val="nil"/>
              <w:bottom w:val="nil"/>
              <w:right w:val="nil"/>
            </w:tcBorders>
            <w:shd w:val="clear" w:color="auto" w:fill="auto"/>
            <w:noWrap/>
            <w:vAlign w:val="center"/>
            <w:hideMark/>
          </w:tcPr>
          <w:p w14:paraId="2A67D0BC"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52" w:type="dxa"/>
            <w:tcBorders>
              <w:top w:val="nil"/>
              <w:left w:val="nil"/>
              <w:bottom w:val="nil"/>
              <w:right w:val="nil"/>
            </w:tcBorders>
            <w:shd w:val="clear" w:color="auto" w:fill="auto"/>
            <w:noWrap/>
            <w:vAlign w:val="center"/>
            <w:hideMark/>
          </w:tcPr>
          <w:p w14:paraId="6BBF7E88"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6391F9DE" w14:textId="77777777" w:rsidR="00F56356" w:rsidRPr="00F56356" w:rsidRDefault="00F56356" w:rsidP="00F56356">
      <w:pPr>
        <w:tabs>
          <w:tab w:val="left" w:pos="567"/>
        </w:tabs>
        <w:spacing w:after="0" w:line="360" w:lineRule="auto"/>
        <w:ind w:left="284"/>
        <w:jc w:val="center"/>
        <w:rPr>
          <w:rFonts w:ascii="Times New Roman" w:eastAsia="Times New Roman" w:hAnsi="Times New Roman" w:cs="Times New Roman"/>
          <w:b/>
          <w:color w:val="000000" w:themeColor="text1"/>
          <w:sz w:val="24"/>
          <w:szCs w:val="24"/>
          <w:lang w:eastAsia="it-IT"/>
        </w:rPr>
      </w:pPr>
    </w:p>
    <w:p w14:paraId="722BB248"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11635EE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514.542,53 sono state destinate interamente al funzionamento e si riferiscono all’attività di rappresentanza del Presidente del Consiglio dei ministri (cap. 120); alle spese relative all’organizzazione delle visite in Italia e all’estero del Presidente del Consiglio dei ministri e dei Sottosegretari di Stato e delle delegazioni, alle spese sostenute per incontri di Capi di Stato con il Presidente del Consiglio dei ministri presso le sedi istituzionali (cap. 121), in particolare: 16 visite del Presidente del Consiglio e Ministri/Sottosegretari senza portafoglio della PCM in Italia; 49 eventi nazionali del Presidente del Consiglio e Ministri/Sottosegretari senza portafoglio della PCM presso le sedi istituzionali della Presidenza; n. 56 riunioni presso le sedi istituzionali della Presidenza del Presidente del Consiglio, dei Ministri/Sottosegretari senza portafoglio e del Segretario generale della PCM; 27 eventi all’estero del Presidente del Consiglio e Ministri/Sottosegretari senza portafoglio della PCM; inoltre, è stata organizzata la Conferenza stampa di fine anno del Presidente del Consiglio tenutasi presso la Camera dei deputati in data 29 dicembre 2022. In aggiunta, si evidenzia che, nel corso dell’anno 2022, è stato dato il supporto tecnico/amministrativo nell’ambito dei 18 incontri denominati “I Dialoghi sul Piano Nazionale di Ripresa e Resilienza” effettuati in vari comuni dell’Italia, concernente l’attività promossa dalla Presidenza del Consiglio per comunicare sul territorio la realizzazione dei progetti e degli investimenti del Piano Nazionale di Ripresa e Resilienza; alle spese inerenti all’attività di interpretariato, anche nella lingua dei segni, e di traduzioni di testi (104 eventi) (cap. 122); ai  servizi funebri effettuati il giorno 14 gennaio 2022 in occasione delle esequie di Stato, approvate dal </w:t>
      </w:r>
      <w:r w:rsidRPr="00F56356">
        <w:rPr>
          <w:rFonts w:ascii="Times New Roman" w:eastAsia="Times New Roman" w:hAnsi="Times New Roman" w:cs="Times New Roman"/>
          <w:color w:val="000000" w:themeColor="text1"/>
          <w:sz w:val="24"/>
          <w:szCs w:val="24"/>
          <w:lang w:eastAsia="it-IT"/>
        </w:rPr>
        <w:lastRenderedPageBreak/>
        <w:t>Consiglio dei ministri nella riunione del 12 gennaio 2022, del Presidente del Parlamento europeo David Maria Sassoli e il giorno 25 novembre 2022 in occasione delle esequie di Stato, approvate dal Consiglio dei ministri nella riunione del 24 novembre 2022, dell’Onorevole Roberto Maroni (cap. 123).</w:t>
      </w:r>
      <w:r w:rsidRPr="00F56356">
        <w:rPr>
          <w:rFonts w:ascii="Times New Roman" w:eastAsia="Times New Roman" w:hAnsi="Times New Roman" w:cs="Times New Roman"/>
          <w:color w:val="000000" w:themeColor="text1"/>
          <w:sz w:val="24"/>
          <w:szCs w:val="24"/>
          <w:lang w:eastAsia="it-IT"/>
        </w:rPr>
        <w:tab/>
      </w:r>
    </w:p>
    <w:p w14:paraId="2C3DA428"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FF0000"/>
          <w:sz w:val="24"/>
          <w:szCs w:val="24"/>
          <w:lang w:eastAsia="it-IT"/>
        </w:rPr>
        <w:tab/>
        <w:t xml:space="preserve">                                                          </w:t>
      </w:r>
    </w:p>
    <w:p w14:paraId="53CF6840" w14:textId="77777777" w:rsidR="00F56356" w:rsidRPr="00F56356" w:rsidRDefault="00F56356" w:rsidP="00F56356">
      <w:pPr>
        <w:tabs>
          <w:tab w:val="left" w:pos="567"/>
        </w:tabs>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68480" behindDoc="1" locked="0" layoutInCell="1" allowOverlap="1" wp14:anchorId="67B6AD03" wp14:editId="66184399">
            <wp:simplePos x="0" y="0"/>
            <wp:positionH relativeFrom="margin">
              <wp:align>right</wp:align>
            </wp:positionH>
            <wp:positionV relativeFrom="paragraph">
              <wp:posOffset>258445</wp:posOffset>
            </wp:positionV>
            <wp:extent cx="5924550" cy="1734820"/>
            <wp:effectExtent l="0" t="0" r="0" b="0"/>
            <wp:wrapTight wrapText="bothSides">
              <wp:wrapPolygon edited="0">
                <wp:start x="0" y="0"/>
                <wp:lineTo x="0" y="21347"/>
                <wp:lineTo x="11668" y="21347"/>
                <wp:lineTo x="11668" y="18975"/>
                <wp:lineTo x="21531" y="18975"/>
                <wp:lineTo x="21531" y="0"/>
                <wp:lineTo x="0" y="0"/>
              </wp:wrapPolygon>
            </wp:wrapTight>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4550" cy="173482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56DF314C" w14:textId="77777777" w:rsidR="00F56356" w:rsidRPr="00F56356" w:rsidRDefault="00F56356" w:rsidP="00F56356">
      <w:pPr>
        <w:tabs>
          <w:tab w:val="left" w:pos="567"/>
        </w:tabs>
        <w:spacing w:after="0" w:line="360" w:lineRule="auto"/>
        <w:ind w:left="284"/>
        <w:jc w:val="center"/>
        <w:rPr>
          <w:rFonts w:ascii="Times New Roman" w:eastAsia="Times New Roman" w:hAnsi="Times New Roman" w:cs="Times New Roman"/>
          <w:sz w:val="24"/>
          <w:szCs w:val="24"/>
          <w:lang w:eastAsia="it-IT"/>
        </w:rPr>
      </w:pPr>
    </w:p>
    <w:p w14:paraId="16CC564E"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ab/>
      </w:r>
    </w:p>
    <w:p w14:paraId="3817BBF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 soprattutto dal monitoraggio dei flussi di finanza pubblica, finalizzato a consentire un più penetrante controllo anche qualitativo della spesa. In particolare:</w:t>
      </w:r>
    </w:p>
    <w:p w14:paraId="0192AD1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tutti i capitoli, come per l’esercizio finanziario 2021, anche nel 2022 sono stati adottati adeguati piani di razionalizzazione della spesa e le attività di analisi e revisione della spesa hanno delineato una strategia di medio termine della prudenza economica, volta a contenere il complesso della spesa corrente, favorendo al contempo una maggiore qualità della stessa e una allocazione più efficiente delle risorse. In tal senso si è potuto realizzare il principio fondamentale di economicità e di massimo contenimento della spesa. </w:t>
      </w:r>
    </w:p>
    <w:p w14:paraId="7307850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color w:val="000000" w:themeColor="text1"/>
          <w:sz w:val="24"/>
          <w:szCs w:val="24"/>
          <w:lang w:eastAsia="it-IT"/>
        </w:rPr>
      </w:pPr>
    </w:p>
    <w:p w14:paraId="02873B6F"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18FFC0E8"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69844E0"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3A96FF85"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4DD5695B" w14:textId="6DD1C6BC" w:rsid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3C21DA6" w14:textId="68F82CD0"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13DC1AA8" w14:textId="7DF75281"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142516E7" w14:textId="6DEC4F17"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1DA327E2" w14:textId="173DCCC4"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38E52F81" w14:textId="4B5C3976"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C15364A" w14:textId="44D0873B"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0EE0ADD1" w14:textId="5C78D40F"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26C38F0" w14:textId="2CD121D6"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6E0BCFA1" w14:textId="562938DE"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06776D5A" w14:textId="2EAABADC"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66CF675B" w14:textId="3DBCFB4E" w:rsidR="00B162D3"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1601B2BC" w14:textId="77777777" w:rsidR="00B162D3" w:rsidRPr="00F56356" w:rsidRDefault="00B162D3" w:rsidP="00F56356">
      <w:pPr>
        <w:spacing w:after="0" w:line="360" w:lineRule="auto"/>
        <w:ind w:left="284"/>
        <w:jc w:val="both"/>
        <w:rPr>
          <w:rFonts w:ascii="Times New Roman" w:eastAsia="Times New Roman" w:hAnsi="Times New Roman" w:cs="Times New Roman"/>
          <w:b/>
          <w:color w:val="FF0000"/>
          <w:sz w:val="10"/>
          <w:szCs w:val="24"/>
          <w:lang w:eastAsia="it-IT"/>
        </w:rPr>
      </w:pPr>
    </w:p>
    <w:p w14:paraId="0F37B24F"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66C049E7"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79E00E83"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399B180"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5A3B435B"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2E93DB51"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7951836C"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472BADA3"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71B1132A"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31392101"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lang w:eastAsia="it-IT"/>
        </w:rPr>
      </w:pPr>
    </w:p>
    <w:p w14:paraId="443ED7D1"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u w:val="single"/>
          <w:lang w:eastAsia="it-IT"/>
        </w:rPr>
      </w:pPr>
      <w:r w:rsidRPr="00F56356">
        <w:rPr>
          <w:rFonts w:ascii="Times New Roman" w:eastAsia="Times New Roman" w:hAnsi="Times New Roman" w:cs="Times New Roman"/>
          <w:b/>
          <w:sz w:val="24"/>
          <w:szCs w:val="24"/>
          <w:u w:val="single"/>
          <w:lang w:eastAsia="it-IT"/>
        </w:rPr>
        <w:lastRenderedPageBreak/>
        <w:t>Dipartimento per gli affari giuridici e legislativi</w:t>
      </w:r>
    </w:p>
    <w:p w14:paraId="39EA3AB4" w14:textId="185ADE14" w:rsid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14"/>
          <w:szCs w:val="24"/>
          <w:lang w:eastAsia="it-IT"/>
        </w:rPr>
      </w:pPr>
    </w:p>
    <w:p w14:paraId="710667CD" w14:textId="77777777" w:rsidR="00F506D7" w:rsidRPr="00F56356" w:rsidRDefault="00F506D7" w:rsidP="00F56356">
      <w:pPr>
        <w:autoSpaceDE w:val="0"/>
        <w:autoSpaceDN w:val="0"/>
        <w:adjustRightInd w:val="0"/>
        <w:spacing w:after="0" w:line="360" w:lineRule="auto"/>
        <w:ind w:left="284"/>
        <w:jc w:val="both"/>
        <w:rPr>
          <w:rFonts w:ascii="Times New Roman" w:eastAsia="Times New Roman" w:hAnsi="Times New Roman" w:cs="Times New Roman"/>
          <w:sz w:val="14"/>
          <w:szCs w:val="24"/>
          <w:lang w:eastAsia="it-IT"/>
        </w:rPr>
      </w:pPr>
    </w:p>
    <w:p w14:paraId="69DAD3B2"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bCs/>
          <w:sz w:val="24"/>
          <w:szCs w:val="24"/>
          <w:lang w:eastAsia="it-IT"/>
        </w:rPr>
        <w:t>1</w:t>
      </w:r>
      <w:r w:rsidRPr="00F56356">
        <w:rPr>
          <w:rFonts w:ascii="Times New Roman" w:eastAsia="Times New Roman" w:hAnsi="Times New Roman" w:cs="Times New Roman"/>
          <w:b/>
          <w:bCs/>
          <w:i/>
          <w:sz w:val="24"/>
          <w:szCs w:val="24"/>
          <w:lang w:eastAsia="it-IT"/>
        </w:rPr>
        <w:t>.</w:t>
      </w:r>
      <w:r w:rsidRPr="00F56356">
        <w:rPr>
          <w:rFonts w:ascii="Times New Roman" w:eastAsia="Times New Roman" w:hAnsi="Times New Roman" w:cs="Times New Roman"/>
          <w:i/>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0AF8385F"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Il Dipartimento per gli affari giuridici e legislativi è la struttura di supporto al Presidente del Consiglio dei ministri nella funzione di coordinamento dell’attività normativa. Assicura, altresì, la consulenza giuridica di carattere generale e sovrintende, in particolare, all’iniziativa legislativa e all’attività normativa del Governo, coordinandone e promuovendone l’istruttoria e verificandone la conformità alle disposizioni costituzionali, europee e al programma di Governo; cura l’istruttoria delle questioni di costituzionalità nonché il corretto uso delle fonti e la sussistenza dei presupposti per il ricorso alla decretazione d’urgenza. Inoltre, assicura la qualità dei testi normativi anche con riguardo ai processi di semplificazione, riassetto e riordino della normativa vigente; provvede all’istruttoria degli emendamenti governativi e parlamentari, relativi ai provvedimenti legislativi. Cura, in collegamento con gli organi istituzionali competenti, gli adempimenti preliminari necessari per l’espressione dei pareri sugli atti normativi del Governo, da parte degli organi costituzionali, delle Autorità indipendenti e delle Conferenze di cui al decreto legislativo 28 agosto 1997, n. 281. Cura l’elaborazione delle metodologie in tema di Analisi di Impatto della Regolamentazione (AIR), di Analisi tecnico-normativa (ATN) e di Verifica d’Impatto della Regolamentazione (VIR), coordina e sovrintende all’applicazione della disciplina in materia di AIR, ATN e VIR, anche con riferimento all’attuazione delle relative procedure  nelle pubbliche amministrazioni e alla formazione del relativo personale; elabora regole tecniche di redazione dei testi normativi, compie le analisi e formula le proposte di revisione e semplificazione dell’ordinamento normativo esistente. Collabora, inoltre, con il Dipartimento delle politiche europee nella fase ascendente del processo di adozione dei regolamenti e delle direttive europee, nonché nelle procedure d’infrazione avviate dall’Unione europea e assicura, quanto al processo di formazione e di attuazione in sede nazionale della normativa europea, l’esame preliminare della situazione normativa ed economica interna e la valutazione delle conseguenze dell’introduzione delle norme europee sull’assetto interno. In collaborazione con gli organi costituzionali, cura la classificazione e l’informatizzazione della normativa vigente e provvede alla pubblicazione sul sito telematico delle notizie relative a iniziative normative del Governo. Sovrintende e coordina, mantenendo i rapporti con l’Avvocatura dello Stato e con le amministrazioni interessate, le attività concernenti il contenzioso dinanzi alle Corti internazionali e dinanzi alle giurisdizioni nazionali che abbia, quale legittimato attivo o passivo la Presidenza del Consiglio dei ministri, con esclusione degli affari in materia di lavoro e di protezione civile e provvede al recupero delle somme e al pagamento delle spese concernenti il contenzioso di competenza. Infine, assicura, se richiesto, la consulenza giuridico-legale di carattere generale per quanto concerne la fase pre-contenziosa ai Dipartimenti e Uffici della Presidenza.</w:t>
      </w:r>
    </w:p>
    <w:p w14:paraId="6F974CC8"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sz w:val="20"/>
          <w:szCs w:val="24"/>
          <w:lang w:eastAsia="it-IT"/>
        </w:rPr>
      </w:pPr>
    </w:p>
    <w:p w14:paraId="1A697E4F"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5C1F54A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Le risorse complessivamente assegnate sono state pari a euro 81.067.858,41, di cui euro 121.336,41 si riferiscono a riassegnazioni dall’avanzo d’esercizio 2021.</w:t>
      </w:r>
    </w:p>
    <w:p w14:paraId="39001843"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60.652.444,85, con una economia di bilancio di euro 20.415.413,56. Il totale dei pagamenti riferiti alla competenza è stato pari a euro 60.146.703,44, con un indice di capacità di pagamento (rapporto pagato/impegnato) che si attesta al 99,17 per</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cento.</w:t>
      </w:r>
    </w:p>
    <w:p w14:paraId="53AF8AA5"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066C0A6"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385.547,25. Su questi non sono stati effettuati pagamenti.</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Sono state realizzate economie per euro 385.471,68.</w:t>
      </w:r>
    </w:p>
    <w:p w14:paraId="50F95893"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FF0000"/>
          <w:sz w:val="12"/>
          <w:szCs w:val="12"/>
          <w:lang w:eastAsia="it-IT"/>
        </w:rPr>
      </w:pPr>
    </w:p>
    <w:p w14:paraId="08C7E90E"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p w14:paraId="784475E8" w14:textId="77777777" w:rsidR="00F56356" w:rsidRPr="00F56356" w:rsidRDefault="00F56356" w:rsidP="00F56356">
      <w:pPr>
        <w:spacing w:after="0" w:line="360" w:lineRule="auto"/>
        <w:jc w:val="both"/>
        <w:rPr>
          <w:rFonts w:ascii="Times New Roman" w:eastAsia="Times New Roman" w:hAnsi="Times New Roman" w:cs="Times New Roman"/>
          <w:sz w:val="6"/>
          <w:szCs w:val="24"/>
          <w:lang w:eastAsia="it-IT"/>
        </w:rPr>
      </w:pP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51CD0498"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C2B7B"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36C6F321"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361F4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5459A088"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0D7069C9"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2C96F879"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02AE3EAC"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096A032C"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43085BB7"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32B3662E"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2763BF5D"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38B125A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7EFE73D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04A9F43E"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1A6F7D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162</w:t>
            </w:r>
          </w:p>
        </w:tc>
        <w:tc>
          <w:tcPr>
            <w:tcW w:w="1574" w:type="dxa"/>
            <w:tcBorders>
              <w:top w:val="nil"/>
              <w:left w:val="nil"/>
              <w:bottom w:val="single" w:sz="4" w:space="0" w:color="auto"/>
              <w:right w:val="single" w:sz="4" w:space="0" w:color="auto"/>
            </w:tcBorders>
            <w:shd w:val="clear" w:color="auto" w:fill="auto"/>
            <w:noWrap/>
            <w:vAlign w:val="center"/>
            <w:hideMark/>
          </w:tcPr>
          <w:p w14:paraId="2D7FE00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75,57</w:t>
            </w:r>
          </w:p>
        </w:tc>
        <w:tc>
          <w:tcPr>
            <w:tcW w:w="1440" w:type="dxa"/>
            <w:tcBorders>
              <w:top w:val="nil"/>
              <w:left w:val="nil"/>
              <w:bottom w:val="single" w:sz="4" w:space="0" w:color="auto"/>
              <w:right w:val="single" w:sz="4" w:space="0" w:color="auto"/>
            </w:tcBorders>
            <w:shd w:val="clear" w:color="auto" w:fill="auto"/>
            <w:noWrap/>
            <w:vAlign w:val="center"/>
            <w:hideMark/>
          </w:tcPr>
          <w:p w14:paraId="1DC18DE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75,57</w:t>
            </w:r>
          </w:p>
        </w:tc>
        <w:tc>
          <w:tcPr>
            <w:tcW w:w="996" w:type="dxa"/>
            <w:tcBorders>
              <w:top w:val="nil"/>
              <w:left w:val="nil"/>
              <w:bottom w:val="single" w:sz="4" w:space="0" w:color="auto"/>
              <w:right w:val="single" w:sz="4" w:space="0" w:color="auto"/>
            </w:tcBorders>
            <w:shd w:val="clear" w:color="auto" w:fill="auto"/>
            <w:noWrap/>
            <w:vAlign w:val="center"/>
            <w:hideMark/>
          </w:tcPr>
          <w:p w14:paraId="256DEDA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19" w:type="dxa"/>
            <w:tcBorders>
              <w:top w:val="nil"/>
              <w:left w:val="nil"/>
              <w:bottom w:val="single" w:sz="4" w:space="0" w:color="auto"/>
              <w:right w:val="single" w:sz="4" w:space="0" w:color="auto"/>
            </w:tcBorders>
            <w:shd w:val="clear" w:color="auto" w:fill="auto"/>
            <w:noWrap/>
            <w:vAlign w:val="center"/>
            <w:hideMark/>
          </w:tcPr>
          <w:p w14:paraId="0543CB0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2" w:type="dxa"/>
            <w:tcBorders>
              <w:top w:val="nil"/>
              <w:left w:val="nil"/>
              <w:bottom w:val="single" w:sz="4" w:space="0" w:color="auto"/>
              <w:right w:val="single" w:sz="4" w:space="0" w:color="auto"/>
            </w:tcBorders>
            <w:shd w:val="clear" w:color="auto" w:fill="auto"/>
            <w:noWrap/>
            <w:vAlign w:val="center"/>
            <w:hideMark/>
          </w:tcPr>
          <w:p w14:paraId="14CFD84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r>
      <w:tr w:rsidR="00F56356" w:rsidRPr="00F56356" w14:paraId="74AA9A66"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70BA21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64558B8A"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75,57</w:t>
            </w:r>
          </w:p>
        </w:tc>
        <w:tc>
          <w:tcPr>
            <w:tcW w:w="1440" w:type="dxa"/>
            <w:tcBorders>
              <w:top w:val="nil"/>
              <w:left w:val="nil"/>
              <w:bottom w:val="single" w:sz="4" w:space="0" w:color="auto"/>
              <w:right w:val="single" w:sz="4" w:space="0" w:color="auto"/>
            </w:tcBorders>
            <w:shd w:val="clear" w:color="auto" w:fill="auto"/>
            <w:noWrap/>
            <w:vAlign w:val="center"/>
            <w:hideMark/>
          </w:tcPr>
          <w:p w14:paraId="40D728C4"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75,57</w:t>
            </w:r>
          </w:p>
        </w:tc>
        <w:tc>
          <w:tcPr>
            <w:tcW w:w="996" w:type="dxa"/>
            <w:tcBorders>
              <w:top w:val="nil"/>
              <w:left w:val="nil"/>
              <w:bottom w:val="nil"/>
              <w:right w:val="nil"/>
            </w:tcBorders>
            <w:shd w:val="clear" w:color="auto" w:fill="auto"/>
            <w:noWrap/>
            <w:vAlign w:val="center"/>
            <w:hideMark/>
          </w:tcPr>
          <w:p w14:paraId="1943B5CE"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219" w:type="dxa"/>
            <w:tcBorders>
              <w:top w:val="nil"/>
              <w:left w:val="nil"/>
              <w:bottom w:val="nil"/>
              <w:right w:val="nil"/>
            </w:tcBorders>
            <w:shd w:val="clear" w:color="auto" w:fill="auto"/>
            <w:noWrap/>
            <w:vAlign w:val="center"/>
            <w:hideMark/>
          </w:tcPr>
          <w:p w14:paraId="55A2681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52" w:type="dxa"/>
            <w:tcBorders>
              <w:top w:val="nil"/>
              <w:left w:val="nil"/>
              <w:bottom w:val="nil"/>
              <w:right w:val="nil"/>
            </w:tcBorders>
            <w:shd w:val="clear" w:color="auto" w:fill="auto"/>
            <w:noWrap/>
            <w:vAlign w:val="center"/>
            <w:hideMark/>
          </w:tcPr>
          <w:p w14:paraId="527F31E9"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4FF22454"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20DB1B06"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88C4D"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1E707582"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A87FBD"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2B391EDF"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4962271B"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55830555"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506EC15A"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5B58B7B8"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758CF03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3AE8A781"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0A6ECFD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5827312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7294C5A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5268D02"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43FC69F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119</w:t>
            </w:r>
          </w:p>
        </w:tc>
        <w:tc>
          <w:tcPr>
            <w:tcW w:w="1574" w:type="dxa"/>
            <w:tcBorders>
              <w:top w:val="nil"/>
              <w:left w:val="nil"/>
              <w:bottom w:val="single" w:sz="4" w:space="0" w:color="auto"/>
              <w:right w:val="single" w:sz="4" w:space="0" w:color="auto"/>
            </w:tcBorders>
            <w:shd w:val="clear" w:color="auto" w:fill="auto"/>
            <w:noWrap/>
            <w:vAlign w:val="center"/>
            <w:hideMark/>
          </w:tcPr>
          <w:p w14:paraId="457930F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385.471,68</w:t>
            </w:r>
          </w:p>
        </w:tc>
        <w:tc>
          <w:tcPr>
            <w:tcW w:w="1440" w:type="dxa"/>
            <w:tcBorders>
              <w:top w:val="nil"/>
              <w:left w:val="nil"/>
              <w:bottom w:val="single" w:sz="4" w:space="0" w:color="auto"/>
              <w:right w:val="single" w:sz="4" w:space="0" w:color="auto"/>
            </w:tcBorders>
            <w:shd w:val="clear" w:color="auto" w:fill="auto"/>
            <w:noWrap/>
            <w:vAlign w:val="center"/>
            <w:hideMark/>
          </w:tcPr>
          <w:p w14:paraId="5559766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4216B5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219" w:type="dxa"/>
            <w:tcBorders>
              <w:top w:val="nil"/>
              <w:left w:val="nil"/>
              <w:bottom w:val="single" w:sz="4" w:space="0" w:color="auto"/>
              <w:right w:val="single" w:sz="4" w:space="0" w:color="auto"/>
            </w:tcBorders>
            <w:shd w:val="clear" w:color="auto" w:fill="auto"/>
            <w:noWrap/>
            <w:vAlign w:val="center"/>
            <w:hideMark/>
          </w:tcPr>
          <w:p w14:paraId="711F115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4FE812D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1DF61E59"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2FC383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2105F33F"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385.471,68</w:t>
            </w:r>
          </w:p>
        </w:tc>
        <w:tc>
          <w:tcPr>
            <w:tcW w:w="1440" w:type="dxa"/>
            <w:tcBorders>
              <w:top w:val="nil"/>
              <w:left w:val="nil"/>
              <w:bottom w:val="single" w:sz="4" w:space="0" w:color="auto"/>
              <w:right w:val="single" w:sz="4" w:space="0" w:color="auto"/>
            </w:tcBorders>
            <w:shd w:val="clear" w:color="auto" w:fill="auto"/>
            <w:noWrap/>
            <w:vAlign w:val="center"/>
            <w:hideMark/>
          </w:tcPr>
          <w:p w14:paraId="7C517A1F"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96" w:type="dxa"/>
            <w:tcBorders>
              <w:top w:val="nil"/>
              <w:left w:val="nil"/>
              <w:bottom w:val="nil"/>
              <w:right w:val="nil"/>
            </w:tcBorders>
            <w:shd w:val="clear" w:color="auto" w:fill="auto"/>
            <w:noWrap/>
            <w:vAlign w:val="center"/>
            <w:hideMark/>
          </w:tcPr>
          <w:p w14:paraId="5CC6FDF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590A76C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p>
        </w:tc>
        <w:tc>
          <w:tcPr>
            <w:tcW w:w="1152" w:type="dxa"/>
            <w:tcBorders>
              <w:top w:val="nil"/>
              <w:left w:val="nil"/>
              <w:bottom w:val="nil"/>
              <w:right w:val="nil"/>
            </w:tcBorders>
            <w:shd w:val="clear" w:color="auto" w:fill="auto"/>
            <w:noWrap/>
            <w:vAlign w:val="center"/>
            <w:hideMark/>
          </w:tcPr>
          <w:p w14:paraId="017C708A" w14:textId="77777777" w:rsidR="00F56356" w:rsidRPr="00F56356" w:rsidRDefault="00F56356" w:rsidP="00F56356">
            <w:pPr>
              <w:spacing w:after="0" w:line="240" w:lineRule="auto"/>
              <w:jc w:val="center"/>
              <w:rPr>
                <w:rFonts w:ascii="Times New Roman" w:eastAsia="Times New Roman" w:hAnsi="Times New Roman" w:cs="Times New Roman"/>
                <w:sz w:val="20"/>
                <w:szCs w:val="20"/>
                <w:lang w:eastAsia="it-IT"/>
              </w:rPr>
            </w:pPr>
          </w:p>
        </w:tc>
      </w:tr>
    </w:tbl>
    <w:p w14:paraId="05F7095D"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712EE94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pari ad euro 60.652.444,85 sono state destinate per euro 289.971,03 al funzionamento e per euro 60.362.473,82 agli interventi. </w:t>
      </w:r>
    </w:p>
    <w:p w14:paraId="2FB7F244"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b/>
          <w:color w:val="000000" w:themeColor="text1"/>
          <w:sz w:val="12"/>
          <w:szCs w:val="24"/>
          <w:lang w:eastAsia="it-IT"/>
        </w:rPr>
      </w:pPr>
    </w:p>
    <w:p w14:paraId="3ED5F60B"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289.971,03 sono state destinate al pagamento degli onorari all’Avvocatura dello Stato, a spese per missioni svolte a fini difensivi da Avvocati dello Stato nell’interesse della Presidenza del Consiglio dei ministri, alla liquidazione degli onorari spettanti agli Avvocati del libero foro delegati dall’Avvocatura dello Stato, alle spese di notificazioni e comunicazioni, all’erogazione delle indennità ai testimoni, agli onorari e indennità di missione a consulenti tecnici, interpreti e traduttori (cap. 162). </w:t>
      </w:r>
    </w:p>
    <w:p w14:paraId="314CC795" w14:textId="77777777" w:rsidR="00F56356" w:rsidRPr="00F56356" w:rsidRDefault="00F56356" w:rsidP="00F56356">
      <w:pPr>
        <w:tabs>
          <w:tab w:val="left" w:pos="6120"/>
        </w:tab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669504" behindDoc="1" locked="0" layoutInCell="1" allowOverlap="1" wp14:anchorId="4BE639EB" wp14:editId="5A48D771">
            <wp:simplePos x="0" y="0"/>
            <wp:positionH relativeFrom="column">
              <wp:posOffset>184150</wp:posOffset>
            </wp:positionH>
            <wp:positionV relativeFrom="paragraph">
              <wp:posOffset>262255</wp:posOffset>
            </wp:positionV>
            <wp:extent cx="5936615" cy="1144270"/>
            <wp:effectExtent l="0" t="0" r="6985" b="0"/>
            <wp:wrapTight wrapText="bothSides">
              <wp:wrapPolygon edited="0">
                <wp:start x="0" y="0"/>
                <wp:lineTo x="0" y="21216"/>
                <wp:lineTo x="11714" y="21216"/>
                <wp:lineTo x="21556" y="17980"/>
                <wp:lineTo x="21556" y="0"/>
                <wp:lineTo x="0" y="0"/>
              </wp:wrapPolygon>
            </wp:wrapTight>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6615" cy="114427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699172D2" w14:textId="77777777" w:rsidR="00F56356" w:rsidRPr="00F56356" w:rsidRDefault="00F56356" w:rsidP="00F56356">
      <w:pPr>
        <w:spacing w:after="0" w:line="360" w:lineRule="auto"/>
        <w:jc w:val="both"/>
        <w:rPr>
          <w:rFonts w:ascii="Times New Roman" w:eastAsia="Times New Roman" w:hAnsi="Times New Roman" w:cs="Times New Roman"/>
          <w:b/>
          <w:color w:val="000000" w:themeColor="text1"/>
          <w:sz w:val="24"/>
          <w:szCs w:val="24"/>
          <w:lang w:eastAsia="it-IT"/>
        </w:rPr>
      </w:pPr>
    </w:p>
    <w:p w14:paraId="0BEEDE60" w14:textId="77777777" w:rsidR="00F56356" w:rsidRPr="00F56356" w:rsidRDefault="00F56356" w:rsidP="00F56356">
      <w:pPr>
        <w:spacing w:after="0" w:line="360" w:lineRule="auto"/>
        <w:jc w:val="both"/>
        <w:rPr>
          <w:rFonts w:ascii="Times New Roman" w:eastAsia="Times New Roman" w:hAnsi="Times New Roman" w:cs="Times New Roman"/>
          <w:b/>
          <w:color w:val="000000" w:themeColor="text1"/>
          <w:sz w:val="24"/>
          <w:szCs w:val="24"/>
          <w:lang w:eastAsia="it-IT"/>
        </w:rPr>
      </w:pPr>
    </w:p>
    <w:p w14:paraId="65D5B48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pari a euro 60.362.473,82 sono state destinate: </w:t>
      </w:r>
    </w:p>
    <w:p w14:paraId="527CA7D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Fondo per l’informatizzazione e la classificazione della normativa vigente”</w:t>
      </w:r>
      <w:r w:rsidRPr="00F56356">
        <w:rPr>
          <w:rFonts w:ascii="Times New Roman" w:eastAsia="Times New Roman" w:hAnsi="Times New Roman" w:cs="Times New Roman"/>
          <w:color w:val="000000" w:themeColor="text1"/>
          <w:sz w:val="24"/>
          <w:szCs w:val="24"/>
          <w:lang w:eastAsia="it-IT"/>
        </w:rPr>
        <w:t xml:space="preserve"> (cap. 119)</w:t>
      </w:r>
    </w:p>
    <w:p w14:paraId="133EDCE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777.858,40 alla gestione e all’implementazione del portale “</w:t>
      </w:r>
      <w:proofErr w:type="spellStart"/>
      <w:r w:rsidRPr="00F56356">
        <w:rPr>
          <w:rFonts w:ascii="Times New Roman" w:eastAsia="Times New Roman" w:hAnsi="Times New Roman" w:cs="Times New Roman"/>
          <w:color w:val="000000" w:themeColor="text1"/>
          <w:sz w:val="24"/>
          <w:szCs w:val="24"/>
          <w:lang w:eastAsia="it-IT"/>
        </w:rPr>
        <w:t>Normattiva</w:t>
      </w:r>
      <w:proofErr w:type="spellEnd"/>
      <w:r w:rsidRPr="00F56356">
        <w:rPr>
          <w:rFonts w:ascii="Times New Roman" w:eastAsia="Times New Roman" w:hAnsi="Times New Roman" w:cs="Times New Roman"/>
          <w:color w:val="000000" w:themeColor="text1"/>
          <w:sz w:val="24"/>
          <w:szCs w:val="24"/>
          <w:lang w:eastAsia="it-IT"/>
        </w:rPr>
        <w:t>”, che consente ai cittadini l’accesso libero e gratuito, attraverso la rete internet, alla normativa vigente</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L’articolo 107 della legge 23 dicembre 2000, n. 388, infatti, ha istituito presso la Presidenza del Consiglio dei ministri un Fondo destinato al finanziamento di iniziative volte a promuovere l’informatizzazione e la classificazione della normativa vigente al fine di facilitarne la ricerca e la consultazione gratuita da parte dei cittadini, nonché di fornire strumenti per l’attività di riordino normativo. Successivamente l’articolo 1, comma 310, della legge 27 dicembre 2013, n. 147 ha destinato il suddetto Fondo esclusivamente alla gestione e all’implementazione del portale “</w:t>
      </w:r>
      <w:proofErr w:type="spellStart"/>
      <w:r w:rsidRPr="00F56356">
        <w:rPr>
          <w:rFonts w:ascii="Times New Roman" w:eastAsia="Times New Roman" w:hAnsi="Times New Roman" w:cs="Times New Roman"/>
          <w:color w:val="000000" w:themeColor="text1"/>
          <w:sz w:val="24"/>
          <w:szCs w:val="24"/>
          <w:lang w:eastAsia="it-IT"/>
        </w:rPr>
        <w:t>Normattiva</w:t>
      </w:r>
      <w:proofErr w:type="spellEnd"/>
      <w:r w:rsidRPr="00F56356">
        <w:rPr>
          <w:rFonts w:ascii="Times New Roman" w:eastAsia="Times New Roman" w:hAnsi="Times New Roman" w:cs="Times New Roman"/>
          <w:color w:val="000000" w:themeColor="text1"/>
          <w:sz w:val="24"/>
          <w:szCs w:val="24"/>
          <w:lang w:eastAsia="it-IT"/>
        </w:rPr>
        <w:t xml:space="preserve">” e ha previsto che il programma, le forme organizzative e le modalità di funzionamento delle attività relative al portale venissero disciplinate con decreto del Presidente del Consiglio dei ministri, da adottare previa intesa con il Presidente del Senato della Repubblica e con il Presidente della Camera dei deputati e previo parere della Conferenza dei Presidenti delle assemblee legislative delle regioni e delle province autonome e, con convenzione, disciplinati i rapporti tra la Presidenza del Consiglio dei ministri - Dipartimento per gli affari giuridici e legislativi e l’Istituto Poligrafico e Zecca dello Stato, quale soggetto deputato all’alimentazione della banca dati con i testi pubblicati nella Gazzetta Ufficiale. </w:t>
      </w:r>
    </w:p>
    <w:p w14:paraId="6DADA44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 particolare, le risorse sono state utilizzate per la gestione del portale “</w:t>
      </w:r>
      <w:proofErr w:type="spellStart"/>
      <w:r w:rsidRPr="00F56356">
        <w:rPr>
          <w:rFonts w:ascii="Times New Roman" w:eastAsia="Times New Roman" w:hAnsi="Times New Roman" w:cs="Times New Roman"/>
          <w:color w:val="000000" w:themeColor="text1"/>
          <w:sz w:val="24"/>
          <w:szCs w:val="24"/>
          <w:lang w:eastAsia="it-IT"/>
        </w:rPr>
        <w:t>Normattiva</w:t>
      </w:r>
      <w:proofErr w:type="spellEnd"/>
      <w:r w:rsidRPr="00F56356">
        <w:rPr>
          <w:rFonts w:ascii="Times New Roman" w:eastAsia="Times New Roman" w:hAnsi="Times New Roman" w:cs="Times New Roman"/>
          <w:color w:val="000000" w:themeColor="text1"/>
          <w:sz w:val="24"/>
          <w:szCs w:val="24"/>
          <w:lang w:eastAsia="it-IT"/>
        </w:rPr>
        <w:t>”, sulla base della Convenzione stipulata in data 6 agosto 2019 con effetti fino al 7 ottobre 2021, prorogata al 7 giugno 2022 con Atto Aggiuntivo sottoscritto il 7 ottobre 2021 (atto registrato alla Corte dei Conti n. 2967 del 14 dicembre 2021), tra la Presidenza del Consiglio dei ministri – Dipartimento per gli affari giuridici e legislativi e l’Istituto Poligrafico e Zecca dello Stato, avente ad oggetto, in particolare, l’espletamento delle attività di reingegnerizzazione e manutenzione correttiva/evolutiva del portale “</w:t>
      </w:r>
      <w:proofErr w:type="spellStart"/>
      <w:r w:rsidRPr="00F56356">
        <w:rPr>
          <w:rFonts w:ascii="Times New Roman" w:eastAsia="Times New Roman" w:hAnsi="Times New Roman" w:cs="Times New Roman"/>
          <w:color w:val="000000" w:themeColor="text1"/>
          <w:sz w:val="24"/>
          <w:szCs w:val="24"/>
          <w:lang w:eastAsia="it-IT"/>
        </w:rPr>
        <w:t>Normattiva</w:t>
      </w:r>
      <w:proofErr w:type="spellEnd"/>
      <w:r w:rsidRPr="00F56356">
        <w:rPr>
          <w:rFonts w:ascii="Times New Roman" w:eastAsia="Times New Roman" w:hAnsi="Times New Roman" w:cs="Times New Roman"/>
          <w:color w:val="000000" w:themeColor="text1"/>
          <w:sz w:val="24"/>
          <w:szCs w:val="24"/>
          <w:lang w:eastAsia="it-IT"/>
        </w:rPr>
        <w:t>”, nonché la prosecuzione dell’alimentazione corrente della banca dati.</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Nel corso dell’esercizio finanziario 2022, in attuazione di quanto previsto dall’articolo 2, comma 5, della convenzione, si è provveduto al pagamento al Poligrafico delle spettanze dovute in due rate, precisamente per il periodo 8 ottobre 2021 – 7 aprile 2022 e 8 aprile 2022 - 7 giugno 2022;</w:t>
      </w:r>
    </w:p>
    <w:p w14:paraId="3983CBC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b) </w:t>
      </w:r>
      <w:r w:rsidRPr="00F56356">
        <w:rPr>
          <w:rFonts w:ascii="Times New Roman" w:eastAsia="Times New Roman" w:hAnsi="Times New Roman" w:cs="Times New Roman"/>
          <w:i/>
          <w:color w:val="000000" w:themeColor="text1"/>
          <w:sz w:val="24"/>
          <w:szCs w:val="24"/>
          <w:lang w:eastAsia="it-IT"/>
        </w:rPr>
        <w:t>“Spese per liti, arbitraggi, risarcimenti ed accessori”</w:t>
      </w:r>
      <w:r w:rsidRPr="00F56356">
        <w:rPr>
          <w:rFonts w:ascii="Times New Roman" w:eastAsia="Times New Roman" w:hAnsi="Times New Roman" w:cs="Times New Roman"/>
          <w:color w:val="000000" w:themeColor="text1"/>
          <w:sz w:val="24"/>
          <w:szCs w:val="24"/>
          <w:lang w:eastAsia="it-IT"/>
        </w:rPr>
        <w:t xml:space="preserve"> (cap. 173)</w:t>
      </w:r>
    </w:p>
    <w:p w14:paraId="102E3E2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59.584.615,42 al pagamento di somme in esecuzione di pronunce giurisdizionali pronunciate a carico della Presidenza del Consiglio dei ministri, nella qualità di organo rappresentativo dello Stato o del Governo italiano, per mancato, ritardato o incompleto recepimento di direttive comunitarie, in particolare per il rimborso delle borse di studio per i medici specializzandi, per il risarcimento dei danni patrimoniali, in sede di giudizio civile, ai sensi della legge 13 aprile 1988, n. 177 e successive modificazioni, conseguente alla responsabilità dei magistrati per danni cagionati nell’esercizio delle funzioni giurisdizionali. </w:t>
      </w:r>
    </w:p>
    <w:p w14:paraId="59125CD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Nel corso del 2022, delle 191 pronunce di condanna notificate in forma esecutiva, ne sono state eseguite 145, di cui 54 riferite al contenzioso diverso da quello seriale dei medici specializzandi. Sono state eseguite, inoltre, 40 sentenze notificate negli anni 2016, 2017, 2018 e 2019. In totale sono stati emessi 2.279 ordini di pagamento (corrispondenti al numero dei creditori liquidati).</w:t>
      </w:r>
    </w:p>
    <w:p w14:paraId="308090AE"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p>
    <w:p w14:paraId="4F3B1E41"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70528" behindDoc="1" locked="0" layoutInCell="1" allowOverlap="1" wp14:anchorId="377DF98C" wp14:editId="76DB2E1F">
            <wp:simplePos x="0" y="0"/>
            <wp:positionH relativeFrom="margin">
              <wp:align>right</wp:align>
            </wp:positionH>
            <wp:positionV relativeFrom="paragraph">
              <wp:posOffset>266700</wp:posOffset>
            </wp:positionV>
            <wp:extent cx="5924550" cy="1292225"/>
            <wp:effectExtent l="0" t="0" r="0" b="3175"/>
            <wp:wrapTight wrapText="bothSides">
              <wp:wrapPolygon edited="0">
                <wp:start x="0" y="0"/>
                <wp:lineTo x="0" y="21335"/>
                <wp:lineTo x="11668" y="21335"/>
                <wp:lineTo x="16947" y="20379"/>
                <wp:lineTo x="21531" y="18150"/>
                <wp:lineTo x="21531" y="0"/>
                <wp:lineTo x="0" y="0"/>
              </wp:wrapPolygon>
            </wp:wrapTight>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24550" cy="129222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2A04828D"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p>
    <w:tbl>
      <w:tblPr>
        <w:tblW w:w="9638" w:type="dxa"/>
        <w:tblCellMar>
          <w:left w:w="70" w:type="dxa"/>
          <w:right w:w="70" w:type="dxa"/>
        </w:tblCellMar>
        <w:tblLook w:val="04A0" w:firstRow="1" w:lastRow="0" w:firstColumn="1" w:lastColumn="0" w:noHBand="0" w:noVBand="1"/>
      </w:tblPr>
      <w:tblGrid>
        <w:gridCol w:w="9781"/>
      </w:tblGrid>
      <w:tr w:rsidR="00F56356" w:rsidRPr="00F56356" w14:paraId="4C39D184" w14:textId="77777777" w:rsidTr="00F56356">
        <w:trPr>
          <w:trHeight w:val="690"/>
        </w:trPr>
        <w:tc>
          <w:tcPr>
            <w:tcW w:w="9638" w:type="dxa"/>
            <w:tcBorders>
              <w:top w:val="nil"/>
              <w:left w:val="nil"/>
              <w:bottom w:val="nil"/>
              <w:right w:val="nil"/>
            </w:tcBorders>
            <w:shd w:val="clear" w:color="auto" w:fill="auto"/>
            <w:noWrap/>
            <w:vAlign w:val="center"/>
            <w:hideMark/>
          </w:tcPr>
          <w:p w14:paraId="60D0979B" w14:textId="77777777" w:rsidR="00F56356" w:rsidRDefault="00F56356" w:rsidP="00F56356">
            <w:pPr>
              <w:rPr>
                <w:rFonts w:ascii="Times New Roman" w:eastAsia="Times New Roman" w:hAnsi="Times New Roman" w:cs="Times New Roman"/>
                <w:b/>
                <w:bCs/>
                <w:i/>
                <w:iCs/>
                <w:color w:val="000000"/>
                <w:sz w:val="28"/>
                <w:szCs w:val="28"/>
                <w:lang w:eastAsia="it-IT"/>
              </w:rPr>
            </w:pPr>
          </w:p>
          <w:p w14:paraId="03553DB5" w14:textId="77777777" w:rsidR="00B162D3" w:rsidRDefault="00B162D3" w:rsidP="00F56356">
            <w:pPr>
              <w:rPr>
                <w:rFonts w:ascii="Times New Roman" w:eastAsia="Times New Roman" w:hAnsi="Times New Roman" w:cs="Times New Roman"/>
                <w:b/>
                <w:bCs/>
                <w:i/>
                <w:iCs/>
                <w:color w:val="000000"/>
                <w:sz w:val="28"/>
                <w:szCs w:val="28"/>
                <w:lang w:eastAsia="it-IT"/>
              </w:rPr>
            </w:pPr>
          </w:p>
          <w:p w14:paraId="0A111406" w14:textId="3D55100B" w:rsidR="00B162D3" w:rsidRPr="00F56356" w:rsidRDefault="00B162D3" w:rsidP="00F56356">
            <w:pPr>
              <w:rPr>
                <w:rFonts w:ascii="Times New Roman" w:eastAsia="Times New Roman" w:hAnsi="Times New Roman" w:cs="Times New Roman"/>
                <w:b/>
                <w:bCs/>
                <w:i/>
                <w:iCs/>
                <w:color w:val="000000"/>
                <w:sz w:val="28"/>
                <w:szCs w:val="28"/>
                <w:lang w:eastAsia="it-IT"/>
              </w:rPr>
            </w:pPr>
          </w:p>
        </w:tc>
      </w:tr>
      <w:tr w:rsidR="00F56356" w:rsidRPr="00F56356" w14:paraId="47B19B7E" w14:textId="77777777" w:rsidTr="00F56356">
        <w:trPr>
          <w:trHeight w:val="905"/>
        </w:trPr>
        <w:tc>
          <w:tcPr>
            <w:tcW w:w="9638" w:type="dxa"/>
            <w:tcBorders>
              <w:top w:val="nil"/>
              <w:left w:val="nil"/>
              <w:bottom w:val="nil"/>
              <w:right w:val="nil"/>
            </w:tcBorders>
            <w:shd w:val="clear" w:color="auto" w:fill="auto"/>
            <w:noWrap/>
            <w:vAlign w:val="center"/>
            <w:hideMark/>
          </w:tcPr>
          <w:p w14:paraId="61279CA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r>
      <w:tr w:rsidR="00F56356" w:rsidRPr="00F56356" w14:paraId="3AF89314" w14:textId="77777777" w:rsidTr="00F56356">
        <w:trPr>
          <w:trHeight w:val="360"/>
        </w:trPr>
        <w:tc>
          <w:tcPr>
            <w:tcW w:w="9638" w:type="dxa"/>
            <w:tcBorders>
              <w:top w:val="nil"/>
              <w:left w:val="nil"/>
              <w:bottom w:val="nil"/>
              <w:right w:val="nil"/>
            </w:tcBorders>
            <w:shd w:val="clear" w:color="auto" w:fill="auto"/>
            <w:noWrap/>
            <w:vAlign w:val="center"/>
            <w:hideMark/>
          </w:tcPr>
          <w:p w14:paraId="03A70F0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r>
      <w:tr w:rsidR="00F56356" w:rsidRPr="00F56356" w14:paraId="19A6B279" w14:textId="77777777" w:rsidTr="00F56356">
        <w:trPr>
          <w:trHeight w:val="360"/>
        </w:trPr>
        <w:tc>
          <w:tcPr>
            <w:tcW w:w="9638" w:type="dxa"/>
            <w:tcBorders>
              <w:top w:val="nil"/>
              <w:left w:val="nil"/>
              <w:bottom w:val="nil"/>
              <w:right w:val="nil"/>
            </w:tcBorders>
            <w:shd w:val="clear" w:color="auto" w:fill="auto"/>
            <w:noWrap/>
            <w:vAlign w:val="center"/>
            <w:hideMark/>
          </w:tcPr>
          <w:p w14:paraId="6D2F32B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46B894A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322AC6B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2E165FB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2B62549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7653A9F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02ABB69C" w14:textId="1DC908B4" w:rsid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445FA427" w14:textId="24293FF1" w:rsidR="00F506D7" w:rsidRDefault="00F506D7" w:rsidP="00F56356">
            <w:pPr>
              <w:spacing w:after="0" w:line="240" w:lineRule="auto"/>
              <w:jc w:val="both"/>
              <w:rPr>
                <w:rFonts w:ascii="Times New Roman" w:eastAsia="Times New Roman" w:hAnsi="Times New Roman" w:cs="Times New Roman"/>
                <w:color w:val="000000"/>
                <w:sz w:val="20"/>
                <w:szCs w:val="20"/>
                <w:lang w:eastAsia="it-IT"/>
              </w:rPr>
            </w:pPr>
          </w:p>
          <w:p w14:paraId="5D86B6DF" w14:textId="77777777" w:rsidR="00F506D7" w:rsidRPr="00F56356" w:rsidRDefault="00F506D7" w:rsidP="00F56356">
            <w:pPr>
              <w:spacing w:after="0" w:line="240" w:lineRule="auto"/>
              <w:jc w:val="both"/>
              <w:rPr>
                <w:rFonts w:ascii="Times New Roman" w:eastAsia="Times New Roman" w:hAnsi="Times New Roman" w:cs="Times New Roman"/>
                <w:color w:val="000000"/>
                <w:sz w:val="20"/>
                <w:szCs w:val="20"/>
                <w:lang w:eastAsia="it-IT"/>
              </w:rPr>
            </w:pPr>
          </w:p>
          <w:p w14:paraId="10891E5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775ECF9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0B4FDE9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121AA91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23D66CB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7416792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1D31EB7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bl>
            <w:tblPr>
              <w:tblW w:w="9660" w:type="dxa"/>
              <w:tblCellMar>
                <w:left w:w="70" w:type="dxa"/>
                <w:right w:w="70" w:type="dxa"/>
              </w:tblCellMar>
              <w:tblLook w:val="04A0" w:firstRow="1" w:lastRow="0" w:firstColumn="1" w:lastColumn="0" w:noHBand="0" w:noVBand="1"/>
            </w:tblPr>
            <w:tblGrid>
              <w:gridCol w:w="339"/>
              <w:gridCol w:w="2733"/>
              <w:gridCol w:w="539"/>
              <w:gridCol w:w="1237"/>
              <w:gridCol w:w="1137"/>
              <w:gridCol w:w="1177"/>
              <w:gridCol w:w="1337"/>
              <w:gridCol w:w="1137"/>
            </w:tblGrid>
            <w:tr w:rsidR="00F56356" w:rsidRPr="00F56356" w14:paraId="7A25E31D" w14:textId="77777777" w:rsidTr="00F56356">
              <w:trPr>
                <w:trHeight w:val="510"/>
              </w:trPr>
              <w:tc>
                <w:tcPr>
                  <w:tcW w:w="340" w:type="dxa"/>
                  <w:tcBorders>
                    <w:top w:val="nil"/>
                    <w:left w:val="nil"/>
                    <w:bottom w:val="nil"/>
                    <w:right w:val="nil"/>
                  </w:tcBorders>
                  <w:shd w:val="clear" w:color="auto" w:fill="auto"/>
                  <w:noWrap/>
                  <w:vAlign w:val="bottom"/>
                  <w:hideMark/>
                </w:tcPr>
                <w:p w14:paraId="1F22ED1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EED31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4D5DC40B" w14:textId="77777777" w:rsidTr="00F56356">
              <w:trPr>
                <w:trHeight w:val="690"/>
              </w:trPr>
              <w:tc>
                <w:tcPr>
                  <w:tcW w:w="340" w:type="dxa"/>
                  <w:tcBorders>
                    <w:top w:val="nil"/>
                    <w:left w:val="nil"/>
                    <w:bottom w:val="nil"/>
                    <w:right w:val="nil"/>
                  </w:tcBorders>
                  <w:shd w:val="clear" w:color="auto" w:fill="auto"/>
                  <w:noWrap/>
                  <w:vAlign w:val="center"/>
                  <w:hideMark/>
                </w:tcPr>
                <w:p w14:paraId="1A86B8B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D69DF0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19E34D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40CE2B84" w14:textId="77777777" w:rsidTr="00F56356">
              <w:trPr>
                <w:trHeight w:val="470"/>
              </w:trPr>
              <w:tc>
                <w:tcPr>
                  <w:tcW w:w="340" w:type="dxa"/>
                  <w:tcBorders>
                    <w:top w:val="nil"/>
                    <w:left w:val="nil"/>
                    <w:bottom w:val="nil"/>
                    <w:right w:val="nil"/>
                  </w:tcBorders>
                  <w:shd w:val="clear" w:color="auto" w:fill="auto"/>
                  <w:noWrap/>
                  <w:vAlign w:val="center"/>
                  <w:hideMark/>
                </w:tcPr>
                <w:p w14:paraId="2136ACB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98CD6B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B15724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4B1ACC6A" w14:textId="77777777" w:rsidTr="00F56356">
              <w:trPr>
                <w:trHeight w:val="479"/>
              </w:trPr>
              <w:tc>
                <w:tcPr>
                  <w:tcW w:w="340" w:type="dxa"/>
                  <w:tcBorders>
                    <w:top w:val="nil"/>
                    <w:left w:val="nil"/>
                    <w:bottom w:val="nil"/>
                    <w:right w:val="nil"/>
                  </w:tcBorders>
                  <w:shd w:val="clear" w:color="auto" w:fill="auto"/>
                  <w:noWrap/>
                  <w:vAlign w:val="center"/>
                  <w:hideMark/>
                </w:tcPr>
                <w:p w14:paraId="40684E5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C92C60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5C3297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565314E0" w14:textId="77777777" w:rsidTr="00F56356">
              <w:trPr>
                <w:trHeight w:val="720"/>
              </w:trPr>
              <w:tc>
                <w:tcPr>
                  <w:tcW w:w="340" w:type="dxa"/>
                  <w:tcBorders>
                    <w:top w:val="nil"/>
                    <w:left w:val="nil"/>
                    <w:bottom w:val="nil"/>
                    <w:right w:val="nil"/>
                  </w:tcBorders>
                  <w:shd w:val="clear" w:color="auto" w:fill="auto"/>
                  <w:noWrap/>
                  <w:vAlign w:val="center"/>
                  <w:hideMark/>
                </w:tcPr>
                <w:p w14:paraId="5E20E6F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F4926C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461C86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Promuovere lo sviluppo e l’implementazione del portale “</w:t>
                  </w:r>
                  <w:proofErr w:type="spellStart"/>
                  <w:r w:rsidRPr="00F56356">
                    <w:rPr>
                      <w:rFonts w:ascii="Times New Roman" w:eastAsia="Times New Roman" w:hAnsi="Times New Roman" w:cs="Times New Roman"/>
                      <w:color w:val="000000"/>
                      <w:sz w:val="20"/>
                      <w:szCs w:val="20"/>
                      <w:lang w:eastAsia="it-IT"/>
                    </w:rPr>
                    <w:t>Normattiva</w:t>
                  </w:r>
                  <w:proofErr w:type="spellEnd"/>
                  <w:r w:rsidRPr="00F56356">
                    <w:rPr>
                      <w:rFonts w:ascii="Times New Roman" w:eastAsia="Times New Roman" w:hAnsi="Times New Roman" w:cs="Times New Roman"/>
                      <w:color w:val="000000"/>
                      <w:sz w:val="20"/>
                      <w:szCs w:val="20"/>
                      <w:lang w:eastAsia="it-IT"/>
                    </w:rPr>
                    <w:t>” ai sensi dell’art. 1, comma 310, L. 147/2013</w:t>
                  </w:r>
                </w:p>
              </w:tc>
            </w:tr>
            <w:tr w:rsidR="00F56356" w:rsidRPr="00F56356" w14:paraId="4FD61BB6" w14:textId="77777777" w:rsidTr="00F56356">
              <w:trPr>
                <w:trHeight w:val="960"/>
              </w:trPr>
              <w:tc>
                <w:tcPr>
                  <w:tcW w:w="340" w:type="dxa"/>
                  <w:tcBorders>
                    <w:top w:val="nil"/>
                    <w:left w:val="nil"/>
                    <w:bottom w:val="nil"/>
                    <w:right w:val="nil"/>
                  </w:tcBorders>
                  <w:shd w:val="clear" w:color="auto" w:fill="auto"/>
                  <w:noWrap/>
                  <w:vAlign w:val="center"/>
                  <w:hideMark/>
                </w:tcPr>
                <w:p w14:paraId="4C54CB5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C08922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FDBD70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Sviluppo della operatività del portale “</w:t>
                  </w:r>
                  <w:proofErr w:type="spellStart"/>
                  <w:r w:rsidRPr="00F56356">
                    <w:rPr>
                      <w:rFonts w:ascii="Times New Roman" w:eastAsia="Times New Roman" w:hAnsi="Times New Roman" w:cs="Times New Roman"/>
                      <w:color w:val="000000"/>
                      <w:sz w:val="20"/>
                      <w:szCs w:val="20"/>
                      <w:lang w:eastAsia="it-IT"/>
                    </w:rPr>
                    <w:t>Normattiva</w:t>
                  </w:r>
                  <w:proofErr w:type="spellEnd"/>
                  <w:r w:rsidRPr="00F56356">
                    <w:rPr>
                      <w:rFonts w:ascii="Times New Roman" w:eastAsia="Times New Roman" w:hAnsi="Times New Roman" w:cs="Times New Roman"/>
                      <w:color w:val="000000"/>
                      <w:sz w:val="20"/>
                      <w:szCs w:val="20"/>
                      <w:lang w:eastAsia="it-IT"/>
                    </w:rPr>
                    <w:t>” mediante il coordinamento operativo delle attività delle amministrazioni rappresentate nel Comitato di gestione ex DPCM 4 settembre 2015</w:t>
                  </w:r>
                </w:p>
              </w:tc>
            </w:tr>
            <w:tr w:rsidR="00F56356" w:rsidRPr="00F56356" w14:paraId="1D6AD415" w14:textId="77777777" w:rsidTr="00F56356">
              <w:trPr>
                <w:trHeight w:val="360"/>
              </w:trPr>
              <w:tc>
                <w:tcPr>
                  <w:tcW w:w="340" w:type="dxa"/>
                  <w:tcBorders>
                    <w:top w:val="nil"/>
                    <w:left w:val="nil"/>
                    <w:bottom w:val="nil"/>
                    <w:right w:val="nil"/>
                  </w:tcBorders>
                  <w:shd w:val="clear" w:color="auto" w:fill="auto"/>
                  <w:noWrap/>
                  <w:vAlign w:val="center"/>
                  <w:hideMark/>
                </w:tcPr>
                <w:p w14:paraId="63F1F6F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9C90D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56D4E8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C93A946" w14:textId="77777777" w:rsidTr="00F56356">
              <w:trPr>
                <w:trHeight w:val="360"/>
              </w:trPr>
              <w:tc>
                <w:tcPr>
                  <w:tcW w:w="340" w:type="dxa"/>
                  <w:tcBorders>
                    <w:top w:val="nil"/>
                    <w:left w:val="nil"/>
                    <w:bottom w:val="nil"/>
                    <w:right w:val="nil"/>
                  </w:tcBorders>
                  <w:shd w:val="clear" w:color="auto" w:fill="auto"/>
                  <w:noWrap/>
                  <w:vAlign w:val="center"/>
                  <w:hideMark/>
                </w:tcPr>
                <w:p w14:paraId="2656FC3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1610C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38FBEB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289CC27" w14:textId="77777777" w:rsidTr="00F56356">
              <w:trPr>
                <w:trHeight w:val="525"/>
              </w:trPr>
              <w:tc>
                <w:tcPr>
                  <w:tcW w:w="340" w:type="dxa"/>
                  <w:tcBorders>
                    <w:top w:val="nil"/>
                    <w:left w:val="nil"/>
                    <w:bottom w:val="nil"/>
                    <w:right w:val="nil"/>
                  </w:tcBorders>
                  <w:shd w:val="clear" w:color="auto" w:fill="auto"/>
                  <w:noWrap/>
                  <w:vAlign w:val="bottom"/>
                  <w:hideMark/>
                </w:tcPr>
                <w:p w14:paraId="57D1D0D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46F12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79F0FF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119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34F8B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736208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B1A8D21" w14:textId="77777777" w:rsidTr="00F56356">
              <w:trPr>
                <w:trHeight w:val="1305"/>
              </w:trPr>
              <w:tc>
                <w:tcPr>
                  <w:tcW w:w="340" w:type="dxa"/>
                  <w:tcBorders>
                    <w:top w:val="nil"/>
                    <w:left w:val="nil"/>
                    <w:bottom w:val="nil"/>
                    <w:right w:val="nil"/>
                  </w:tcBorders>
                  <w:shd w:val="clear" w:color="auto" w:fill="auto"/>
                  <w:noWrap/>
                  <w:vAlign w:val="bottom"/>
                  <w:hideMark/>
                </w:tcPr>
                <w:p w14:paraId="2B69E58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8978BD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8DD87F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5B69B3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396CC66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D040CD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F6DB9D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F7F8B9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A535F50" w14:textId="77777777" w:rsidTr="00F56356">
              <w:trPr>
                <w:trHeight w:val="459"/>
              </w:trPr>
              <w:tc>
                <w:tcPr>
                  <w:tcW w:w="340" w:type="dxa"/>
                  <w:tcBorders>
                    <w:top w:val="nil"/>
                    <w:left w:val="nil"/>
                    <w:bottom w:val="nil"/>
                    <w:right w:val="nil"/>
                  </w:tcBorders>
                  <w:shd w:val="clear" w:color="auto" w:fill="auto"/>
                  <w:noWrap/>
                  <w:vAlign w:val="bottom"/>
                  <w:hideMark/>
                </w:tcPr>
                <w:p w14:paraId="14A4CEE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1A167C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8180A0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D4661C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656.522,00</w:t>
                  </w:r>
                </w:p>
              </w:tc>
              <w:tc>
                <w:tcPr>
                  <w:tcW w:w="1140" w:type="dxa"/>
                  <w:tcBorders>
                    <w:top w:val="nil"/>
                    <w:left w:val="nil"/>
                    <w:bottom w:val="single" w:sz="4" w:space="0" w:color="auto"/>
                    <w:right w:val="single" w:sz="4" w:space="0" w:color="auto"/>
                  </w:tcBorders>
                  <w:shd w:val="clear" w:color="auto" w:fill="auto"/>
                  <w:noWrap/>
                  <w:vAlign w:val="center"/>
                  <w:hideMark/>
                </w:tcPr>
                <w:p w14:paraId="2020D21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777.858,41</w:t>
                  </w:r>
                </w:p>
              </w:tc>
              <w:tc>
                <w:tcPr>
                  <w:tcW w:w="1180" w:type="dxa"/>
                  <w:tcBorders>
                    <w:top w:val="nil"/>
                    <w:left w:val="nil"/>
                    <w:bottom w:val="single" w:sz="4" w:space="0" w:color="auto"/>
                    <w:right w:val="single" w:sz="4" w:space="0" w:color="auto"/>
                  </w:tcBorders>
                  <w:shd w:val="clear" w:color="auto" w:fill="auto"/>
                  <w:noWrap/>
                  <w:vAlign w:val="center"/>
                  <w:hideMark/>
                </w:tcPr>
                <w:p w14:paraId="2628F0A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272.116,99</w:t>
                  </w:r>
                </w:p>
              </w:tc>
              <w:tc>
                <w:tcPr>
                  <w:tcW w:w="1340" w:type="dxa"/>
                  <w:tcBorders>
                    <w:top w:val="nil"/>
                    <w:left w:val="nil"/>
                    <w:bottom w:val="single" w:sz="4" w:space="0" w:color="auto"/>
                    <w:right w:val="single" w:sz="4" w:space="0" w:color="auto"/>
                  </w:tcBorders>
                  <w:shd w:val="clear" w:color="auto" w:fill="auto"/>
                  <w:noWrap/>
                  <w:vAlign w:val="center"/>
                  <w:hideMark/>
                </w:tcPr>
                <w:p w14:paraId="0BA451B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505.741,42</w:t>
                  </w:r>
                </w:p>
              </w:tc>
              <w:tc>
                <w:tcPr>
                  <w:tcW w:w="1140" w:type="dxa"/>
                  <w:tcBorders>
                    <w:top w:val="nil"/>
                    <w:left w:val="nil"/>
                    <w:bottom w:val="single" w:sz="4" w:space="0" w:color="auto"/>
                    <w:right w:val="single" w:sz="4" w:space="0" w:color="auto"/>
                  </w:tcBorders>
                  <w:shd w:val="clear" w:color="auto" w:fill="auto"/>
                  <w:noWrap/>
                  <w:vAlign w:val="center"/>
                  <w:hideMark/>
                </w:tcPr>
                <w:p w14:paraId="39E0A62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777.858,40</w:t>
                  </w:r>
                </w:p>
              </w:tc>
            </w:tr>
            <w:tr w:rsidR="00F56356" w:rsidRPr="00F56356" w14:paraId="61909C60" w14:textId="77777777" w:rsidTr="00F56356">
              <w:trPr>
                <w:trHeight w:val="330"/>
              </w:trPr>
              <w:tc>
                <w:tcPr>
                  <w:tcW w:w="340" w:type="dxa"/>
                  <w:tcBorders>
                    <w:top w:val="nil"/>
                    <w:left w:val="nil"/>
                    <w:bottom w:val="nil"/>
                    <w:right w:val="nil"/>
                  </w:tcBorders>
                  <w:shd w:val="clear" w:color="auto" w:fill="auto"/>
                  <w:noWrap/>
                  <w:vAlign w:val="bottom"/>
                  <w:hideMark/>
                </w:tcPr>
                <w:p w14:paraId="6B7C79E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15D2D8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EA80D6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015EF5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48BEA2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6A26BD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0105EF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F1707B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039D197" w14:textId="77777777" w:rsidTr="00F56356">
              <w:trPr>
                <w:trHeight w:val="540"/>
              </w:trPr>
              <w:tc>
                <w:tcPr>
                  <w:tcW w:w="340" w:type="dxa"/>
                  <w:tcBorders>
                    <w:top w:val="nil"/>
                    <w:left w:val="nil"/>
                    <w:bottom w:val="nil"/>
                    <w:right w:val="nil"/>
                  </w:tcBorders>
                  <w:shd w:val="clear" w:color="auto" w:fill="auto"/>
                  <w:noWrap/>
                  <w:vAlign w:val="bottom"/>
                  <w:hideMark/>
                </w:tcPr>
                <w:p w14:paraId="03CBEA1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0DF43D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5A9B7EBD" w14:textId="77777777" w:rsidTr="00F56356">
              <w:trPr>
                <w:trHeight w:val="345"/>
              </w:trPr>
              <w:tc>
                <w:tcPr>
                  <w:tcW w:w="340" w:type="dxa"/>
                  <w:tcBorders>
                    <w:top w:val="nil"/>
                    <w:left w:val="nil"/>
                    <w:bottom w:val="nil"/>
                    <w:right w:val="nil"/>
                  </w:tcBorders>
                  <w:shd w:val="clear" w:color="auto" w:fill="auto"/>
                  <w:noWrap/>
                  <w:vAlign w:val="bottom"/>
                  <w:hideMark/>
                </w:tcPr>
                <w:p w14:paraId="552A62D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61E11B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24C9AFE1" w14:textId="77777777" w:rsidTr="00F56356">
              <w:trPr>
                <w:trHeight w:val="345"/>
              </w:trPr>
              <w:tc>
                <w:tcPr>
                  <w:tcW w:w="340" w:type="dxa"/>
                  <w:tcBorders>
                    <w:top w:val="nil"/>
                    <w:left w:val="nil"/>
                    <w:bottom w:val="nil"/>
                    <w:right w:val="nil"/>
                  </w:tcBorders>
                  <w:shd w:val="clear" w:color="auto" w:fill="auto"/>
                  <w:noWrap/>
                  <w:vAlign w:val="bottom"/>
                  <w:hideMark/>
                </w:tcPr>
                <w:p w14:paraId="1A59F4E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0814E60A"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307FD283" w14:textId="77777777" w:rsidTr="00F56356">
              <w:trPr>
                <w:trHeight w:val="480"/>
              </w:trPr>
              <w:tc>
                <w:tcPr>
                  <w:tcW w:w="340" w:type="dxa"/>
                  <w:tcBorders>
                    <w:top w:val="nil"/>
                    <w:left w:val="nil"/>
                    <w:bottom w:val="nil"/>
                    <w:right w:val="nil"/>
                  </w:tcBorders>
                  <w:shd w:val="clear" w:color="auto" w:fill="auto"/>
                  <w:noWrap/>
                  <w:vAlign w:val="bottom"/>
                  <w:hideMark/>
                </w:tcPr>
                <w:p w14:paraId="686CFE9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6FB50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3AFF4C64" w14:textId="77777777" w:rsidTr="00F56356">
              <w:trPr>
                <w:trHeight w:val="540"/>
              </w:trPr>
              <w:tc>
                <w:tcPr>
                  <w:tcW w:w="340" w:type="dxa"/>
                  <w:tcBorders>
                    <w:top w:val="nil"/>
                    <w:left w:val="nil"/>
                    <w:bottom w:val="nil"/>
                    <w:right w:val="nil"/>
                  </w:tcBorders>
                  <w:shd w:val="clear" w:color="auto" w:fill="auto"/>
                  <w:noWrap/>
                  <w:vAlign w:val="center"/>
                  <w:hideMark/>
                </w:tcPr>
                <w:p w14:paraId="32BBBBB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71C2F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F55007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Grado di attuazione, con il concorso di altre Amministrazioni/soggetti, delle iniziative/attività previste in Convenzioni autorizzate dal Comitato di gestione</w:t>
                  </w:r>
                </w:p>
              </w:tc>
            </w:tr>
            <w:tr w:rsidR="00F56356" w:rsidRPr="00F56356" w14:paraId="2C4E816D" w14:textId="77777777" w:rsidTr="00F56356">
              <w:trPr>
                <w:trHeight w:val="585"/>
              </w:trPr>
              <w:tc>
                <w:tcPr>
                  <w:tcW w:w="340" w:type="dxa"/>
                  <w:tcBorders>
                    <w:top w:val="nil"/>
                    <w:left w:val="nil"/>
                    <w:bottom w:val="nil"/>
                    <w:right w:val="nil"/>
                  </w:tcBorders>
                  <w:shd w:val="clear" w:color="auto" w:fill="auto"/>
                  <w:noWrap/>
                  <w:vAlign w:val="center"/>
                  <w:hideMark/>
                </w:tcPr>
                <w:p w14:paraId="6F22618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5048A0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A2F1BE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posta elettronica, protocollo informatico</w:t>
                  </w:r>
                </w:p>
              </w:tc>
            </w:tr>
            <w:tr w:rsidR="00F56356" w:rsidRPr="00F56356" w14:paraId="2C269FFB" w14:textId="77777777" w:rsidTr="00F56356">
              <w:trPr>
                <w:trHeight w:val="1650"/>
              </w:trPr>
              <w:tc>
                <w:tcPr>
                  <w:tcW w:w="340" w:type="dxa"/>
                  <w:tcBorders>
                    <w:top w:val="nil"/>
                    <w:left w:val="nil"/>
                    <w:bottom w:val="nil"/>
                    <w:right w:val="nil"/>
                  </w:tcBorders>
                  <w:shd w:val="clear" w:color="auto" w:fill="auto"/>
                  <w:noWrap/>
                  <w:vAlign w:val="center"/>
                  <w:hideMark/>
                </w:tcPr>
                <w:p w14:paraId="5AC80CE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7A3359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5B4B7C2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iniziative/attività avviate per quanto di competenza della Presidenza del Consiglio /N. iniziative/attività previste in Convenzioni autorizzate dal Comitato di gestione</w:t>
                  </w:r>
                </w:p>
              </w:tc>
              <w:tc>
                <w:tcPr>
                  <w:tcW w:w="1180" w:type="dxa"/>
                  <w:tcBorders>
                    <w:top w:val="nil"/>
                    <w:left w:val="nil"/>
                    <w:bottom w:val="single" w:sz="4" w:space="0" w:color="auto"/>
                    <w:right w:val="nil"/>
                  </w:tcBorders>
                  <w:shd w:val="clear" w:color="auto" w:fill="auto"/>
                  <w:vAlign w:val="center"/>
                  <w:hideMark/>
                </w:tcPr>
                <w:p w14:paraId="79E6DB0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86C925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8374A3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CCF92D4" w14:textId="77777777" w:rsidTr="00F56356">
              <w:trPr>
                <w:trHeight w:val="615"/>
              </w:trPr>
              <w:tc>
                <w:tcPr>
                  <w:tcW w:w="340" w:type="dxa"/>
                  <w:tcBorders>
                    <w:top w:val="nil"/>
                    <w:left w:val="nil"/>
                    <w:bottom w:val="nil"/>
                    <w:right w:val="nil"/>
                  </w:tcBorders>
                  <w:shd w:val="clear" w:color="auto" w:fill="auto"/>
                  <w:noWrap/>
                  <w:vAlign w:val="bottom"/>
                  <w:hideMark/>
                </w:tcPr>
                <w:p w14:paraId="60D43A0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8C2C9D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3C6899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2990DB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64B0179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286148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r w:rsidR="00F56356" w:rsidRPr="00F56356" w14:paraId="50F4399B" w14:textId="77777777" w:rsidTr="00F56356">
              <w:trPr>
                <w:trHeight w:val="885"/>
              </w:trPr>
              <w:tc>
                <w:tcPr>
                  <w:tcW w:w="340" w:type="dxa"/>
                  <w:tcBorders>
                    <w:top w:val="nil"/>
                    <w:left w:val="nil"/>
                    <w:bottom w:val="nil"/>
                    <w:right w:val="nil"/>
                  </w:tcBorders>
                  <w:shd w:val="clear" w:color="auto" w:fill="auto"/>
                  <w:noWrap/>
                  <w:vAlign w:val="bottom"/>
                  <w:hideMark/>
                </w:tcPr>
                <w:p w14:paraId="4240C9E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4A8E5233" w14:textId="77777777" w:rsidR="00F56356" w:rsidRPr="00F56356" w:rsidRDefault="00F56356" w:rsidP="00F56356">
                  <w:pPr>
                    <w:spacing w:after="0" w:line="240" w:lineRule="auto"/>
                    <w:jc w:val="both"/>
                    <w:rPr>
                      <w:rFonts w:ascii="Times New Roman" w:eastAsia="Times New Roman" w:hAnsi="Times New Roman" w:cs="Times New Roman"/>
                      <w:sz w:val="18"/>
                      <w:szCs w:val="18"/>
                      <w:lang w:eastAsia="it-IT"/>
                    </w:rPr>
                  </w:pPr>
                  <w:r w:rsidRPr="00F56356">
                    <w:rPr>
                      <w:rFonts w:ascii="Times New Roman" w:eastAsia="Times New Roman" w:hAnsi="Times New Roman" w:cs="Times New Roman"/>
                      <w:sz w:val="18"/>
                      <w:szCs w:val="18"/>
                      <w:lang w:eastAsia="it-IT"/>
                    </w:rPr>
                    <w:t xml:space="preserve">Nel corso dell'anno 2022 si è provveduto al pagamento di due rate relative alla Convenzione stipulata in data 6 agosto 2019 avente ad oggetto la reingegnerizzazione del portale </w:t>
                  </w:r>
                  <w:proofErr w:type="spellStart"/>
                  <w:r w:rsidRPr="00F56356">
                    <w:rPr>
                      <w:rFonts w:ascii="Times New Roman" w:eastAsia="Times New Roman" w:hAnsi="Times New Roman" w:cs="Times New Roman"/>
                      <w:sz w:val="18"/>
                      <w:szCs w:val="18"/>
                      <w:lang w:eastAsia="it-IT"/>
                    </w:rPr>
                    <w:t>Normattiva</w:t>
                  </w:r>
                  <w:proofErr w:type="spellEnd"/>
                  <w:r w:rsidRPr="00F56356">
                    <w:rPr>
                      <w:rFonts w:ascii="Times New Roman" w:eastAsia="Times New Roman" w:hAnsi="Times New Roman" w:cs="Times New Roman"/>
                      <w:sz w:val="18"/>
                      <w:szCs w:val="18"/>
                      <w:lang w:eastAsia="it-IT"/>
                    </w:rPr>
                    <w:t>, la prima per un importo complessivo in conto competenza di euro 202.614,94 (comprensivo di IVA al 22%) a valere sul piano gestionale 1, la seconda per un importo complessivo di euro 69.502,05 (comprensivo di IVA al 22%), a valere sul piano gestionale 1.</w:t>
                  </w:r>
                </w:p>
              </w:tc>
            </w:tr>
          </w:tbl>
          <w:p w14:paraId="4452C94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37014838" w14:textId="782CF5B5" w:rsid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p w14:paraId="6FDB205B" w14:textId="77777777" w:rsidR="00B162D3" w:rsidRPr="00F56356" w:rsidRDefault="00B162D3" w:rsidP="00F56356">
            <w:pPr>
              <w:spacing w:after="0" w:line="240" w:lineRule="auto"/>
              <w:jc w:val="both"/>
              <w:rPr>
                <w:rFonts w:ascii="Times New Roman" w:eastAsia="Times New Roman" w:hAnsi="Times New Roman" w:cs="Times New Roman"/>
                <w:color w:val="000000"/>
                <w:sz w:val="20"/>
                <w:szCs w:val="20"/>
                <w:lang w:eastAsia="it-IT"/>
              </w:rPr>
            </w:pPr>
          </w:p>
          <w:tbl>
            <w:tblPr>
              <w:tblW w:w="9660" w:type="dxa"/>
              <w:tblCellMar>
                <w:left w:w="70" w:type="dxa"/>
                <w:right w:w="70" w:type="dxa"/>
              </w:tblCellMar>
              <w:tblLook w:val="04A0" w:firstRow="1" w:lastRow="0" w:firstColumn="1" w:lastColumn="0" w:noHBand="0" w:noVBand="1"/>
            </w:tblPr>
            <w:tblGrid>
              <w:gridCol w:w="339"/>
              <w:gridCol w:w="2733"/>
              <w:gridCol w:w="539"/>
              <w:gridCol w:w="1237"/>
              <w:gridCol w:w="1137"/>
              <w:gridCol w:w="1177"/>
              <w:gridCol w:w="1337"/>
              <w:gridCol w:w="1137"/>
            </w:tblGrid>
            <w:tr w:rsidR="00F56356" w:rsidRPr="00F56356" w14:paraId="0BDA7F76" w14:textId="77777777" w:rsidTr="00F56356">
              <w:trPr>
                <w:trHeight w:val="510"/>
              </w:trPr>
              <w:tc>
                <w:tcPr>
                  <w:tcW w:w="340" w:type="dxa"/>
                  <w:tcBorders>
                    <w:top w:val="nil"/>
                    <w:left w:val="nil"/>
                    <w:bottom w:val="nil"/>
                    <w:right w:val="nil"/>
                  </w:tcBorders>
                  <w:shd w:val="clear" w:color="auto" w:fill="auto"/>
                  <w:noWrap/>
                  <w:vAlign w:val="bottom"/>
                  <w:hideMark/>
                </w:tcPr>
                <w:p w14:paraId="473C5D7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DB79B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7C0F711E" w14:textId="77777777" w:rsidTr="00F56356">
              <w:trPr>
                <w:trHeight w:val="690"/>
              </w:trPr>
              <w:tc>
                <w:tcPr>
                  <w:tcW w:w="340" w:type="dxa"/>
                  <w:tcBorders>
                    <w:top w:val="nil"/>
                    <w:left w:val="nil"/>
                    <w:bottom w:val="nil"/>
                    <w:right w:val="nil"/>
                  </w:tcBorders>
                  <w:shd w:val="clear" w:color="auto" w:fill="auto"/>
                  <w:noWrap/>
                  <w:vAlign w:val="center"/>
                  <w:hideMark/>
                </w:tcPr>
                <w:p w14:paraId="58589B1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41ED2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E332B4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24647317" w14:textId="77777777" w:rsidTr="00F56356">
              <w:trPr>
                <w:trHeight w:val="329"/>
              </w:trPr>
              <w:tc>
                <w:tcPr>
                  <w:tcW w:w="340" w:type="dxa"/>
                  <w:tcBorders>
                    <w:top w:val="nil"/>
                    <w:left w:val="nil"/>
                    <w:bottom w:val="nil"/>
                    <w:right w:val="nil"/>
                  </w:tcBorders>
                  <w:shd w:val="clear" w:color="auto" w:fill="auto"/>
                  <w:noWrap/>
                  <w:vAlign w:val="center"/>
                  <w:hideMark/>
                </w:tcPr>
                <w:p w14:paraId="77738C8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6E3D2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D0C1A9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0B7FC224" w14:textId="77777777" w:rsidTr="00F56356">
              <w:trPr>
                <w:trHeight w:val="418"/>
              </w:trPr>
              <w:tc>
                <w:tcPr>
                  <w:tcW w:w="340" w:type="dxa"/>
                  <w:tcBorders>
                    <w:top w:val="nil"/>
                    <w:left w:val="nil"/>
                    <w:bottom w:val="nil"/>
                    <w:right w:val="nil"/>
                  </w:tcBorders>
                  <w:shd w:val="clear" w:color="auto" w:fill="auto"/>
                  <w:noWrap/>
                  <w:vAlign w:val="center"/>
                  <w:hideMark/>
                </w:tcPr>
                <w:p w14:paraId="3C9FEC3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E367A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AF671F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5C26EE7E" w14:textId="77777777" w:rsidTr="00F56356">
              <w:trPr>
                <w:trHeight w:val="410"/>
              </w:trPr>
              <w:tc>
                <w:tcPr>
                  <w:tcW w:w="340" w:type="dxa"/>
                  <w:tcBorders>
                    <w:top w:val="nil"/>
                    <w:left w:val="nil"/>
                    <w:bottom w:val="nil"/>
                    <w:right w:val="nil"/>
                  </w:tcBorders>
                  <w:shd w:val="clear" w:color="auto" w:fill="auto"/>
                  <w:noWrap/>
                  <w:vAlign w:val="center"/>
                  <w:hideMark/>
                </w:tcPr>
                <w:p w14:paraId="3F47A0A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EA8AF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5E137C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Pagamenti in attuazione di disposizioni di legge</w:t>
                  </w:r>
                </w:p>
              </w:tc>
            </w:tr>
            <w:tr w:rsidR="00F56356" w:rsidRPr="00F56356" w14:paraId="458C0299" w14:textId="77777777" w:rsidTr="00F56356">
              <w:trPr>
                <w:trHeight w:val="1920"/>
              </w:trPr>
              <w:tc>
                <w:tcPr>
                  <w:tcW w:w="340" w:type="dxa"/>
                  <w:tcBorders>
                    <w:top w:val="nil"/>
                    <w:left w:val="nil"/>
                    <w:bottom w:val="nil"/>
                    <w:right w:val="nil"/>
                  </w:tcBorders>
                  <w:shd w:val="clear" w:color="auto" w:fill="auto"/>
                  <w:noWrap/>
                  <w:vAlign w:val="center"/>
                  <w:hideMark/>
                </w:tcPr>
                <w:p w14:paraId="5C983FF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7DC0CE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FE6D52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Liquidazione degli onorari spettanti all'Avvocatura dello Stato, nei casi di compensazione di spese giudiziali riguardanti i contenziosi di competenza del Dipartimento e delle articolazioni della Presidenza del Consiglio dei ministri che non dispongono di specifico capitolo di spesa. Liquidazione delle spese di missione sostenute dagli Avvocati dello Stato per l'espletamento dell'incarico difensivo, nonché degli onorari spettanti agli avvocati del libero foro delegati dall'Avvocatura dello Stato. Liquidazione di CTU e CTP </w:t>
                  </w:r>
                </w:p>
              </w:tc>
            </w:tr>
            <w:tr w:rsidR="00F56356" w:rsidRPr="00F56356" w14:paraId="28FD6386" w14:textId="77777777" w:rsidTr="00F56356">
              <w:trPr>
                <w:trHeight w:val="360"/>
              </w:trPr>
              <w:tc>
                <w:tcPr>
                  <w:tcW w:w="340" w:type="dxa"/>
                  <w:tcBorders>
                    <w:top w:val="nil"/>
                    <w:left w:val="nil"/>
                    <w:bottom w:val="nil"/>
                    <w:right w:val="nil"/>
                  </w:tcBorders>
                  <w:shd w:val="clear" w:color="auto" w:fill="auto"/>
                  <w:noWrap/>
                  <w:vAlign w:val="center"/>
                  <w:hideMark/>
                </w:tcPr>
                <w:p w14:paraId="274C81B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D195D6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1208E3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D65D308" w14:textId="77777777" w:rsidTr="00F56356">
              <w:trPr>
                <w:trHeight w:val="360"/>
              </w:trPr>
              <w:tc>
                <w:tcPr>
                  <w:tcW w:w="340" w:type="dxa"/>
                  <w:tcBorders>
                    <w:top w:val="nil"/>
                    <w:left w:val="nil"/>
                    <w:bottom w:val="nil"/>
                    <w:right w:val="nil"/>
                  </w:tcBorders>
                  <w:shd w:val="clear" w:color="auto" w:fill="auto"/>
                  <w:noWrap/>
                  <w:vAlign w:val="center"/>
                  <w:hideMark/>
                </w:tcPr>
                <w:p w14:paraId="1BDFC95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33C219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4E26C6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4FC9FCD" w14:textId="77777777" w:rsidTr="00F56356">
              <w:trPr>
                <w:trHeight w:val="440"/>
              </w:trPr>
              <w:tc>
                <w:tcPr>
                  <w:tcW w:w="340" w:type="dxa"/>
                  <w:tcBorders>
                    <w:top w:val="nil"/>
                    <w:left w:val="nil"/>
                    <w:bottom w:val="nil"/>
                    <w:right w:val="nil"/>
                  </w:tcBorders>
                  <w:shd w:val="clear" w:color="auto" w:fill="auto"/>
                  <w:noWrap/>
                  <w:vAlign w:val="bottom"/>
                  <w:hideMark/>
                </w:tcPr>
                <w:p w14:paraId="265DC06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5AB423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617985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162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3CE8C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B9D3B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5C04FFF4" w14:textId="77777777" w:rsidTr="00F56356">
              <w:trPr>
                <w:trHeight w:val="1305"/>
              </w:trPr>
              <w:tc>
                <w:tcPr>
                  <w:tcW w:w="340" w:type="dxa"/>
                  <w:tcBorders>
                    <w:top w:val="nil"/>
                    <w:left w:val="nil"/>
                    <w:bottom w:val="nil"/>
                    <w:right w:val="nil"/>
                  </w:tcBorders>
                  <w:shd w:val="clear" w:color="auto" w:fill="auto"/>
                  <w:noWrap/>
                  <w:vAlign w:val="bottom"/>
                  <w:hideMark/>
                </w:tcPr>
                <w:p w14:paraId="6A8B406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B32B3D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329313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E50FDB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4232CC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47A98F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E4A925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DDE162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0E9051E" w14:textId="77777777" w:rsidTr="00F56356">
              <w:trPr>
                <w:trHeight w:val="423"/>
              </w:trPr>
              <w:tc>
                <w:tcPr>
                  <w:tcW w:w="340" w:type="dxa"/>
                  <w:tcBorders>
                    <w:top w:val="nil"/>
                    <w:left w:val="nil"/>
                    <w:bottom w:val="nil"/>
                    <w:right w:val="nil"/>
                  </w:tcBorders>
                  <w:shd w:val="clear" w:color="auto" w:fill="auto"/>
                  <w:noWrap/>
                  <w:vAlign w:val="bottom"/>
                  <w:hideMark/>
                </w:tcPr>
                <w:p w14:paraId="46DC246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66D91C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47E83F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749A750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230.000,00</w:t>
                  </w:r>
                </w:p>
              </w:tc>
              <w:tc>
                <w:tcPr>
                  <w:tcW w:w="1140" w:type="dxa"/>
                  <w:tcBorders>
                    <w:top w:val="nil"/>
                    <w:left w:val="nil"/>
                    <w:bottom w:val="single" w:sz="4" w:space="0" w:color="auto"/>
                    <w:right w:val="single" w:sz="4" w:space="0" w:color="auto"/>
                  </w:tcBorders>
                  <w:shd w:val="clear" w:color="auto" w:fill="auto"/>
                  <w:noWrap/>
                  <w:vAlign w:val="center"/>
                  <w:hideMark/>
                </w:tcPr>
                <w:p w14:paraId="64893C0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290.000,00</w:t>
                  </w:r>
                </w:p>
              </w:tc>
              <w:tc>
                <w:tcPr>
                  <w:tcW w:w="1180" w:type="dxa"/>
                  <w:tcBorders>
                    <w:top w:val="nil"/>
                    <w:left w:val="nil"/>
                    <w:bottom w:val="single" w:sz="4" w:space="0" w:color="auto"/>
                    <w:right w:val="single" w:sz="4" w:space="0" w:color="auto"/>
                  </w:tcBorders>
                  <w:shd w:val="clear" w:color="auto" w:fill="auto"/>
                  <w:noWrap/>
                  <w:vAlign w:val="center"/>
                  <w:hideMark/>
                </w:tcPr>
                <w:p w14:paraId="7FD0BD5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289.971,03</w:t>
                  </w:r>
                </w:p>
              </w:tc>
              <w:tc>
                <w:tcPr>
                  <w:tcW w:w="1340" w:type="dxa"/>
                  <w:tcBorders>
                    <w:top w:val="nil"/>
                    <w:left w:val="nil"/>
                    <w:bottom w:val="single" w:sz="4" w:space="0" w:color="auto"/>
                    <w:right w:val="single" w:sz="4" w:space="0" w:color="auto"/>
                  </w:tcBorders>
                  <w:shd w:val="clear" w:color="auto" w:fill="auto"/>
                  <w:noWrap/>
                  <w:vAlign w:val="center"/>
                  <w:hideMark/>
                </w:tcPr>
                <w:p w14:paraId="05FBD86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29A959D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289.971,03</w:t>
                  </w:r>
                </w:p>
              </w:tc>
            </w:tr>
            <w:tr w:rsidR="00F56356" w:rsidRPr="00F56356" w14:paraId="3565B8A3" w14:textId="77777777" w:rsidTr="00F56356">
              <w:trPr>
                <w:trHeight w:val="330"/>
              </w:trPr>
              <w:tc>
                <w:tcPr>
                  <w:tcW w:w="340" w:type="dxa"/>
                  <w:tcBorders>
                    <w:top w:val="nil"/>
                    <w:left w:val="nil"/>
                    <w:bottom w:val="nil"/>
                    <w:right w:val="nil"/>
                  </w:tcBorders>
                  <w:shd w:val="clear" w:color="auto" w:fill="auto"/>
                  <w:noWrap/>
                  <w:vAlign w:val="bottom"/>
                  <w:hideMark/>
                </w:tcPr>
                <w:p w14:paraId="6676329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F7F3A1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EE3AA5E"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F0BAC3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DDAB28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A003C0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60B1DC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3830BB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DABCE42" w14:textId="77777777" w:rsidTr="00F56356">
              <w:trPr>
                <w:trHeight w:val="540"/>
              </w:trPr>
              <w:tc>
                <w:tcPr>
                  <w:tcW w:w="340" w:type="dxa"/>
                  <w:tcBorders>
                    <w:top w:val="nil"/>
                    <w:left w:val="nil"/>
                    <w:bottom w:val="nil"/>
                    <w:right w:val="nil"/>
                  </w:tcBorders>
                  <w:shd w:val="clear" w:color="auto" w:fill="auto"/>
                  <w:noWrap/>
                  <w:vAlign w:val="bottom"/>
                  <w:hideMark/>
                </w:tcPr>
                <w:p w14:paraId="1A69056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A0219F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74629AF6" w14:textId="77777777" w:rsidTr="00F56356">
              <w:trPr>
                <w:trHeight w:val="345"/>
              </w:trPr>
              <w:tc>
                <w:tcPr>
                  <w:tcW w:w="340" w:type="dxa"/>
                  <w:tcBorders>
                    <w:top w:val="nil"/>
                    <w:left w:val="nil"/>
                    <w:bottom w:val="nil"/>
                    <w:right w:val="nil"/>
                  </w:tcBorders>
                  <w:shd w:val="clear" w:color="auto" w:fill="auto"/>
                  <w:noWrap/>
                  <w:vAlign w:val="bottom"/>
                  <w:hideMark/>
                </w:tcPr>
                <w:p w14:paraId="5314A18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98592E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2E20FD3E" w14:textId="77777777" w:rsidTr="00F56356">
              <w:trPr>
                <w:trHeight w:val="345"/>
              </w:trPr>
              <w:tc>
                <w:tcPr>
                  <w:tcW w:w="340" w:type="dxa"/>
                  <w:tcBorders>
                    <w:top w:val="nil"/>
                    <w:left w:val="nil"/>
                    <w:bottom w:val="nil"/>
                    <w:right w:val="nil"/>
                  </w:tcBorders>
                  <w:shd w:val="clear" w:color="auto" w:fill="auto"/>
                  <w:noWrap/>
                  <w:vAlign w:val="bottom"/>
                  <w:hideMark/>
                </w:tcPr>
                <w:p w14:paraId="05DFBBC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33407ED"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0AF30306" w14:textId="77777777" w:rsidTr="00F56356">
              <w:trPr>
                <w:trHeight w:val="480"/>
              </w:trPr>
              <w:tc>
                <w:tcPr>
                  <w:tcW w:w="340" w:type="dxa"/>
                  <w:tcBorders>
                    <w:top w:val="nil"/>
                    <w:left w:val="nil"/>
                    <w:bottom w:val="nil"/>
                    <w:right w:val="nil"/>
                  </w:tcBorders>
                  <w:shd w:val="clear" w:color="auto" w:fill="auto"/>
                  <w:noWrap/>
                  <w:vAlign w:val="bottom"/>
                  <w:hideMark/>
                </w:tcPr>
                <w:p w14:paraId="42A00DF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44796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E46E791" w14:textId="77777777" w:rsidTr="00F56356">
              <w:trPr>
                <w:trHeight w:val="900"/>
              </w:trPr>
              <w:tc>
                <w:tcPr>
                  <w:tcW w:w="340" w:type="dxa"/>
                  <w:tcBorders>
                    <w:top w:val="nil"/>
                    <w:left w:val="nil"/>
                    <w:bottom w:val="nil"/>
                    <w:right w:val="nil"/>
                  </w:tcBorders>
                  <w:shd w:val="clear" w:color="auto" w:fill="auto"/>
                  <w:noWrap/>
                  <w:vAlign w:val="center"/>
                  <w:hideMark/>
                </w:tcPr>
                <w:p w14:paraId="27C7A80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1865D9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AC0B75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Grado di Liquidazione delle richieste di pagamento pervenute al Dipartimento fino a trenta giorni prima della chiusura della contabilità dell'esercizio finanziario, nei limiti degli stanziamenti annuali di bilancio </w:t>
                  </w:r>
                </w:p>
              </w:tc>
            </w:tr>
            <w:tr w:rsidR="00F56356" w:rsidRPr="00F56356" w14:paraId="40CAD508" w14:textId="77777777" w:rsidTr="00F56356">
              <w:trPr>
                <w:trHeight w:val="372"/>
              </w:trPr>
              <w:tc>
                <w:tcPr>
                  <w:tcW w:w="340" w:type="dxa"/>
                  <w:tcBorders>
                    <w:top w:val="nil"/>
                    <w:left w:val="nil"/>
                    <w:bottom w:val="nil"/>
                    <w:right w:val="nil"/>
                  </w:tcBorders>
                  <w:shd w:val="clear" w:color="auto" w:fill="auto"/>
                  <w:noWrap/>
                  <w:vAlign w:val="center"/>
                  <w:hideMark/>
                </w:tcPr>
                <w:p w14:paraId="212E606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B35D24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AD176E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w:t>
                  </w:r>
                </w:p>
              </w:tc>
            </w:tr>
            <w:tr w:rsidR="00F56356" w:rsidRPr="00F56356" w14:paraId="21E29A6E" w14:textId="77777777" w:rsidTr="00F56356">
              <w:trPr>
                <w:trHeight w:val="2130"/>
              </w:trPr>
              <w:tc>
                <w:tcPr>
                  <w:tcW w:w="340" w:type="dxa"/>
                  <w:tcBorders>
                    <w:top w:val="nil"/>
                    <w:left w:val="nil"/>
                    <w:bottom w:val="nil"/>
                    <w:right w:val="nil"/>
                  </w:tcBorders>
                  <w:shd w:val="clear" w:color="auto" w:fill="auto"/>
                  <w:noWrap/>
                  <w:vAlign w:val="center"/>
                  <w:hideMark/>
                </w:tcPr>
                <w:p w14:paraId="405B635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CFE7C0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9E93C0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Numero di ordini di pagamento /Numero richieste di pagamento pervenute al Dipartimento fino a trenta giorni prima della chiusura della contabilità dell'esercizio finanziario, nei limiti degli stanziamenti di bilancio </w:t>
                  </w:r>
                </w:p>
              </w:tc>
              <w:tc>
                <w:tcPr>
                  <w:tcW w:w="1180" w:type="dxa"/>
                  <w:tcBorders>
                    <w:top w:val="nil"/>
                    <w:left w:val="nil"/>
                    <w:bottom w:val="single" w:sz="4" w:space="0" w:color="auto"/>
                    <w:right w:val="nil"/>
                  </w:tcBorders>
                  <w:shd w:val="clear" w:color="auto" w:fill="auto"/>
                  <w:vAlign w:val="center"/>
                  <w:hideMark/>
                </w:tcPr>
                <w:p w14:paraId="23B10C2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A2BD05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DE47ED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0079B40C" w14:textId="77777777" w:rsidTr="00F56356">
              <w:trPr>
                <w:trHeight w:val="394"/>
              </w:trPr>
              <w:tc>
                <w:tcPr>
                  <w:tcW w:w="340" w:type="dxa"/>
                  <w:tcBorders>
                    <w:top w:val="nil"/>
                    <w:left w:val="nil"/>
                    <w:bottom w:val="nil"/>
                    <w:right w:val="nil"/>
                  </w:tcBorders>
                  <w:shd w:val="clear" w:color="auto" w:fill="auto"/>
                  <w:noWrap/>
                  <w:vAlign w:val="bottom"/>
                  <w:hideMark/>
                </w:tcPr>
                <w:p w14:paraId="0D4B3AC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A1A2BA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094CD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4D6475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90</w:t>
                  </w:r>
                </w:p>
              </w:tc>
              <w:tc>
                <w:tcPr>
                  <w:tcW w:w="1340" w:type="dxa"/>
                  <w:tcBorders>
                    <w:top w:val="nil"/>
                    <w:left w:val="nil"/>
                    <w:bottom w:val="single" w:sz="4" w:space="0" w:color="auto"/>
                    <w:right w:val="nil"/>
                  </w:tcBorders>
                  <w:shd w:val="clear" w:color="auto" w:fill="auto"/>
                  <w:vAlign w:val="center"/>
                  <w:hideMark/>
                </w:tcPr>
                <w:p w14:paraId="5B7B060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9A23FE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w:t>
                  </w:r>
                </w:p>
              </w:tc>
            </w:tr>
          </w:tbl>
          <w:p w14:paraId="57FCD5E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r>
      <w:tr w:rsidR="00F56356" w:rsidRPr="00F56356" w14:paraId="0DC46548" w14:textId="77777777" w:rsidTr="00F56356">
        <w:trPr>
          <w:trHeight w:val="525"/>
        </w:trPr>
        <w:tc>
          <w:tcPr>
            <w:tcW w:w="9638" w:type="dxa"/>
            <w:tcBorders>
              <w:top w:val="nil"/>
              <w:left w:val="nil"/>
              <w:bottom w:val="nil"/>
              <w:right w:val="nil"/>
            </w:tcBorders>
            <w:shd w:val="clear" w:color="auto" w:fill="auto"/>
            <w:noWrap/>
            <w:vAlign w:val="bottom"/>
            <w:hideMark/>
          </w:tcPr>
          <w:p w14:paraId="2B1989B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r>
      <w:tr w:rsidR="00F56356" w:rsidRPr="00F56356" w14:paraId="4DD8CE21" w14:textId="77777777" w:rsidTr="00F56356">
        <w:trPr>
          <w:trHeight w:val="1305"/>
        </w:trPr>
        <w:tc>
          <w:tcPr>
            <w:tcW w:w="9638" w:type="dxa"/>
            <w:tcBorders>
              <w:top w:val="nil"/>
              <w:left w:val="nil"/>
              <w:bottom w:val="nil"/>
              <w:right w:val="nil"/>
            </w:tcBorders>
            <w:shd w:val="clear" w:color="auto" w:fill="auto"/>
            <w:noWrap/>
            <w:vAlign w:val="bottom"/>
            <w:hideMark/>
          </w:tcPr>
          <w:tbl>
            <w:tblPr>
              <w:tblW w:w="9493" w:type="dxa"/>
              <w:tblCellMar>
                <w:left w:w="70" w:type="dxa"/>
                <w:right w:w="70" w:type="dxa"/>
              </w:tblCellMar>
              <w:tblLook w:val="04A0" w:firstRow="1" w:lastRow="0" w:firstColumn="1" w:lastColumn="0" w:noHBand="0" w:noVBand="1"/>
            </w:tblPr>
            <w:tblGrid>
              <w:gridCol w:w="322"/>
              <w:gridCol w:w="2438"/>
              <w:gridCol w:w="605"/>
              <w:gridCol w:w="1224"/>
              <w:gridCol w:w="1219"/>
              <w:gridCol w:w="1351"/>
              <w:gridCol w:w="1130"/>
              <w:gridCol w:w="1211"/>
            </w:tblGrid>
            <w:tr w:rsidR="00F56356" w:rsidRPr="00F56356" w14:paraId="2BDE42DF" w14:textId="77777777" w:rsidTr="00F56356">
              <w:trPr>
                <w:trHeight w:val="510"/>
              </w:trPr>
              <w:tc>
                <w:tcPr>
                  <w:tcW w:w="322" w:type="dxa"/>
                  <w:tcBorders>
                    <w:top w:val="nil"/>
                    <w:left w:val="nil"/>
                    <w:bottom w:val="nil"/>
                    <w:right w:val="nil"/>
                  </w:tcBorders>
                  <w:shd w:val="clear" w:color="auto" w:fill="auto"/>
                  <w:noWrap/>
                  <w:vAlign w:val="bottom"/>
                  <w:hideMark/>
                </w:tcPr>
                <w:p w14:paraId="426E390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17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8F5C8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4E78B89" w14:textId="77777777" w:rsidTr="00F56356">
              <w:trPr>
                <w:trHeight w:val="690"/>
              </w:trPr>
              <w:tc>
                <w:tcPr>
                  <w:tcW w:w="322" w:type="dxa"/>
                  <w:tcBorders>
                    <w:top w:val="nil"/>
                    <w:left w:val="nil"/>
                    <w:bottom w:val="nil"/>
                    <w:right w:val="nil"/>
                  </w:tcBorders>
                  <w:shd w:val="clear" w:color="auto" w:fill="auto"/>
                  <w:noWrap/>
                  <w:vAlign w:val="center"/>
                  <w:hideMark/>
                </w:tcPr>
                <w:p w14:paraId="08B840F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1FA07F4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6B3E6CF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79298522" w14:textId="77777777" w:rsidTr="00F56356">
              <w:trPr>
                <w:trHeight w:val="470"/>
              </w:trPr>
              <w:tc>
                <w:tcPr>
                  <w:tcW w:w="322" w:type="dxa"/>
                  <w:tcBorders>
                    <w:top w:val="nil"/>
                    <w:left w:val="nil"/>
                    <w:bottom w:val="nil"/>
                    <w:right w:val="nil"/>
                  </w:tcBorders>
                  <w:shd w:val="clear" w:color="auto" w:fill="auto"/>
                  <w:noWrap/>
                  <w:vAlign w:val="center"/>
                  <w:hideMark/>
                </w:tcPr>
                <w:p w14:paraId="51E0E30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3B718E3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73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E694FD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10EEC5A3" w14:textId="77777777" w:rsidTr="00F56356">
              <w:trPr>
                <w:trHeight w:val="561"/>
              </w:trPr>
              <w:tc>
                <w:tcPr>
                  <w:tcW w:w="322" w:type="dxa"/>
                  <w:tcBorders>
                    <w:top w:val="nil"/>
                    <w:left w:val="nil"/>
                    <w:bottom w:val="nil"/>
                    <w:right w:val="nil"/>
                  </w:tcBorders>
                  <w:shd w:val="clear" w:color="auto" w:fill="auto"/>
                  <w:noWrap/>
                  <w:vAlign w:val="center"/>
                  <w:hideMark/>
                </w:tcPr>
                <w:p w14:paraId="48E55DD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224ED28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73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4EE9C4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62DC0834" w14:textId="77777777" w:rsidTr="00F56356">
              <w:trPr>
                <w:trHeight w:val="870"/>
              </w:trPr>
              <w:tc>
                <w:tcPr>
                  <w:tcW w:w="322" w:type="dxa"/>
                  <w:tcBorders>
                    <w:top w:val="nil"/>
                    <w:left w:val="nil"/>
                    <w:bottom w:val="nil"/>
                    <w:right w:val="nil"/>
                  </w:tcBorders>
                  <w:shd w:val="clear" w:color="auto" w:fill="auto"/>
                  <w:noWrap/>
                  <w:vAlign w:val="center"/>
                  <w:hideMark/>
                </w:tcPr>
                <w:p w14:paraId="3320B04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81707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7684E1E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Gestione delle procedure di liquidazione relative all'esecuzione di sentenze sfavorevoli conseguenti alle violazioni del diritto europeo e agli altri contenziosi di competenza del Dipartimento.</w:t>
                  </w:r>
                </w:p>
              </w:tc>
            </w:tr>
            <w:tr w:rsidR="00F56356" w:rsidRPr="00F56356" w14:paraId="4516DA97" w14:textId="77777777" w:rsidTr="00F56356">
              <w:trPr>
                <w:trHeight w:val="765"/>
              </w:trPr>
              <w:tc>
                <w:tcPr>
                  <w:tcW w:w="322" w:type="dxa"/>
                  <w:tcBorders>
                    <w:top w:val="nil"/>
                    <w:left w:val="nil"/>
                    <w:bottom w:val="nil"/>
                    <w:right w:val="nil"/>
                  </w:tcBorders>
                  <w:shd w:val="clear" w:color="auto" w:fill="auto"/>
                  <w:noWrap/>
                  <w:vAlign w:val="center"/>
                  <w:hideMark/>
                </w:tcPr>
                <w:p w14:paraId="2E339B4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CD85A8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6315597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Assicurare il mantenimento dell’efficienza del processo di liquidazione dei titoli giudiziari, nei limiti degli stanziamenti di bilancio. </w:t>
                  </w:r>
                </w:p>
              </w:tc>
            </w:tr>
            <w:tr w:rsidR="00F56356" w:rsidRPr="00F56356" w14:paraId="3EF978E7" w14:textId="77777777" w:rsidTr="00F56356">
              <w:trPr>
                <w:trHeight w:val="360"/>
              </w:trPr>
              <w:tc>
                <w:tcPr>
                  <w:tcW w:w="322" w:type="dxa"/>
                  <w:tcBorders>
                    <w:top w:val="nil"/>
                    <w:left w:val="nil"/>
                    <w:bottom w:val="nil"/>
                    <w:right w:val="nil"/>
                  </w:tcBorders>
                  <w:shd w:val="clear" w:color="auto" w:fill="auto"/>
                  <w:noWrap/>
                  <w:vAlign w:val="center"/>
                  <w:hideMark/>
                </w:tcPr>
                <w:p w14:paraId="18CCA5F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7E0745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7814547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D6FA281" w14:textId="77777777" w:rsidTr="00F56356">
              <w:trPr>
                <w:trHeight w:val="360"/>
              </w:trPr>
              <w:tc>
                <w:tcPr>
                  <w:tcW w:w="322" w:type="dxa"/>
                  <w:tcBorders>
                    <w:top w:val="nil"/>
                    <w:left w:val="nil"/>
                    <w:bottom w:val="nil"/>
                    <w:right w:val="nil"/>
                  </w:tcBorders>
                  <w:shd w:val="clear" w:color="auto" w:fill="auto"/>
                  <w:noWrap/>
                  <w:vAlign w:val="center"/>
                  <w:hideMark/>
                </w:tcPr>
                <w:p w14:paraId="03A012C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2EFC51F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20E1B1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174CFA6" w14:textId="77777777" w:rsidTr="00F56356">
              <w:trPr>
                <w:trHeight w:val="525"/>
              </w:trPr>
              <w:tc>
                <w:tcPr>
                  <w:tcW w:w="322" w:type="dxa"/>
                  <w:tcBorders>
                    <w:top w:val="nil"/>
                    <w:left w:val="nil"/>
                    <w:bottom w:val="nil"/>
                    <w:right w:val="nil"/>
                  </w:tcBorders>
                  <w:shd w:val="clear" w:color="auto" w:fill="auto"/>
                  <w:noWrap/>
                  <w:vAlign w:val="bottom"/>
                  <w:hideMark/>
                </w:tcPr>
                <w:p w14:paraId="0EB9E0D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vMerge w:val="restart"/>
                  <w:tcBorders>
                    <w:top w:val="nil"/>
                    <w:left w:val="single" w:sz="4" w:space="0" w:color="auto"/>
                    <w:bottom w:val="single" w:sz="4" w:space="0" w:color="000000"/>
                    <w:right w:val="single" w:sz="4" w:space="0" w:color="auto"/>
                  </w:tcBorders>
                  <w:shd w:val="clear" w:color="auto" w:fill="auto"/>
                  <w:vAlign w:val="center"/>
                  <w:hideMark/>
                </w:tcPr>
                <w:p w14:paraId="0BF377D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14:paraId="164A385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 </w:t>
                  </w:r>
                </w:p>
                <w:p w14:paraId="38615B3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173</w:t>
                  </w:r>
                </w:p>
              </w:tc>
              <w:tc>
                <w:tcPr>
                  <w:tcW w:w="24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F6455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CF296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270C92F0" w14:textId="77777777" w:rsidTr="00F56356">
              <w:trPr>
                <w:trHeight w:val="1305"/>
              </w:trPr>
              <w:tc>
                <w:tcPr>
                  <w:tcW w:w="322" w:type="dxa"/>
                  <w:tcBorders>
                    <w:top w:val="nil"/>
                    <w:left w:val="nil"/>
                    <w:bottom w:val="nil"/>
                    <w:right w:val="nil"/>
                  </w:tcBorders>
                  <w:shd w:val="clear" w:color="auto" w:fill="auto"/>
                  <w:noWrap/>
                  <w:vAlign w:val="bottom"/>
                  <w:hideMark/>
                </w:tcPr>
                <w:p w14:paraId="294F151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438" w:type="dxa"/>
                  <w:vMerge/>
                  <w:tcBorders>
                    <w:top w:val="nil"/>
                    <w:left w:val="single" w:sz="4" w:space="0" w:color="auto"/>
                    <w:bottom w:val="single" w:sz="4" w:space="0" w:color="000000"/>
                    <w:right w:val="single" w:sz="4" w:space="0" w:color="auto"/>
                  </w:tcBorders>
                  <w:vAlign w:val="center"/>
                  <w:hideMark/>
                </w:tcPr>
                <w:p w14:paraId="59E8912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605" w:type="dxa"/>
                  <w:vMerge/>
                  <w:tcBorders>
                    <w:top w:val="nil"/>
                    <w:left w:val="single" w:sz="4" w:space="0" w:color="auto"/>
                    <w:bottom w:val="single" w:sz="4" w:space="0" w:color="000000"/>
                    <w:right w:val="single" w:sz="4" w:space="0" w:color="auto"/>
                  </w:tcBorders>
                  <w:vAlign w:val="center"/>
                  <w:hideMark/>
                </w:tcPr>
                <w:p w14:paraId="4A1687A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24" w:type="dxa"/>
                  <w:tcBorders>
                    <w:top w:val="nil"/>
                    <w:left w:val="nil"/>
                    <w:bottom w:val="single" w:sz="4" w:space="0" w:color="auto"/>
                    <w:right w:val="single" w:sz="4" w:space="0" w:color="auto"/>
                  </w:tcBorders>
                  <w:shd w:val="clear" w:color="auto" w:fill="auto"/>
                  <w:vAlign w:val="center"/>
                  <w:hideMark/>
                </w:tcPr>
                <w:p w14:paraId="5D5EC16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219" w:type="dxa"/>
                  <w:tcBorders>
                    <w:top w:val="nil"/>
                    <w:left w:val="nil"/>
                    <w:bottom w:val="single" w:sz="4" w:space="0" w:color="auto"/>
                    <w:right w:val="single" w:sz="4" w:space="0" w:color="auto"/>
                  </w:tcBorders>
                  <w:shd w:val="clear" w:color="auto" w:fill="auto"/>
                  <w:vAlign w:val="center"/>
                  <w:hideMark/>
                </w:tcPr>
                <w:p w14:paraId="172E349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351" w:type="dxa"/>
                  <w:tcBorders>
                    <w:top w:val="nil"/>
                    <w:left w:val="nil"/>
                    <w:bottom w:val="single" w:sz="4" w:space="0" w:color="auto"/>
                    <w:right w:val="single" w:sz="4" w:space="0" w:color="auto"/>
                  </w:tcBorders>
                  <w:shd w:val="clear" w:color="auto" w:fill="auto"/>
                  <w:vAlign w:val="center"/>
                  <w:hideMark/>
                </w:tcPr>
                <w:p w14:paraId="62A3F96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123" w:type="dxa"/>
                  <w:tcBorders>
                    <w:top w:val="nil"/>
                    <w:left w:val="nil"/>
                    <w:bottom w:val="single" w:sz="4" w:space="0" w:color="auto"/>
                    <w:right w:val="single" w:sz="4" w:space="0" w:color="auto"/>
                  </w:tcBorders>
                  <w:shd w:val="clear" w:color="auto" w:fill="auto"/>
                  <w:vAlign w:val="center"/>
                  <w:hideMark/>
                </w:tcPr>
                <w:p w14:paraId="47A3532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211" w:type="dxa"/>
                  <w:tcBorders>
                    <w:top w:val="nil"/>
                    <w:left w:val="nil"/>
                    <w:bottom w:val="single" w:sz="4" w:space="0" w:color="auto"/>
                    <w:right w:val="single" w:sz="4" w:space="0" w:color="auto"/>
                  </w:tcBorders>
                  <w:shd w:val="clear" w:color="auto" w:fill="auto"/>
                  <w:vAlign w:val="center"/>
                  <w:hideMark/>
                </w:tcPr>
                <w:p w14:paraId="5FBB147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704C24B" w14:textId="77777777" w:rsidTr="00F56356">
              <w:trPr>
                <w:trHeight w:val="560"/>
              </w:trPr>
              <w:tc>
                <w:tcPr>
                  <w:tcW w:w="322" w:type="dxa"/>
                  <w:tcBorders>
                    <w:top w:val="nil"/>
                    <w:left w:val="nil"/>
                    <w:bottom w:val="nil"/>
                    <w:right w:val="nil"/>
                  </w:tcBorders>
                  <w:shd w:val="clear" w:color="auto" w:fill="auto"/>
                  <w:noWrap/>
                  <w:vAlign w:val="bottom"/>
                  <w:hideMark/>
                </w:tcPr>
                <w:p w14:paraId="286DD12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38" w:type="dxa"/>
                  <w:vMerge/>
                  <w:tcBorders>
                    <w:top w:val="nil"/>
                    <w:left w:val="single" w:sz="4" w:space="0" w:color="auto"/>
                    <w:bottom w:val="single" w:sz="4" w:space="0" w:color="000000"/>
                    <w:right w:val="single" w:sz="4" w:space="0" w:color="auto"/>
                  </w:tcBorders>
                  <w:vAlign w:val="center"/>
                  <w:hideMark/>
                </w:tcPr>
                <w:p w14:paraId="17FCFE4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605" w:type="dxa"/>
                  <w:vMerge/>
                  <w:tcBorders>
                    <w:top w:val="nil"/>
                    <w:left w:val="single" w:sz="4" w:space="0" w:color="auto"/>
                    <w:bottom w:val="single" w:sz="4" w:space="0" w:color="000000"/>
                    <w:right w:val="single" w:sz="4" w:space="0" w:color="auto"/>
                  </w:tcBorders>
                  <w:vAlign w:val="center"/>
                  <w:hideMark/>
                </w:tcPr>
                <w:p w14:paraId="5FB416C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24" w:type="dxa"/>
                  <w:tcBorders>
                    <w:top w:val="nil"/>
                    <w:left w:val="nil"/>
                    <w:bottom w:val="single" w:sz="4" w:space="0" w:color="auto"/>
                    <w:right w:val="single" w:sz="4" w:space="0" w:color="auto"/>
                  </w:tcBorders>
                  <w:shd w:val="clear" w:color="auto" w:fill="auto"/>
                  <w:noWrap/>
                  <w:vAlign w:val="center"/>
                  <w:hideMark/>
                </w:tcPr>
                <w:p w14:paraId="1ADB9FF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80.000.000,00</w:t>
                  </w:r>
                </w:p>
              </w:tc>
              <w:tc>
                <w:tcPr>
                  <w:tcW w:w="1219" w:type="dxa"/>
                  <w:tcBorders>
                    <w:top w:val="nil"/>
                    <w:left w:val="nil"/>
                    <w:bottom w:val="single" w:sz="4" w:space="0" w:color="auto"/>
                    <w:right w:val="single" w:sz="4" w:space="0" w:color="auto"/>
                  </w:tcBorders>
                  <w:shd w:val="clear" w:color="auto" w:fill="auto"/>
                  <w:noWrap/>
                  <w:vAlign w:val="center"/>
                  <w:hideMark/>
                </w:tcPr>
                <w:p w14:paraId="7694E3B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80.000.000,00</w:t>
                  </w:r>
                </w:p>
              </w:tc>
              <w:tc>
                <w:tcPr>
                  <w:tcW w:w="1351" w:type="dxa"/>
                  <w:tcBorders>
                    <w:top w:val="nil"/>
                    <w:left w:val="nil"/>
                    <w:bottom w:val="single" w:sz="4" w:space="0" w:color="auto"/>
                    <w:right w:val="single" w:sz="4" w:space="0" w:color="auto"/>
                  </w:tcBorders>
                  <w:shd w:val="clear" w:color="auto" w:fill="auto"/>
                  <w:noWrap/>
                  <w:vAlign w:val="center"/>
                  <w:hideMark/>
                </w:tcPr>
                <w:p w14:paraId="48F05ED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59.584.615,42</w:t>
                  </w:r>
                </w:p>
              </w:tc>
              <w:tc>
                <w:tcPr>
                  <w:tcW w:w="1123" w:type="dxa"/>
                  <w:tcBorders>
                    <w:top w:val="nil"/>
                    <w:left w:val="nil"/>
                    <w:bottom w:val="single" w:sz="4" w:space="0" w:color="auto"/>
                    <w:right w:val="single" w:sz="4" w:space="0" w:color="auto"/>
                  </w:tcBorders>
                  <w:shd w:val="clear" w:color="auto" w:fill="auto"/>
                  <w:noWrap/>
                  <w:vAlign w:val="center"/>
                  <w:hideMark/>
                </w:tcPr>
                <w:p w14:paraId="487307B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211" w:type="dxa"/>
                  <w:tcBorders>
                    <w:top w:val="nil"/>
                    <w:left w:val="nil"/>
                    <w:bottom w:val="single" w:sz="4" w:space="0" w:color="auto"/>
                    <w:right w:val="single" w:sz="4" w:space="0" w:color="auto"/>
                  </w:tcBorders>
                  <w:shd w:val="clear" w:color="auto" w:fill="auto"/>
                  <w:noWrap/>
                  <w:vAlign w:val="center"/>
                  <w:hideMark/>
                </w:tcPr>
                <w:p w14:paraId="7FFAE3D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59.584.615,42</w:t>
                  </w:r>
                </w:p>
              </w:tc>
            </w:tr>
            <w:tr w:rsidR="00F56356" w:rsidRPr="00F56356" w14:paraId="1F0BF4C1" w14:textId="77777777" w:rsidTr="00F56356">
              <w:trPr>
                <w:trHeight w:val="330"/>
              </w:trPr>
              <w:tc>
                <w:tcPr>
                  <w:tcW w:w="322" w:type="dxa"/>
                  <w:tcBorders>
                    <w:top w:val="nil"/>
                    <w:left w:val="nil"/>
                    <w:bottom w:val="nil"/>
                    <w:right w:val="nil"/>
                  </w:tcBorders>
                  <w:shd w:val="clear" w:color="auto" w:fill="auto"/>
                  <w:noWrap/>
                  <w:vAlign w:val="bottom"/>
                  <w:hideMark/>
                </w:tcPr>
                <w:p w14:paraId="6C9EA0D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438" w:type="dxa"/>
                  <w:tcBorders>
                    <w:top w:val="nil"/>
                    <w:left w:val="single" w:sz="4" w:space="0" w:color="auto"/>
                    <w:bottom w:val="nil"/>
                    <w:right w:val="nil"/>
                  </w:tcBorders>
                  <w:shd w:val="clear" w:color="auto" w:fill="auto"/>
                  <w:noWrap/>
                  <w:vAlign w:val="center"/>
                  <w:hideMark/>
                </w:tcPr>
                <w:p w14:paraId="1C8C6F8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605" w:type="dxa"/>
                  <w:tcBorders>
                    <w:top w:val="nil"/>
                    <w:left w:val="nil"/>
                    <w:bottom w:val="nil"/>
                    <w:right w:val="nil"/>
                  </w:tcBorders>
                  <w:shd w:val="clear" w:color="auto" w:fill="auto"/>
                  <w:noWrap/>
                  <w:vAlign w:val="bottom"/>
                  <w:hideMark/>
                </w:tcPr>
                <w:p w14:paraId="529E923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24" w:type="dxa"/>
                  <w:tcBorders>
                    <w:top w:val="nil"/>
                    <w:left w:val="nil"/>
                    <w:bottom w:val="nil"/>
                    <w:right w:val="nil"/>
                  </w:tcBorders>
                  <w:shd w:val="clear" w:color="auto" w:fill="auto"/>
                  <w:noWrap/>
                  <w:vAlign w:val="bottom"/>
                  <w:hideMark/>
                </w:tcPr>
                <w:p w14:paraId="285B0B9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19" w:type="dxa"/>
                  <w:tcBorders>
                    <w:top w:val="nil"/>
                    <w:left w:val="nil"/>
                    <w:bottom w:val="nil"/>
                    <w:right w:val="nil"/>
                  </w:tcBorders>
                  <w:shd w:val="clear" w:color="auto" w:fill="auto"/>
                  <w:noWrap/>
                  <w:vAlign w:val="bottom"/>
                  <w:hideMark/>
                </w:tcPr>
                <w:p w14:paraId="47D9472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51" w:type="dxa"/>
                  <w:tcBorders>
                    <w:top w:val="nil"/>
                    <w:left w:val="nil"/>
                    <w:bottom w:val="nil"/>
                    <w:right w:val="nil"/>
                  </w:tcBorders>
                  <w:shd w:val="clear" w:color="auto" w:fill="auto"/>
                  <w:noWrap/>
                  <w:vAlign w:val="bottom"/>
                  <w:hideMark/>
                </w:tcPr>
                <w:p w14:paraId="758B50B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3" w:type="dxa"/>
                  <w:tcBorders>
                    <w:top w:val="nil"/>
                    <w:left w:val="nil"/>
                    <w:bottom w:val="nil"/>
                    <w:right w:val="nil"/>
                  </w:tcBorders>
                  <w:shd w:val="clear" w:color="auto" w:fill="auto"/>
                  <w:noWrap/>
                  <w:vAlign w:val="bottom"/>
                  <w:hideMark/>
                </w:tcPr>
                <w:p w14:paraId="7CA4B3D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11" w:type="dxa"/>
                  <w:tcBorders>
                    <w:top w:val="nil"/>
                    <w:left w:val="nil"/>
                    <w:bottom w:val="nil"/>
                    <w:right w:val="single" w:sz="4" w:space="0" w:color="auto"/>
                  </w:tcBorders>
                  <w:shd w:val="clear" w:color="auto" w:fill="auto"/>
                  <w:noWrap/>
                  <w:vAlign w:val="bottom"/>
                  <w:hideMark/>
                </w:tcPr>
                <w:p w14:paraId="5593B82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B1369BA" w14:textId="77777777" w:rsidTr="00F56356">
              <w:trPr>
                <w:trHeight w:val="540"/>
              </w:trPr>
              <w:tc>
                <w:tcPr>
                  <w:tcW w:w="322" w:type="dxa"/>
                  <w:tcBorders>
                    <w:top w:val="nil"/>
                    <w:left w:val="nil"/>
                    <w:bottom w:val="nil"/>
                    <w:right w:val="nil"/>
                  </w:tcBorders>
                  <w:shd w:val="clear" w:color="auto" w:fill="auto"/>
                  <w:noWrap/>
                  <w:vAlign w:val="bottom"/>
                  <w:hideMark/>
                </w:tcPr>
                <w:p w14:paraId="28B9420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71" w:type="dxa"/>
                  <w:gridSpan w:val="7"/>
                  <w:tcBorders>
                    <w:top w:val="nil"/>
                    <w:left w:val="single" w:sz="4" w:space="0" w:color="auto"/>
                    <w:bottom w:val="nil"/>
                    <w:right w:val="single" w:sz="4" w:space="0" w:color="000000"/>
                  </w:tcBorders>
                  <w:shd w:val="clear" w:color="auto" w:fill="auto"/>
                  <w:vAlign w:val="center"/>
                  <w:hideMark/>
                </w:tcPr>
                <w:p w14:paraId="66266C3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75C3CEA1" w14:textId="77777777" w:rsidTr="00F56356">
              <w:trPr>
                <w:trHeight w:val="345"/>
              </w:trPr>
              <w:tc>
                <w:tcPr>
                  <w:tcW w:w="322" w:type="dxa"/>
                  <w:tcBorders>
                    <w:top w:val="nil"/>
                    <w:left w:val="nil"/>
                    <w:bottom w:val="nil"/>
                    <w:right w:val="nil"/>
                  </w:tcBorders>
                  <w:shd w:val="clear" w:color="auto" w:fill="auto"/>
                  <w:noWrap/>
                  <w:vAlign w:val="bottom"/>
                  <w:hideMark/>
                </w:tcPr>
                <w:p w14:paraId="62CBF14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71" w:type="dxa"/>
                  <w:gridSpan w:val="7"/>
                  <w:tcBorders>
                    <w:top w:val="nil"/>
                    <w:left w:val="single" w:sz="4" w:space="0" w:color="auto"/>
                    <w:bottom w:val="nil"/>
                    <w:right w:val="single" w:sz="4" w:space="0" w:color="000000"/>
                  </w:tcBorders>
                  <w:shd w:val="clear" w:color="auto" w:fill="auto"/>
                  <w:vAlign w:val="center"/>
                  <w:hideMark/>
                </w:tcPr>
                <w:p w14:paraId="44F4934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2B198BF3" w14:textId="77777777" w:rsidTr="00F56356">
              <w:trPr>
                <w:trHeight w:val="345"/>
              </w:trPr>
              <w:tc>
                <w:tcPr>
                  <w:tcW w:w="322" w:type="dxa"/>
                  <w:tcBorders>
                    <w:top w:val="nil"/>
                    <w:left w:val="nil"/>
                    <w:bottom w:val="nil"/>
                    <w:right w:val="nil"/>
                  </w:tcBorders>
                  <w:shd w:val="clear" w:color="auto" w:fill="auto"/>
                  <w:noWrap/>
                  <w:vAlign w:val="bottom"/>
                  <w:hideMark/>
                </w:tcPr>
                <w:p w14:paraId="73DAF8A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71" w:type="dxa"/>
                  <w:gridSpan w:val="7"/>
                  <w:tcBorders>
                    <w:top w:val="nil"/>
                    <w:left w:val="single" w:sz="4" w:space="0" w:color="auto"/>
                    <w:bottom w:val="single" w:sz="4" w:space="0" w:color="auto"/>
                    <w:right w:val="single" w:sz="4" w:space="0" w:color="000000"/>
                  </w:tcBorders>
                  <w:shd w:val="clear" w:color="auto" w:fill="auto"/>
                  <w:vAlign w:val="center"/>
                  <w:hideMark/>
                </w:tcPr>
                <w:p w14:paraId="328172B0"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6DDA4601" w14:textId="77777777" w:rsidTr="00F56356">
              <w:trPr>
                <w:trHeight w:val="480"/>
              </w:trPr>
              <w:tc>
                <w:tcPr>
                  <w:tcW w:w="322" w:type="dxa"/>
                  <w:tcBorders>
                    <w:top w:val="nil"/>
                    <w:left w:val="nil"/>
                    <w:bottom w:val="nil"/>
                    <w:right w:val="nil"/>
                  </w:tcBorders>
                  <w:shd w:val="clear" w:color="auto" w:fill="auto"/>
                  <w:noWrap/>
                  <w:vAlign w:val="bottom"/>
                  <w:hideMark/>
                </w:tcPr>
                <w:p w14:paraId="0E1AC418"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17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185E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3FE2A213" w14:textId="77777777" w:rsidTr="00F56356">
              <w:trPr>
                <w:trHeight w:val="1395"/>
              </w:trPr>
              <w:tc>
                <w:tcPr>
                  <w:tcW w:w="322" w:type="dxa"/>
                  <w:tcBorders>
                    <w:top w:val="nil"/>
                    <w:left w:val="nil"/>
                    <w:bottom w:val="nil"/>
                    <w:right w:val="nil"/>
                  </w:tcBorders>
                  <w:shd w:val="clear" w:color="auto" w:fill="auto"/>
                  <w:noWrap/>
                  <w:vAlign w:val="center"/>
                  <w:hideMark/>
                </w:tcPr>
                <w:p w14:paraId="69BC8DD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1999C1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7D04E56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Grado di liquidazione, nei limiti degli stanziamenti annuali di bilancio, in favore delle parti vittoriose nelle sentenze di condanna della Presidenza del Consiglio dei Ministri, conseguenti alle violazioni del diritto europeo e agli altri contenziosi di competenza del Dipartimento, notificate in forma esecutiva fino a centoventi giorni prima della chiusura della contabilità dell'esercizio finanziario </w:t>
                  </w:r>
                </w:p>
              </w:tc>
            </w:tr>
            <w:tr w:rsidR="00F56356" w:rsidRPr="00F56356" w14:paraId="5087A0CE" w14:textId="77777777" w:rsidTr="00F56356">
              <w:trPr>
                <w:trHeight w:val="348"/>
              </w:trPr>
              <w:tc>
                <w:tcPr>
                  <w:tcW w:w="322" w:type="dxa"/>
                  <w:tcBorders>
                    <w:top w:val="nil"/>
                    <w:left w:val="nil"/>
                    <w:bottom w:val="nil"/>
                    <w:right w:val="nil"/>
                  </w:tcBorders>
                  <w:shd w:val="clear" w:color="auto" w:fill="auto"/>
                  <w:noWrap/>
                  <w:vAlign w:val="center"/>
                  <w:hideMark/>
                </w:tcPr>
                <w:p w14:paraId="747094A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1E04D8F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733" w:type="dxa"/>
                  <w:gridSpan w:val="6"/>
                  <w:tcBorders>
                    <w:top w:val="single" w:sz="4" w:space="0" w:color="auto"/>
                    <w:left w:val="nil"/>
                    <w:bottom w:val="single" w:sz="4" w:space="0" w:color="auto"/>
                    <w:right w:val="single" w:sz="4" w:space="0" w:color="000000"/>
                  </w:tcBorders>
                  <w:shd w:val="clear" w:color="auto" w:fill="auto"/>
                  <w:vAlign w:val="center"/>
                  <w:hideMark/>
                </w:tcPr>
                <w:p w14:paraId="3B052C7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w:t>
                  </w:r>
                </w:p>
              </w:tc>
            </w:tr>
            <w:tr w:rsidR="00F56356" w:rsidRPr="00F56356" w14:paraId="6F050D32" w14:textId="77777777" w:rsidTr="00F56356">
              <w:trPr>
                <w:trHeight w:val="2505"/>
              </w:trPr>
              <w:tc>
                <w:tcPr>
                  <w:tcW w:w="322" w:type="dxa"/>
                  <w:tcBorders>
                    <w:top w:val="nil"/>
                    <w:left w:val="nil"/>
                    <w:bottom w:val="nil"/>
                    <w:right w:val="nil"/>
                  </w:tcBorders>
                  <w:shd w:val="clear" w:color="auto" w:fill="auto"/>
                  <w:noWrap/>
                  <w:vAlign w:val="center"/>
                  <w:hideMark/>
                </w:tcPr>
                <w:p w14:paraId="7E30D4E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32657CF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048" w:type="dxa"/>
                  <w:gridSpan w:val="3"/>
                  <w:tcBorders>
                    <w:top w:val="single" w:sz="4" w:space="0" w:color="auto"/>
                    <w:left w:val="nil"/>
                    <w:bottom w:val="single" w:sz="4" w:space="0" w:color="auto"/>
                    <w:right w:val="single" w:sz="4" w:space="0" w:color="000000"/>
                  </w:tcBorders>
                  <w:shd w:val="clear" w:color="auto" w:fill="auto"/>
                  <w:vAlign w:val="center"/>
                  <w:hideMark/>
                </w:tcPr>
                <w:p w14:paraId="7A78B72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Numero delle sentenze sfavorevoli liquidate/numero sentenze da liquidare, nei limiti degli stanziamenti di bilancio. Sono ricompresi nelle sentenze da liquidare i titoli notificati in forma esecutiva fino a centoventi giorni prima della data di chiusura della contabilità dell’esercizio finanziario.  </w:t>
                  </w:r>
                </w:p>
              </w:tc>
              <w:tc>
                <w:tcPr>
                  <w:tcW w:w="1351" w:type="dxa"/>
                  <w:tcBorders>
                    <w:top w:val="nil"/>
                    <w:left w:val="nil"/>
                    <w:bottom w:val="single" w:sz="4" w:space="0" w:color="auto"/>
                    <w:right w:val="nil"/>
                  </w:tcBorders>
                  <w:shd w:val="clear" w:color="auto" w:fill="auto"/>
                  <w:vAlign w:val="center"/>
                  <w:hideMark/>
                </w:tcPr>
                <w:p w14:paraId="0417F4D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23" w:type="dxa"/>
                  <w:tcBorders>
                    <w:top w:val="nil"/>
                    <w:left w:val="single" w:sz="4" w:space="0" w:color="auto"/>
                    <w:bottom w:val="single" w:sz="4" w:space="0" w:color="auto"/>
                    <w:right w:val="nil"/>
                  </w:tcBorders>
                  <w:shd w:val="clear" w:color="auto" w:fill="auto"/>
                  <w:vAlign w:val="center"/>
                  <w:hideMark/>
                </w:tcPr>
                <w:p w14:paraId="2618BEA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11" w:type="dxa"/>
                  <w:tcBorders>
                    <w:top w:val="nil"/>
                    <w:left w:val="single" w:sz="4" w:space="0" w:color="auto"/>
                    <w:bottom w:val="single" w:sz="4" w:space="0" w:color="auto"/>
                    <w:right w:val="single" w:sz="4" w:space="0" w:color="auto"/>
                  </w:tcBorders>
                  <w:shd w:val="clear" w:color="auto" w:fill="auto"/>
                  <w:vAlign w:val="center"/>
                  <w:hideMark/>
                </w:tcPr>
                <w:p w14:paraId="1E56479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CB582FC" w14:textId="77777777" w:rsidTr="00F56356">
              <w:trPr>
                <w:trHeight w:val="306"/>
              </w:trPr>
              <w:tc>
                <w:tcPr>
                  <w:tcW w:w="322" w:type="dxa"/>
                  <w:tcBorders>
                    <w:top w:val="nil"/>
                    <w:left w:val="nil"/>
                    <w:bottom w:val="nil"/>
                    <w:right w:val="nil"/>
                  </w:tcBorders>
                  <w:shd w:val="clear" w:color="auto" w:fill="auto"/>
                  <w:noWrap/>
                  <w:vAlign w:val="bottom"/>
                  <w:hideMark/>
                </w:tcPr>
                <w:p w14:paraId="2FD830D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38" w:type="dxa"/>
                  <w:tcBorders>
                    <w:top w:val="nil"/>
                    <w:left w:val="single" w:sz="4" w:space="0" w:color="auto"/>
                    <w:bottom w:val="single" w:sz="4" w:space="0" w:color="auto"/>
                    <w:right w:val="single" w:sz="4" w:space="0" w:color="auto"/>
                  </w:tcBorders>
                  <w:shd w:val="clear" w:color="auto" w:fill="auto"/>
                  <w:vAlign w:val="center"/>
                  <w:hideMark/>
                </w:tcPr>
                <w:p w14:paraId="13D6CE1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04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AC6F3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351" w:type="dxa"/>
                  <w:tcBorders>
                    <w:top w:val="nil"/>
                    <w:left w:val="nil"/>
                    <w:bottom w:val="single" w:sz="4" w:space="0" w:color="auto"/>
                    <w:right w:val="single" w:sz="4" w:space="0" w:color="auto"/>
                  </w:tcBorders>
                  <w:shd w:val="clear" w:color="auto" w:fill="auto"/>
                  <w:noWrap/>
                  <w:vAlign w:val="center"/>
                  <w:hideMark/>
                </w:tcPr>
                <w:p w14:paraId="1C327EC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123" w:type="dxa"/>
                  <w:tcBorders>
                    <w:top w:val="nil"/>
                    <w:left w:val="nil"/>
                    <w:bottom w:val="single" w:sz="4" w:space="0" w:color="auto"/>
                    <w:right w:val="nil"/>
                  </w:tcBorders>
                  <w:shd w:val="clear" w:color="auto" w:fill="auto"/>
                  <w:vAlign w:val="center"/>
                  <w:hideMark/>
                </w:tcPr>
                <w:p w14:paraId="5837235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211" w:type="dxa"/>
                  <w:tcBorders>
                    <w:top w:val="nil"/>
                    <w:left w:val="single" w:sz="4" w:space="0" w:color="auto"/>
                    <w:bottom w:val="single" w:sz="4" w:space="0" w:color="auto"/>
                    <w:right w:val="single" w:sz="4" w:space="0" w:color="auto"/>
                  </w:tcBorders>
                  <w:shd w:val="clear" w:color="000000" w:fill="FFFFFF"/>
                  <w:vAlign w:val="center"/>
                  <w:hideMark/>
                </w:tcPr>
                <w:p w14:paraId="5653822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r>
          </w:tbl>
          <w:p w14:paraId="3A6EF5C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r>
      <w:tr w:rsidR="00F56356" w:rsidRPr="00F56356" w14:paraId="783CFADB" w14:textId="77777777" w:rsidTr="00F56356">
        <w:trPr>
          <w:trHeight w:val="200"/>
        </w:trPr>
        <w:tc>
          <w:tcPr>
            <w:tcW w:w="9638" w:type="dxa"/>
            <w:tcBorders>
              <w:top w:val="nil"/>
              <w:left w:val="nil"/>
              <w:bottom w:val="nil"/>
              <w:right w:val="nil"/>
            </w:tcBorders>
            <w:shd w:val="clear" w:color="auto" w:fill="auto"/>
            <w:noWrap/>
            <w:vAlign w:val="bottom"/>
            <w:hideMark/>
          </w:tcPr>
          <w:p w14:paraId="1168B03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r>
      <w:tr w:rsidR="00F56356" w:rsidRPr="00F56356" w14:paraId="0C9DCB12" w14:textId="77777777" w:rsidTr="00F56356">
        <w:trPr>
          <w:trHeight w:val="345"/>
        </w:trPr>
        <w:tc>
          <w:tcPr>
            <w:tcW w:w="9638" w:type="dxa"/>
            <w:tcBorders>
              <w:top w:val="nil"/>
              <w:left w:val="nil"/>
              <w:bottom w:val="nil"/>
              <w:right w:val="nil"/>
            </w:tcBorders>
            <w:shd w:val="clear" w:color="auto" w:fill="auto"/>
            <w:noWrap/>
            <w:vAlign w:val="bottom"/>
            <w:hideMark/>
          </w:tcPr>
          <w:p w14:paraId="6140777B" w14:textId="77777777" w:rsidR="00B162D3" w:rsidRDefault="00B162D3" w:rsidP="00F56356">
            <w:pPr>
              <w:autoSpaceDE w:val="0"/>
              <w:autoSpaceDN w:val="0"/>
              <w:adjustRightInd w:val="0"/>
              <w:spacing w:after="0" w:line="360" w:lineRule="auto"/>
              <w:ind w:left="284"/>
              <w:jc w:val="both"/>
              <w:rPr>
                <w:rFonts w:ascii="Times New Roman" w:eastAsiaTheme="minorEastAsia" w:hAnsi="Times New Roman"/>
                <w:b/>
                <w:color w:val="000000" w:themeColor="text1"/>
                <w:sz w:val="24"/>
                <w:szCs w:val="24"/>
                <w:u w:val="single"/>
                <w:lang w:eastAsia="it-IT"/>
              </w:rPr>
            </w:pPr>
          </w:p>
          <w:p w14:paraId="56708B55" w14:textId="447540B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b/>
                <w:color w:val="000000" w:themeColor="text1"/>
                <w:sz w:val="24"/>
                <w:szCs w:val="24"/>
                <w:u w:val="single"/>
                <w:lang w:eastAsia="it-IT"/>
              </w:rPr>
            </w:pPr>
            <w:r w:rsidRPr="00F56356">
              <w:rPr>
                <w:rFonts w:ascii="Times New Roman" w:eastAsiaTheme="minorEastAsia" w:hAnsi="Times New Roman"/>
                <w:b/>
                <w:color w:val="000000" w:themeColor="text1"/>
                <w:sz w:val="24"/>
                <w:szCs w:val="24"/>
                <w:u w:val="single"/>
                <w:lang w:eastAsia="it-IT"/>
              </w:rPr>
              <w:lastRenderedPageBreak/>
              <w:t>Dipartimento per il personale</w:t>
            </w:r>
          </w:p>
          <w:p w14:paraId="369E2BBF"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i/>
                <w:color w:val="FF0000"/>
                <w:sz w:val="10"/>
                <w:szCs w:val="24"/>
                <w:lang w:eastAsia="it-IT"/>
              </w:rPr>
            </w:pPr>
          </w:p>
          <w:p w14:paraId="6D011F7E"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i/>
                <w:color w:val="000000" w:themeColor="text1"/>
                <w:sz w:val="24"/>
                <w:szCs w:val="24"/>
                <w:lang w:eastAsia="it-IT"/>
              </w:rPr>
            </w:pPr>
            <w:r w:rsidRPr="00F56356">
              <w:rPr>
                <w:rFonts w:ascii="Times New Roman" w:eastAsiaTheme="minorEastAsia" w:hAnsi="Times New Roman" w:cs="Times New Roman"/>
                <w:b/>
                <w:bCs/>
                <w:color w:val="000000" w:themeColor="text1"/>
                <w:sz w:val="24"/>
                <w:szCs w:val="24"/>
                <w:lang w:eastAsia="it-IT"/>
              </w:rPr>
              <w:t>1</w:t>
            </w:r>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b/>
                <w:i/>
                <w:color w:val="000000" w:themeColor="text1"/>
                <w:sz w:val="24"/>
                <w:szCs w:val="24"/>
                <w:lang w:eastAsia="it-IT"/>
              </w:rPr>
              <w:t>Mission</w:t>
            </w:r>
          </w:p>
          <w:p w14:paraId="5F220E32"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Dipartimento per il personale provvede alla gestione giuridica ed economica del personale, alla promozione e sviluppo professionale dello stesso; alla programmazione dei fabbisogni di personale, anche dirigenziale; alla formazione del personale della Presidenza del Consiglio dei ministri e ai rapporti con la Scuola nazionale dell’amministrazione; all’istruttoria per il conferimento degli incarichi dirigenziali; alla fornitura di servizi e alla stipula di convenzioni e accordi di interesse per il personale; alla gestione del contenzioso del lavoro, assumendo direttamente la difesa dell’Amministrazione in sede di conciliazione e nei giudizi del lavoro di primo grado. Cura le relazioni sindacali e i rapporti con l’ARAN; l’istruttoria dei procedimenti disciplinari e in materia di mobbing, l’organizzazione e la gestione di eventi e convegni di interesse per il personale della Presidenza e assicura i servizi di anticamera nelle sedi di Governo, eccetto nella sede di Palazzo Chigi e in quelle in uso al Dipartimento della funzione pubblica. Coordina, altresì, le attività di rilevamento ed elaborazione dei dati statistici presso gli Uffici e i Dipartimenti della Presidenza del Consiglio dei ministri, nonché l’interconnessione al sistema statistico nazionale, con particolare riferimento a quelli concernenti il personale. Il Dipartimento provvede all’individuazione e incentivazione di modalità innovative di lavoro, anche tramite l’utilizzo di strumenti tecnologici e il ricorso a modalità flessibili di lavoro, al fine di incrementare la produttività e agevolare la conciliazione dei tempi di vita e di lavoro; provvede, inoltre, alla elaborazione di progetti per la valorizzazione e lo sviluppo delle competenze e del potenziale del personale.</w:t>
            </w:r>
            <w:r w:rsidRPr="00F56356">
              <w:rPr>
                <w:rFonts w:eastAsiaTheme="minorEastAsia"/>
                <w:lang w:eastAsia="it-IT"/>
              </w:rPr>
              <w:t xml:space="preserve"> </w:t>
            </w:r>
            <w:r w:rsidRPr="00F56356">
              <w:rPr>
                <w:rFonts w:ascii="Times New Roman" w:eastAsia="Times New Roman" w:hAnsi="Times New Roman" w:cs="Times New Roman"/>
                <w:sz w:val="24"/>
                <w:szCs w:val="24"/>
                <w:lang w:eastAsia="it-IT"/>
              </w:rPr>
              <w:t>Presso il Dipartimento opera l’Ufficio del medico competente, che assicura la sorveglianza sanitaria e il primo soccorso, in attuazione degli articoli 25, 41 e 45 del decreto legislativo 9 aprile 2008, n. 81.</w:t>
            </w:r>
          </w:p>
          <w:p w14:paraId="388783E2" w14:textId="77777777" w:rsidR="00F56356" w:rsidRPr="00F56356" w:rsidRDefault="00F56356" w:rsidP="00F56356">
            <w:pPr>
              <w:spacing w:after="0" w:line="360" w:lineRule="auto"/>
              <w:ind w:left="284"/>
              <w:jc w:val="both"/>
              <w:rPr>
                <w:rFonts w:ascii="Times New Roman" w:eastAsiaTheme="minorEastAsia" w:hAnsi="Times New Roman"/>
                <w:b/>
                <w:color w:val="000000" w:themeColor="text1"/>
                <w:sz w:val="24"/>
                <w:szCs w:val="24"/>
                <w:lang w:eastAsia="it-IT"/>
              </w:rPr>
            </w:pPr>
          </w:p>
          <w:p w14:paraId="41DB4846" w14:textId="77777777" w:rsidR="00F56356" w:rsidRPr="00F56356" w:rsidRDefault="00F56356" w:rsidP="00F56356">
            <w:pPr>
              <w:spacing w:after="0" w:line="360" w:lineRule="auto"/>
              <w:ind w:left="284"/>
              <w:jc w:val="both"/>
              <w:rPr>
                <w:rFonts w:ascii="Times New Roman" w:eastAsiaTheme="minorEastAsia" w:hAnsi="Times New Roman"/>
                <w:b/>
                <w:color w:val="000000" w:themeColor="text1"/>
                <w:sz w:val="44"/>
                <w:szCs w:val="24"/>
                <w:lang w:eastAsia="it-IT"/>
              </w:rPr>
            </w:pPr>
            <w:r w:rsidRPr="00F56356">
              <w:rPr>
                <w:rFonts w:ascii="Times New Roman" w:eastAsiaTheme="minorEastAsia" w:hAnsi="Times New Roman"/>
                <w:b/>
                <w:color w:val="000000" w:themeColor="text1"/>
                <w:sz w:val="24"/>
                <w:szCs w:val="24"/>
                <w:lang w:eastAsia="it-IT"/>
              </w:rPr>
              <w:t xml:space="preserve">2. Ricostruzione flussi finanziari e aspetti rilevanti della gestione </w:t>
            </w:r>
          </w:p>
          <w:p w14:paraId="147070BC" w14:textId="77777777" w:rsidR="00F56356" w:rsidRPr="00F56356" w:rsidRDefault="00F56356" w:rsidP="00F56356">
            <w:pPr>
              <w:spacing w:after="0" w:line="360" w:lineRule="auto"/>
              <w:ind w:left="284"/>
              <w:jc w:val="both"/>
              <w:rPr>
                <w:rFonts w:ascii="Times New Roman" w:eastAsiaTheme="minorEastAsia" w:hAnsi="Times New Roman"/>
                <w:color w:val="000000" w:themeColor="text1"/>
                <w:sz w:val="24"/>
                <w:szCs w:val="24"/>
                <w:lang w:eastAsia="it-IT"/>
              </w:rPr>
            </w:pPr>
            <w:r w:rsidRPr="00F56356">
              <w:rPr>
                <w:rFonts w:ascii="Times New Roman" w:eastAsiaTheme="minorEastAsia" w:hAnsi="Times New Roman"/>
                <w:b/>
                <w:color w:val="000000" w:themeColor="text1"/>
                <w:sz w:val="24"/>
                <w:szCs w:val="24"/>
                <w:lang w:eastAsia="it-IT"/>
              </w:rPr>
              <w:t>2.1</w:t>
            </w:r>
            <w:r w:rsidRPr="00F56356">
              <w:rPr>
                <w:rFonts w:ascii="Times New Roman" w:eastAsiaTheme="minorEastAsia" w:hAnsi="Times New Roman"/>
                <w:color w:val="000000" w:themeColor="text1"/>
                <w:sz w:val="24"/>
                <w:szCs w:val="24"/>
                <w:lang w:eastAsia="it-IT"/>
              </w:rPr>
              <w:t xml:space="preserve"> Le risorse complessivamente assegnate sono state pari a euro 393.205.575,44, nell’ambito delle quali euro 1.561,60 riferiti a reiscrizioni di residui passivi perenti ed euro 16.982.632,41 riferiti a riassegnazioni dall’avanzo di esercizio 2021. </w:t>
            </w:r>
          </w:p>
          <w:p w14:paraId="38A1A4D4" w14:textId="77777777" w:rsidR="00F56356" w:rsidRPr="00F56356" w:rsidRDefault="00F56356" w:rsidP="00F56356">
            <w:pPr>
              <w:spacing w:after="0" w:line="360" w:lineRule="auto"/>
              <w:ind w:left="284"/>
              <w:jc w:val="both"/>
              <w:rPr>
                <w:rFonts w:ascii="Times New Roman" w:eastAsiaTheme="minorEastAsia" w:hAnsi="Times New Roman"/>
                <w:color w:val="000000" w:themeColor="text1"/>
                <w:sz w:val="24"/>
                <w:szCs w:val="24"/>
                <w:lang w:eastAsia="it-IT"/>
              </w:rPr>
            </w:pPr>
            <w:r w:rsidRPr="00F56356">
              <w:rPr>
                <w:rFonts w:ascii="Times New Roman" w:eastAsiaTheme="minorEastAsia" w:hAnsi="Times New Roman"/>
                <w:color w:val="000000" w:themeColor="text1"/>
                <w:sz w:val="24"/>
                <w:szCs w:val="24"/>
                <w:lang w:eastAsia="it-IT"/>
              </w:rPr>
              <w:t>Gli impegni assunti ammontano a euro 313.562.438,34, con un’economia di bilancio di euro 79.643.137,10. Il totale dei pagamenti riferiti alla competenza è di euro 301.729.654,62, con un indice di capacità di pagamento (rapporto pagato/impegnato) che si attesta al 96,23 per cento.</w:t>
            </w:r>
          </w:p>
          <w:p w14:paraId="2C3D2C43" w14:textId="77777777" w:rsidR="00F56356" w:rsidRPr="00F56356" w:rsidRDefault="00F56356" w:rsidP="00F56356">
            <w:pPr>
              <w:spacing w:after="0"/>
              <w:ind w:left="284"/>
              <w:rPr>
                <w:rFonts w:eastAsiaTheme="minorEastAsia"/>
                <w:color w:val="000000" w:themeColor="text1"/>
                <w:lang w:eastAsia="it-IT"/>
              </w:rPr>
            </w:pPr>
          </w:p>
          <w:p w14:paraId="41D7D89C"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I residui passivi al 1° gennaio 2022 erano pari a euro 9.451.438,36. Su questi sono stati effettuati pagamenti per euro 7.334.511,10 e realizzate economie per euro 802.863,52.</w:t>
            </w:r>
          </w:p>
          <w:p w14:paraId="5B60A6E7" w14:textId="77777777" w:rsidR="00B162D3" w:rsidRDefault="00B162D3" w:rsidP="00F56356">
            <w:pPr>
              <w:spacing w:after="0" w:line="360" w:lineRule="auto"/>
              <w:jc w:val="center"/>
              <w:rPr>
                <w:rFonts w:ascii="Times New Roman" w:eastAsia="Times New Roman" w:hAnsi="Times New Roman" w:cs="Times New Roman"/>
                <w:sz w:val="24"/>
                <w:szCs w:val="24"/>
                <w:lang w:eastAsia="it-IT"/>
              </w:rPr>
            </w:pPr>
          </w:p>
          <w:p w14:paraId="109DC373" w14:textId="0134A312"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Indicatori di bilancio </w:t>
            </w:r>
          </w:p>
          <w:tbl>
            <w:tblPr>
              <w:tblW w:w="7120" w:type="dxa"/>
              <w:jc w:val="center"/>
              <w:tblCellMar>
                <w:left w:w="70" w:type="dxa"/>
                <w:right w:w="70" w:type="dxa"/>
              </w:tblCellMar>
              <w:tblLook w:val="04A0" w:firstRow="1" w:lastRow="0" w:firstColumn="1" w:lastColumn="0" w:noHBand="0" w:noVBand="1"/>
            </w:tblPr>
            <w:tblGrid>
              <w:gridCol w:w="896"/>
              <w:gridCol w:w="1506"/>
              <w:gridCol w:w="1490"/>
              <w:gridCol w:w="953"/>
              <w:gridCol w:w="1167"/>
              <w:gridCol w:w="1108"/>
            </w:tblGrid>
            <w:tr w:rsidR="00F56356" w:rsidRPr="00F56356" w14:paraId="6756E804" w14:textId="77777777" w:rsidTr="00F56356">
              <w:trPr>
                <w:trHeight w:val="420"/>
                <w:jc w:val="center"/>
              </w:trPr>
              <w:tc>
                <w:tcPr>
                  <w:tcW w:w="71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C00A"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614CE7C6" w14:textId="77777777" w:rsidTr="00F56356">
              <w:trPr>
                <w:trHeight w:val="465"/>
                <w:jc w:val="center"/>
              </w:trPr>
              <w:tc>
                <w:tcPr>
                  <w:tcW w:w="8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0FDDFD"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06" w:type="dxa"/>
                  <w:vMerge w:val="restart"/>
                  <w:tcBorders>
                    <w:top w:val="nil"/>
                    <w:left w:val="single" w:sz="4" w:space="0" w:color="auto"/>
                    <w:bottom w:val="single" w:sz="4" w:space="0" w:color="auto"/>
                    <w:right w:val="single" w:sz="4" w:space="0" w:color="auto"/>
                  </w:tcBorders>
                  <w:shd w:val="clear" w:color="auto" w:fill="auto"/>
                  <w:vAlign w:val="center"/>
                  <w:hideMark/>
                </w:tcPr>
                <w:p w14:paraId="57C3E20A"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90" w:type="dxa"/>
                  <w:vMerge w:val="restart"/>
                  <w:tcBorders>
                    <w:top w:val="nil"/>
                    <w:left w:val="single" w:sz="4" w:space="0" w:color="auto"/>
                    <w:bottom w:val="single" w:sz="4" w:space="0" w:color="auto"/>
                    <w:right w:val="single" w:sz="4" w:space="0" w:color="auto"/>
                  </w:tcBorders>
                  <w:shd w:val="clear" w:color="auto" w:fill="auto"/>
                  <w:vAlign w:val="center"/>
                  <w:hideMark/>
                </w:tcPr>
                <w:p w14:paraId="10C37D2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28" w:type="dxa"/>
                  <w:gridSpan w:val="3"/>
                  <w:tcBorders>
                    <w:top w:val="single" w:sz="4" w:space="0" w:color="auto"/>
                    <w:left w:val="nil"/>
                    <w:bottom w:val="single" w:sz="4" w:space="0" w:color="auto"/>
                    <w:right w:val="single" w:sz="4" w:space="0" w:color="000000"/>
                  </w:tcBorders>
                  <w:shd w:val="clear" w:color="auto" w:fill="auto"/>
                  <w:vAlign w:val="center"/>
                  <w:hideMark/>
                </w:tcPr>
                <w:p w14:paraId="36A489F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DD29815" w14:textId="77777777" w:rsidTr="00F56356">
              <w:trPr>
                <w:trHeight w:val="300"/>
                <w:jc w:val="center"/>
              </w:trPr>
              <w:tc>
                <w:tcPr>
                  <w:tcW w:w="896" w:type="dxa"/>
                  <w:vMerge/>
                  <w:tcBorders>
                    <w:top w:val="nil"/>
                    <w:left w:val="single" w:sz="4" w:space="0" w:color="auto"/>
                    <w:bottom w:val="single" w:sz="4" w:space="0" w:color="auto"/>
                    <w:right w:val="single" w:sz="4" w:space="0" w:color="auto"/>
                  </w:tcBorders>
                  <w:vAlign w:val="center"/>
                  <w:hideMark/>
                </w:tcPr>
                <w:p w14:paraId="5E646F1E"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06" w:type="dxa"/>
                  <w:vMerge/>
                  <w:tcBorders>
                    <w:top w:val="nil"/>
                    <w:left w:val="single" w:sz="4" w:space="0" w:color="auto"/>
                    <w:bottom w:val="single" w:sz="4" w:space="0" w:color="auto"/>
                    <w:right w:val="single" w:sz="4" w:space="0" w:color="auto"/>
                  </w:tcBorders>
                  <w:vAlign w:val="center"/>
                  <w:hideMark/>
                </w:tcPr>
                <w:p w14:paraId="4E07CA1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90" w:type="dxa"/>
                  <w:vMerge/>
                  <w:tcBorders>
                    <w:top w:val="nil"/>
                    <w:left w:val="single" w:sz="4" w:space="0" w:color="auto"/>
                    <w:bottom w:val="single" w:sz="4" w:space="0" w:color="auto"/>
                    <w:right w:val="single" w:sz="4" w:space="0" w:color="auto"/>
                  </w:tcBorders>
                  <w:vAlign w:val="center"/>
                  <w:hideMark/>
                </w:tcPr>
                <w:p w14:paraId="1BE06EF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53" w:type="dxa"/>
                  <w:tcBorders>
                    <w:top w:val="nil"/>
                    <w:left w:val="nil"/>
                    <w:bottom w:val="single" w:sz="4" w:space="0" w:color="auto"/>
                    <w:right w:val="single" w:sz="4" w:space="0" w:color="auto"/>
                  </w:tcBorders>
                  <w:shd w:val="clear" w:color="auto" w:fill="auto"/>
                  <w:vAlign w:val="center"/>
                  <w:hideMark/>
                </w:tcPr>
                <w:p w14:paraId="0C0D72F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67" w:type="dxa"/>
                  <w:tcBorders>
                    <w:top w:val="nil"/>
                    <w:left w:val="nil"/>
                    <w:bottom w:val="single" w:sz="4" w:space="0" w:color="auto"/>
                    <w:right w:val="single" w:sz="4" w:space="0" w:color="auto"/>
                  </w:tcBorders>
                  <w:shd w:val="clear" w:color="auto" w:fill="auto"/>
                  <w:vAlign w:val="center"/>
                  <w:hideMark/>
                </w:tcPr>
                <w:p w14:paraId="7B01206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08" w:type="dxa"/>
                  <w:tcBorders>
                    <w:top w:val="nil"/>
                    <w:left w:val="nil"/>
                    <w:bottom w:val="single" w:sz="4" w:space="0" w:color="auto"/>
                    <w:right w:val="single" w:sz="4" w:space="0" w:color="auto"/>
                  </w:tcBorders>
                  <w:shd w:val="clear" w:color="auto" w:fill="auto"/>
                  <w:vAlign w:val="center"/>
                  <w:hideMark/>
                </w:tcPr>
                <w:p w14:paraId="7545477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D699D1B"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3215C5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104</w:t>
                  </w:r>
                </w:p>
              </w:tc>
              <w:tc>
                <w:tcPr>
                  <w:tcW w:w="1506" w:type="dxa"/>
                  <w:tcBorders>
                    <w:top w:val="nil"/>
                    <w:left w:val="nil"/>
                    <w:bottom w:val="single" w:sz="4" w:space="0" w:color="auto"/>
                    <w:right w:val="single" w:sz="4" w:space="0" w:color="auto"/>
                  </w:tcBorders>
                  <w:shd w:val="clear" w:color="auto" w:fill="auto"/>
                  <w:noWrap/>
                  <w:vAlign w:val="center"/>
                  <w:hideMark/>
                </w:tcPr>
                <w:p w14:paraId="01E008B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293.292,00</w:t>
                  </w:r>
                </w:p>
              </w:tc>
              <w:tc>
                <w:tcPr>
                  <w:tcW w:w="1490" w:type="dxa"/>
                  <w:tcBorders>
                    <w:top w:val="nil"/>
                    <w:left w:val="nil"/>
                    <w:bottom w:val="single" w:sz="4" w:space="0" w:color="auto"/>
                    <w:right w:val="single" w:sz="4" w:space="0" w:color="auto"/>
                  </w:tcBorders>
                  <w:shd w:val="clear" w:color="auto" w:fill="auto"/>
                  <w:noWrap/>
                  <w:vAlign w:val="center"/>
                  <w:hideMark/>
                </w:tcPr>
                <w:p w14:paraId="0ABB142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46019E9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167" w:type="dxa"/>
                  <w:tcBorders>
                    <w:top w:val="nil"/>
                    <w:left w:val="nil"/>
                    <w:bottom w:val="single" w:sz="4" w:space="0" w:color="auto"/>
                    <w:right w:val="single" w:sz="4" w:space="0" w:color="auto"/>
                  </w:tcBorders>
                  <w:shd w:val="clear" w:color="auto" w:fill="auto"/>
                  <w:noWrap/>
                  <w:vAlign w:val="center"/>
                  <w:hideMark/>
                </w:tcPr>
                <w:p w14:paraId="472E306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5203F8B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1646AF96"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7BD151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106</w:t>
                  </w:r>
                </w:p>
              </w:tc>
              <w:tc>
                <w:tcPr>
                  <w:tcW w:w="1506" w:type="dxa"/>
                  <w:tcBorders>
                    <w:top w:val="nil"/>
                    <w:left w:val="nil"/>
                    <w:bottom w:val="single" w:sz="4" w:space="0" w:color="auto"/>
                    <w:right w:val="single" w:sz="4" w:space="0" w:color="auto"/>
                  </w:tcBorders>
                  <w:shd w:val="clear" w:color="auto" w:fill="auto"/>
                  <w:noWrap/>
                  <w:vAlign w:val="center"/>
                  <w:hideMark/>
                </w:tcPr>
                <w:p w14:paraId="0BDEC5A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343.078,27</w:t>
                  </w:r>
                </w:p>
              </w:tc>
              <w:tc>
                <w:tcPr>
                  <w:tcW w:w="1490" w:type="dxa"/>
                  <w:tcBorders>
                    <w:top w:val="nil"/>
                    <w:left w:val="nil"/>
                    <w:bottom w:val="single" w:sz="4" w:space="0" w:color="auto"/>
                    <w:right w:val="single" w:sz="4" w:space="0" w:color="auto"/>
                  </w:tcBorders>
                  <w:shd w:val="clear" w:color="auto" w:fill="auto"/>
                  <w:noWrap/>
                  <w:vAlign w:val="center"/>
                  <w:hideMark/>
                </w:tcPr>
                <w:p w14:paraId="7C50AD1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3E0E4CD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w:t>
                  </w:r>
                </w:p>
              </w:tc>
              <w:tc>
                <w:tcPr>
                  <w:tcW w:w="1167" w:type="dxa"/>
                  <w:tcBorders>
                    <w:top w:val="nil"/>
                    <w:left w:val="nil"/>
                    <w:bottom w:val="single" w:sz="4" w:space="0" w:color="auto"/>
                    <w:right w:val="single" w:sz="4" w:space="0" w:color="auto"/>
                  </w:tcBorders>
                  <w:shd w:val="clear" w:color="auto" w:fill="auto"/>
                  <w:noWrap/>
                  <w:vAlign w:val="center"/>
                  <w:hideMark/>
                </w:tcPr>
                <w:p w14:paraId="45A7829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4649BF8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w:t>
                  </w:r>
                </w:p>
              </w:tc>
            </w:tr>
            <w:tr w:rsidR="00F56356" w:rsidRPr="00F56356" w14:paraId="7F5BC10D"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0CAD0C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108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1</w:t>
                  </w:r>
                </w:p>
              </w:tc>
              <w:tc>
                <w:tcPr>
                  <w:tcW w:w="1506" w:type="dxa"/>
                  <w:tcBorders>
                    <w:top w:val="nil"/>
                    <w:left w:val="nil"/>
                    <w:bottom w:val="single" w:sz="4" w:space="0" w:color="auto"/>
                    <w:right w:val="single" w:sz="4" w:space="0" w:color="auto"/>
                  </w:tcBorders>
                  <w:shd w:val="clear" w:color="auto" w:fill="auto"/>
                  <w:noWrap/>
                  <w:vAlign w:val="center"/>
                  <w:hideMark/>
                </w:tcPr>
                <w:p w14:paraId="6FB8407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1.489,38</w:t>
                  </w:r>
                </w:p>
              </w:tc>
              <w:tc>
                <w:tcPr>
                  <w:tcW w:w="1490" w:type="dxa"/>
                  <w:tcBorders>
                    <w:top w:val="nil"/>
                    <w:left w:val="nil"/>
                    <w:bottom w:val="single" w:sz="4" w:space="0" w:color="auto"/>
                    <w:right w:val="single" w:sz="4" w:space="0" w:color="auto"/>
                  </w:tcBorders>
                  <w:shd w:val="clear" w:color="auto" w:fill="auto"/>
                  <w:noWrap/>
                  <w:vAlign w:val="center"/>
                  <w:hideMark/>
                </w:tcPr>
                <w:p w14:paraId="0A8E6E8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0,06</w:t>
                  </w:r>
                </w:p>
              </w:tc>
              <w:tc>
                <w:tcPr>
                  <w:tcW w:w="953" w:type="dxa"/>
                  <w:tcBorders>
                    <w:top w:val="nil"/>
                    <w:left w:val="nil"/>
                    <w:bottom w:val="single" w:sz="4" w:space="0" w:color="auto"/>
                    <w:right w:val="single" w:sz="4" w:space="0" w:color="auto"/>
                  </w:tcBorders>
                  <w:shd w:val="clear" w:color="auto" w:fill="auto"/>
                  <w:noWrap/>
                  <w:vAlign w:val="center"/>
                  <w:hideMark/>
                </w:tcPr>
                <w:p w14:paraId="1532DB3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5B11240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3B9FDF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719021C5"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E0A108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113</w:t>
                  </w:r>
                </w:p>
              </w:tc>
              <w:tc>
                <w:tcPr>
                  <w:tcW w:w="1506" w:type="dxa"/>
                  <w:tcBorders>
                    <w:top w:val="nil"/>
                    <w:left w:val="nil"/>
                    <w:bottom w:val="single" w:sz="4" w:space="0" w:color="auto"/>
                    <w:right w:val="single" w:sz="4" w:space="0" w:color="auto"/>
                  </w:tcBorders>
                  <w:shd w:val="clear" w:color="auto" w:fill="auto"/>
                  <w:noWrap/>
                  <w:vAlign w:val="center"/>
                  <w:hideMark/>
                </w:tcPr>
                <w:p w14:paraId="6328C7C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1.842.175,77</w:t>
                  </w:r>
                </w:p>
              </w:tc>
              <w:tc>
                <w:tcPr>
                  <w:tcW w:w="1490" w:type="dxa"/>
                  <w:tcBorders>
                    <w:top w:val="nil"/>
                    <w:left w:val="nil"/>
                    <w:bottom w:val="single" w:sz="4" w:space="0" w:color="auto"/>
                    <w:right w:val="single" w:sz="4" w:space="0" w:color="auto"/>
                  </w:tcBorders>
                  <w:shd w:val="clear" w:color="auto" w:fill="auto"/>
                  <w:noWrap/>
                  <w:vAlign w:val="center"/>
                  <w:hideMark/>
                </w:tcPr>
                <w:p w14:paraId="2E86360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6DD37E9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w:t>
                  </w:r>
                </w:p>
              </w:tc>
              <w:tc>
                <w:tcPr>
                  <w:tcW w:w="1167" w:type="dxa"/>
                  <w:tcBorders>
                    <w:top w:val="nil"/>
                    <w:left w:val="nil"/>
                    <w:bottom w:val="single" w:sz="4" w:space="0" w:color="auto"/>
                    <w:right w:val="single" w:sz="4" w:space="0" w:color="auto"/>
                  </w:tcBorders>
                  <w:shd w:val="clear" w:color="auto" w:fill="auto"/>
                  <w:noWrap/>
                  <w:vAlign w:val="center"/>
                  <w:hideMark/>
                </w:tcPr>
                <w:p w14:paraId="65AD1F3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3D93FE5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w:t>
                  </w:r>
                </w:p>
              </w:tc>
            </w:tr>
            <w:tr w:rsidR="00F56356" w:rsidRPr="00F56356" w14:paraId="7427A0AA"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16C732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124</w:t>
                  </w:r>
                </w:p>
              </w:tc>
              <w:tc>
                <w:tcPr>
                  <w:tcW w:w="1506" w:type="dxa"/>
                  <w:tcBorders>
                    <w:top w:val="nil"/>
                    <w:left w:val="nil"/>
                    <w:bottom w:val="single" w:sz="4" w:space="0" w:color="auto"/>
                    <w:right w:val="single" w:sz="4" w:space="0" w:color="auto"/>
                  </w:tcBorders>
                  <w:shd w:val="clear" w:color="auto" w:fill="auto"/>
                  <w:noWrap/>
                  <w:vAlign w:val="center"/>
                  <w:hideMark/>
                </w:tcPr>
                <w:p w14:paraId="788BAC3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1.745.364,72</w:t>
                  </w:r>
                </w:p>
              </w:tc>
              <w:tc>
                <w:tcPr>
                  <w:tcW w:w="1490" w:type="dxa"/>
                  <w:tcBorders>
                    <w:top w:val="nil"/>
                    <w:left w:val="nil"/>
                    <w:bottom w:val="single" w:sz="4" w:space="0" w:color="auto"/>
                    <w:right w:val="single" w:sz="4" w:space="0" w:color="auto"/>
                  </w:tcBorders>
                  <w:shd w:val="clear" w:color="auto" w:fill="auto"/>
                  <w:noWrap/>
                  <w:vAlign w:val="center"/>
                  <w:hideMark/>
                </w:tcPr>
                <w:p w14:paraId="215A812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142.004,94</w:t>
                  </w:r>
                </w:p>
              </w:tc>
              <w:tc>
                <w:tcPr>
                  <w:tcW w:w="953" w:type="dxa"/>
                  <w:tcBorders>
                    <w:top w:val="nil"/>
                    <w:left w:val="nil"/>
                    <w:bottom w:val="single" w:sz="4" w:space="0" w:color="auto"/>
                    <w:right w:val="single" w:sz="4" w:space="0" w:color="auto"/>
                  </w:tcBorders>
                  <w:shd w:val="clear" w:color="auto" w:fill="auto"/>
                  <w:noWrap/>
                  <w:vAlign w:val="center"/>
                  <w:hideMark/>
                </w:tcPr>
                <w:p w14:paraId="2819F15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064B67B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91,86</w:t>
                  </w:r>
                </w:p>
              </w:tc>
              <w:tc>
                <w:tcPr>
                  <w:tcW w:w="1108" w:type="dxa"/>
                  <w:tcBorders>
                    <w:top w:val="nil"/>
                    <w:left w:val="nil"/>
                    <w:bottom w:val="single" w:sz="4" w:space="0" w:color="auto"/>
                    <w:right w:val="single" w:sz="4" w:space="0" w:color="auto"/>
                  </w:tcBorders>
                  <w:shd w:val="clear" w:color="auto" w:fill="auto"/>
                  <w:noWrap/>
                  <w:vAlign w:val="center"/>
                  <w:hideMark/>
                </w:tcPr>
                <w:p w14:paraId="15D6FFF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189C43A0"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F4BA17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125</w:t>
                  </w:r>
                </w:p>
              </w:tc>
              <w:tc>
                <w:tcPr>
                  <w:tcW w:w="1506" w:type="dxa"/>
                  <w:tcBorders>
                    <w:top w:val="nil"/>
                    <w:left w:val="nil"/>
                    <w:bottom w:val="single" w:sz="4" w:space="0" w:color="auto"/>
                    <w:right w:val="single" w:sz="4" w:space="0" w:color="auto"/>
                  </w:tcBorders>
                  <w:shd w:val="clear" w:color="auto" w:fill="auto"/>
                  <w:noWrap/>
                  <w:vAlign w:val="center"/>
                  <w:hideMark/>
                </w:tcPr>
                <w:p w14:paraId="037DB72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398.171,00</w:t>
                  </w:r>
                </w:p>
              </w:tc>
              <w:tc>
                <w:tcPr>
                  <w:tcW w:w="1490" w:type="dxa"/>
                  <w:tcBorders>
                    <w:top w:val="nil"/>
                    <w:left w:val="nil"/>
                    <w:bottom w:val="single" w:sz="4" w:space="0" w:color="auto"/>
                    <w:right w:val="single" w:sz="4" w:space="0" w:color="auto"/>
                  </w:tcBorders>
                  <w:shd w:val="clear" w:color="auto" w:fill="auto"/>
                  <w:noWrap/>
                  <w:vAlign w:val="center"/>
                  <w:hideMark/>
                </w:tcPr>
                <w:p w14:paraId="08E949F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30.501,12</w:t>
                  </w:r>
                </w:p>
              </w:tc>
              <w:tc>
                <w:tcPr>
                  <w:tcW w:w="953" w:type="dxa"/>
                  <w:tcBorders>
                    <w:top w:val="nil"/>
                    <w:left w:val="nil"/>
                    <w:bottom w:val="single" w:sz="4" w:space="0" w:color="auto"/>
                    <w:right w:val="single" w:sz="4" w:space="0" w:color="auto"/>
                  </w:tcBorders>
                  <w:shd w:val="clear" w:color="auto" w:fill="auto"/>
                  <w:noWrap/>
                  <w:vAlign w:val="center"/>
                  <w:hideMark/>
                </w:tcPr>
                <w:p w14:paraId="78C72B9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0BDF6BA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92,34</w:t>
                  </w:r>
                </w:p>
              </w:tc>
              <w:tc>
                <w:tcPr>
                  <w:tcW w:w="1108" w:type="dxa"/>
                  <w:tcBorders>
                    <w:top w:val="nil"/>
                    <w:left w:val="nil"/>
                    <w:bottom w:val="single" w:sz="4" w:space="0" w:color="auto"/>
                    <w:right w:val="single" w:sz="4" w:space="0" w:color="auto"/>
                  </w:tcBorders>
                  <w:shd w:val="clear" w:color="auto" w:fill="auto"/>
                  <w:noWrap/>
                  <w:vAlign w:val="center"/>
                  <w:hideMark/>
                </w:tcPr>
                <w:p w14:paraId="15311FC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28721C37"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DDB050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126</w:t>
                  </w:r>
                </w:p>
              </w:tc>
              <w:tc>
                <w:tcPr>
                  <w:tcW w:w="1506" w:type="dxa"/>
                  <w:tcBorders>
                    <w:top w:val="nil"/>
                    <w:left w:val="nil"/>
                    <w:bottom w:val="single" w:sz="4" w:space="0" w:color="auto"/>
                    <w:right w:val="single" w:sz="4" w:space="0" w:color="auto"/>
                  </w:tcBorders>
                  <w:shd w:val="clear" w:color="auto" w:fill="auto"/>
                  <w:noWrap/>
                  <w:vAlign w:val="center"/>
                  <w:hideMark/>
                </w:tcPr>
                <w:p w14:paraId="165D98D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737.977,27</w:t>
                  </w:r>
                </w:p>
              </w:tc>
              <w:tc>
                <w:tcPr>
                  <w:tcW w:w="1490" w:type="dxa"/>
                  <w:tcBorders>
                    <w:top w:val="nil"/>
                    <w:left w:val="nil"/>
                    <w:bottom w:val="single" w:sz="4" w:space="0" w:color="auto"/>
                    <w:right w:val="single" w:sz="4" w:space="0" w:color="auto"/>
                  </w:tcBorders>
                  <w:shd w:val="clear" w:color="auto" w:fill="auto"/>
                  <w:noWrap/>
                  <w:vAlign w:val="center"/>
                  <w:hideMark/>
                </w:tcPr>
                <w:p w14:paraId="1FBD572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3DC483D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167" w:type="dxa"/>
                  <w:tcBorders>
                    <w:top w:val="nil"/>
                    <w:left w:val="nil"/>
                    <w:bottom w:val="single" w:sz="4" w:space="0" w:color="auto"/>
                    <w:right w:val="single" w:sz="4" w:space="0" w:color="auto"/>
                  </w:tcBorders>
                  <w:shd w:val="clear" w:color="auto" w:fill="auto"/>
                  <w:noWrap/>
                  <w:vAlign w:val="center"/>
                  <w:hideMark/>
                </w:tcPr>
                <w:p w14:paraId="370212A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6591E10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7C4C412A"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CB1219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127</w:t>
                  </w:r>
                </w:p>
              </w:tc>
              <w:tc>
                <w:tcPr>
                  <w:tcW w:w="1506" w:type="dxa"/>
                  <w:tcBorders>
                    <w:top w:val="nil"/>
                    <w:left w:val="nil"/>
                    <w:bottom w:val="single" w:sz="4" w:space="0" w:color="auto"/>
                    <w:right w:val="single" w:sz="4" w:space="0" w:color="auto"/>
                  </w:tcBorders>
                  <w:shd w:val="clear" w:color="auto" w:fill="auto"/>
                  <w:noWrap/>
                  <w:vAlign w:val="center"/>
                  <w:hideMark/>
                </w:tcPr>
                <w:p w14:paraId="7261FC0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39.700,00</w:t>
                  </w:r>
                </w:p>
              </w:tc>
              <w:tc>
                <w:tcPr>
                  <w:tcW w:w="1490" w:type="dxa"/>
                  <w:tcBorders>
                    <w:top w:val="nil"/>
                    <w:left w:val="nil"/>
                    <w:bottom w:val="single" w:sz="4" w:space="0" w:color="auto"/>
                    <w:right w:val="single" w:sz="4" w:space="0" w:color="auto"/>
                  </w:tcBorders>
                  <w:shd w:val="clear" w:color="auto" w:fill="auto"/>
                  <w:noWrap/>
                  <w:vAlign w:val="center"/>
                  <w:hideMark/>
                </w:tcPr>
                <w:p w14:paraId="340FCEB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5D7A720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167" w:type="dxa"/>
                  <w:tcBorders>
                    <w:top w:val="nil"/>
                    <w:left w:val="nil"/>
                    <w:bottom w:val="single" w:sz="4" w:space="0" w:color="auto"/>
                    <w:right w:val="single" w:sz="4" w:space="0" w:color="auto"/>
                  </w:tcBorders>
                  <w:shd w:val="clear" w:color="auto" w:fill="auto"/>
                  <w:noWrap/>
                  <w:vAlign w:val="center"/>
                  <w:hideMark/>
                </w:tcPr>
                <w:p w14:paraId="3D75B38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6774862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0126C068"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46CD9C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129</w:t>
                  </w:r>
                </w:p>
              </w:tc>
              <w:tc>
                <w:tcPr>
                  <w:tcW w:w="1506" w:type="dxa"/>
                  <w:tcBorders>
                    <w:top w:val="nil"/>
                    <w:left w:val="nil"/>
                    <w:bottom w:val="single" w:sz="4" w:space="0" w:color="auto"/>
                    <w:right w:val="single" w:sz="4" w:space="0" w:color="auto"/>
                  </w:tcBorders>
                  <w:shd w:val="clear" w:color="auto" w:fill="auto"/>
                  <w:noWrap/>
                  <w:vAlign w:val="center"/>
                  <w:hideMark/>
                </w:tcPr>
                <w:p w14:paraId="2EEB61F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81.048,00</w:t>
                  </w:r>
                </w:p>
              </w:tc>
              <w:tc>
                <w:tcPr>
                  <w:tcW w:w="1490" w:type="dxa"/>
                  <w:tcBorders>
                    <w:top w:val="nil"/>
                    <w:left w:val="nil"/>
                    <w:bottom w:val="single" w:sz="4" w:space="0" w:color="auto"/>
                    <w:right w:val="single" w:sz="4" w:space="0" w:color="auto"/>
                  </w:tcBorders>
                  <w:shd w:val="clear" w:color="auto" w:fill="auto"/>
                  <w:noWrap/>
                  <w:vAlign w:val="center"/>
                  <w:hideMark/>
                </w:tcPr>
                <w:p w14:paraId="1719FCD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5B04F8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167" w:type="dxa"/>
                  <w:tcBorders>
                    <w:top w:val="nil"/>
                    <w:left w:val="nil"/>
                    <w:bottom w:val="single" w:sz="4" w:space="0" w:color="auto"/>
                    <w:right w:val="single" w:sz="4" w:space="0" w:color="auto"/>
                  </w:tcBorders>
                  <w:shd w:val="clear" w:color="auto" w:fill="auto"/>
                  <w:noWrap/>
                  <w:vAlign w:val="center"/>
                  <w:hideMark/>
                </w:tcPr>
                <w:p w14:paraId="68ACFCE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4F6F6FF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3C9ABCF4"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6B0045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134</w:t>
                  </w:r>
                </w:p>
              </w:tc>
              <w:tc>
                <w:tcPr>
                  <w:tcW w:w="1506" w:type="dxa"/>
                  <w:tcBorders>
                    <w:top w:val="nil"/>
                    <w:left w:val="nil"/>
                    <w:bottom w:val="single" w:sz="4" w:space="0" w:color="auto"/>
                    <w:right w:val="single" w:sz="4" w:space="0" w:color="auto"/>
                  </w:tcBorders>
                  <w:shd w:val="clear" w:color="auto" w:fill="auto"/>
                  <w:noWrap/>
                  <w:vAlign w:val="center"/>
                  <w:hideMark/>
                </w:tcPr>
                <w:p w14:paraId="69A2432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4.161,00</w:t>
                  </w:r>
                </w:p>
              </w:tc>
              <w:tc>
                <w:tcPr>
                  <w:tcW w:w="1490" w:type="dxa"/>
                  <w:tcBorders>
                    <w:top w:val="nil"/>
                    <w:left w:val="nil"/>
                    <w:bottom w:val="single" w:sz="4" w:space="0" w:color="auto"/>
                    <w:right w:val="single" w:sz="4" w:space="0" w:color="auto"/>
                  </w:tcBorders>
                  <w:shd w:val="clear" w:color="auto" w:fill="auto"/>
                  <w:noWrap/>
                  <w:vAlign w:val="center"/>
                  <w:hideMark/>
                </w:tcPr>
                <w:p w14:paraId="10F84A6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204A18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55A32E7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703BAE4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43CDC868"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74FB59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138</w:t>
                  </w:r>
                </w:p>
              </w:tc>
              <w:tc>
                <w:tcPr>
                  <w:tcW w:w="1506" w:type="dxa"/>
                  <w:tcBorders>
                    <w:top w:val="nil"/>
                    <w:left w:val="nil"/>
                    <w:bottom w:val="single" w:sz="4" w:space="0" w:color="auto"/>
                    <w:right w:val="single" w:sz="4" w:space="0" w:color="auto"/>
                  </w:tcBorders>
                  <w:shd w:val="clear" w:color="auto" w:fill="auto"/>
                  <w:noWrap/>
                  <w:vAlign w:val="center"/>
                  <w:hideMark/>
                </w:tcPr>
                <w:p w14:paraId="67F5DFE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12.751,00</w:t>
                  </w:r>
                </w:p>
              </w:tc>
              <w:tc>
                <w:tcPr>
                  <w:tcW w:w="1490" w:type="dxa"/>
                  <w:tcBorders>
                    <w:top w:val="nil"/>
                    <w:left w:val="nil"/>
                    <w:bottom w:val="single" w:sz="4" w:space="0" w:color="auto"/>
                    <w:right w:val="single" w:sz="4" w:space="0" w:color="auto"/>
                  </w:tcBorders>
                  <w:shd w:val="clear" w:color="auto" w:fill="auto"/>
                  <w:noWrap/>
                  <w:vAlign w:val="center"/>
                  <w:hideMark/>
                </w:tcPr>
                <w:p w14:paraId="5E9BABC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1519219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0029ADB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59F915F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349BDEA0"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88E0DC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139</w:t>
                  </w:r>
                </w:p>
              </w:tc>
              <w:tc>
                <w:tcPr>
                  <w:tcW w:w="1506" w:type="dxa"/>
                  <w:tcBorders>
                    <w:top w:val="nil"/>
                    <w:left w:val="nil"/>
                    <w:bottom w:val="single" w:sz="4" w:space="0" w:color="auto"/>
                    <w:right w:val="single" w:sz="4" w:space="0" w:color="auto"/>
                  </w:tcBorders>
                  <w:shd w:val="clear" w:color="auto" w:fill="auto"/>
                  <w:noWrap/>
                  <w:vAlign w:val="center"/>
                  <w:hideMark/>
                </w:tcPr>
                <w:p w14:paraId="0CB4716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9.865,28</w:t>
                  </w:r>
                </w:p>
              </w:tc>
              <w:tc>
                <w:tcPr>
                  <w:tcW w:w="1490" w:type="dxa"/>
                  <w:tcBorders>
                    <w:top w:val="nil"/>
                    <w:left w:val="nil"/>
                    <w:bottom w:val="single" w:sz="4" w:space="0" w:color="auto"/>
                    <w:right w:val="single" w:sz="4" w:space="0" w:color="auto"/>
                  </w:tcBorders>
                  <w:shd w:val="clear" w:color="auto" w:fill="auto"/>
                  <w:noWrap/>
                  <w:vAlign w:val="center"/>
                  <w:hideMark/>
                </w:tcPr>
                <w:p w14:paraId="016E4C0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26,61</w:t>
                  </w:r>
                </w:p>
              </w:tc>
              <w:tc>
                <w:tcPr>
                  <w:tcW w:w="953" w:type="dxa"/>
                  <w:tcBorders>
                    <w:top w:val="nil"/>
                    <w:left w:val="nil"/>
                    <w:bottom w:val="single" w:sz="4" w:space="0" w:color="auto"/>
                    <w:right w:val="single" w:sz="4" w:space="0" w:color="auto"/>
                  </w:tcBorders>
                  <w:shd w:val="clear" w:color="auto" w:fill="auto"/>
                  <w:noWrap/>
                  <w:vAlign w:val="center"/>
                  <w:hideMark/>
                </w:tcPr>
                <w:p w14:paraId="7F67DF2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4EE85B2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99,73</w:t>
                  </w:r>
                </w:p>
              </w:tc>
              <w:tc>
                <w:tcPr>
                  <w:tcW w:w="1108" w:type="dxa"/>
                  <w:tcBorders>
                    <w:top w:val="nil"/>
                    <w:left w:val="nil"/>
                    <w:bottom w:val="single" w:sz="4" w:space="0" w:color="auto"/>
                    <w:right w:val="single" w:sz="4" w:space="0" w:color="auto"/>
                  </w:tcBorders>
                  <w:shd w:val="clear" w:color="auto" w:fill="auto"/>
                  <w:noWrap/>
                  <w:vAlign w:val="center"/>
                  <w:hideMark/>
                </w:tcPr>
                <w:p w14:paraId="42FE660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9,73</w:t>
                  </w:r>
                </w:p>
              </w:tc>
            </w:tr>
            <w:tr w:rsidR="00F56356" w:rsidRPr="00F56356" w14:paraId="1489C5C8"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AB864A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142</w:t>
                  </w:r>
                </w:p>
              </w:tc>
              <w:tc>
                <w:tcPr>
                  <w:tcW w:w="1506" w:type="dxa"/>
                  <w:tcBorders>
                    <w:top w:val="nil"/>
                    <w:left w:val="nil"/>
                    <w:bottom w:val="single" w:sz="4" w:space="0" w:color="auto"/>
                    <w:right w:val="single" w:sz="4" w:space="0" w:color="auto"/>
                  </w:tcBorders>
                  <w:shd w:val="clear" w:color="auto" w:fill="auto"/>
                  <w:noWrap/>
                  <w:vAlign w:val="center"/>
                  <w:hideMark/>
                </w:tcPr>
                <w:p w14:paraId="6EFB6F2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693.292,33</w:t>
                  </w:r>
                </w:p>
              </w:tc>
              <w:tc>
                <w:tcPr>
                  <w:tcW w:w="1490" w:type="dxa"/>
                  <w:tcBorders>
                    <w:top w:val="nil"/>
                    <w:left w:val="nil"/>
                    <w:bottom w:val="single" w:sz="4" w:space="0" w:color="auto"/>
                    <w:right w:val="single" w:sz="4" w:space="0" w:color="auto"/>
                  </w:tcBorders>
                  <w:shd w:val="clear" w:color="auto" w:fill="auto"/>
                  <w:noWrap/>
                  <w:vAlign w:val="center"/>
                  <w:hideMark/>
                </w:tcPr>
                <w:p w14:paraId="3EE331D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277.823,92</w:t>
                  </w:r>
                </w:p>
              </w:tc>
              <w:tc>
                <w:tcPr>
                  <w:tcW w:w="953" w:type="dxa"/>
                  <w:tcBorders>
                    <w:top w:val="nil"/>
                    <w:left w:val="nil"/>
                    <w:bottom w:val="single" w:sz="4" w:space="0" w:color="auto"/>
                    <w:right w:val="single" w:sz="4" w:space="0" w:color="auto"/>
                  </w:tcBorders>
                  <w:shd w:val="clear" w:color="auto" w:fill="auto"/>
                  <w:noWrap/>
                  <w:vAlign w:val="center"/>
                  <w:hideMark/>
                </w:tcPr>
                <w:p w14:paraId="2CFC9BE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71F6356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59,93</w:t>
                  </w:r>
                </w:p>
              </w:tc>
              <w:tc>
                <w:tcPr>
                  <w:tcW w:w="1108" w:type="dxa"/>
                  <w:tcBorders>
                    <w:top w:val="nil"/>
                    <w:left w:val="nil"/>
                    <w:bottom w:val="single" w:sz="4" w:space="0" w:color="auto"/>
                    <w:right w:val="single" w:sz="4" w:space="0" w:color="auto"/>
                  </w:tcBorders>
                  <w:shd w:val="clear" w:color="auto" w:fill="auto"/>
                  <w:noWrap/>
                  <w:vAlign w:val="center"/>
                  <w:hideMark/>
                </w:tcPr>
                <w:p w14:paraId="0D6C73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-0,07</w:t>
                  </w:r>
                </w:p>
              </w:tc>
            </w:tr>
            <w:tr w:rsidR="00F56356" w:rsidRPr="00F56356" w14:paraId="2B754245"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47548C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143</w:t>
                  </w:r>
                </w:p>
              </w:tc>
              <w:tc>
                <w:tcPr>
                  <w:tcW w:w="1506" w:type="dxa"/>
                  <w:tcBorders>
                    <w:top w:val="nil"/>
                    <w:left w:val="nil"/>
                    <w:bottom w:val="single" w:sz="4" w:space="0" w:color="auto"/>
                    <w:right w:val="single" w:sz="4" w:space="0" w:color="auto"/>
                  </w:tcBorders>
                  <w:shd w:val="clear" w:color="auto" w:fill="auto"/>
                  <w:noWrap/>
                  <w:vAlign w:val="center"/>
                  <w:hideMark/>
                </w:tcPr>
                <w:p w14:paraId="22749EF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83.865,48</w:t>
                  </w:r>
                </w:p>
              </w:tc>
              <w:tc>
                <w:tcPr>
                  <w:tcW w:w="1490" w:type="dxa"/>
                  <w:tcBorders>
                    <w:top w:val="nil"/>
                    <w:left w:val="nil"/>
                    <w:bottom w:val="single" w:sz="4" w:space="0" w:color="auto"/>
                    <w:right w:val="single" w:sz="4" w:space="0" w:color="auto"/>
                  </w:tcBorders>
                  <w:shd w:val="clear" w:color="auto" w:fill="auto"/>
                  <w:noWrap/>
                  <w:vAlign w:val="center"/>
                  <w:hideMark/>
                </w:tcPr>
                <w:p w14:paraId="6F03C39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7.280,59</w:t>
                  </w:r>
                </w:p>
              </w:tc>
              <w:tc>
                <w:tcPr>
                  <w:tcW w:w="953" w:type="dxa"/>
                  <w:tcBorders>
                    <w:top w:val="nil"/>
                    <w:left w:val="nil"/>
                    <w:bottom w:val="single" w:sz="4" w:space="0" w:color="auto"/>
                    <w:right w:val="single" w:sz="4" w:space="0" w:color="auto"/>
                  </w:tcBorders>
                  <w:shd w:val="clear" w:color="auto" w:fill="auto"/>
                  <w:noWrap/>
                  <w:vAlign w:val="center"/>
                  <w:hideMark/>
                </w:tcPr>
                <w:p w14:paraId="7E748CB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58464B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91,32</w:t>
                  </w:r>
                </w:p>
              </w:tc>
              <w:tc>
                <w:tcPr>
                  <w:tcW w:w="1108" w:type="dxa"/>
                  <w:tcBorders>
                    <w:top w:val="nil"/>
                    <w:left w:val="nil"/>
                    <w:bottom w:val="single" w:sz="4" w:space="0" w:color="auto"/>
                    <w:right w:val="single" w:sz="4" w:space="0" w:color="auto"/>
                  </w:tcBorders>
                  <w:shd w:val="clear" w:color="auto" w:fill="auto"/>
                  <w:noWrap/>
                  <w:vAlign w:val="center"/>
                  <w:hideMark/>
                </w:tcPr>
                <w:p w14:paraId="1BD3E7E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1,32</w:t>
                  </w:r>
                </w:p>
              </w:tc>
            </w:tr>
            <w:tr w:rsidR="00F56356" w:rsidRPr="00F56356" w14:paraId="6B9E1AEF"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C7C1C5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145</w:t>
                  </w:r>
                </w:p>
              </w:tc>
              <w:tc>
                <w:tcPr>
                  <w:tcW w:w="1506" w:type="dxa"/>
                  <w:tcBorders>
                    <w:top w:val="nil"/>
                    <w:left w:val="nil"/>
                    <w:bottom w:val="single" w:sz="4" w:space="0" w:color="auto"/>
                    <w:right w:val="single" w:sz="4" w:space="0" w:color="auto"/>
                  </w:tcBorders>
                  <w:shd w:val="clear" w:color="auto" w:fill="auto"/>
                  <w:noWrap/>
                  <w:vAlign w:val="center"/>
                  <w:hideMark/>
                </w:tcPr>
                <w:p w14:paraId="5059310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1.462,00</w:t>
                  </w:r>
                </w:p>
              </w:tc>
              <w:tc>
                <w:tcPr>
                  <w:tcW w:w="1490" w:type="dxa"/>
                  <w:tcBorders>
                    <w:top w:val="nil"/>
                    <w:left w:val="nil"/>
                    <w:bottom w:val="single" w:sz="4" w:space="0" w:color="auto"/>
                    <w:right w:val="single" w:sz="4" w:space="0" w:color="auto"/>
                  </w:tcBorders>
                  <w:shd w:val="clear" w:color="auto" w:fill="auto"/>
                  <w:noWrap/>
                  <w:vAlign w:val="center"/>
                  <w:hideMark/>
                </w:tcPr>
                <w:p w14:paraId="08BB463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13828AC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121378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100359F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49E20240"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B7C3F5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148</w:t>
                  </w:r>
                </w:p>
              </w:tc>
              <w:tc>
                <w:tcPr>
                  <w:tcW w:w="1506" w:type="dxa"/>
                  <w:tcBorders>
                    <w:top w:val="nil"/>
                    <w:left w:val="nil"/>
                    <w:bottom w:val="single" w:sz="4" w:space="0" w:color="auto"/>
                    <w:right w:val="single" w:sz="4" w:space="0" w:color="auto"/>
                  </w:tcBorders>
                  <w:shd w:val="clear" w:color="auto" w:fill="auto"/>
                  <w:noWrap/>
                  <w:vAlign w:val="center"/>
                  <w:hideMark/>
                </w:tcPr>
                <w:p w14:paraId="58975BB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159.773,29</w:t>
                  </w:r>
                </w:p>
              </w:tc>
              <w:tc>
                <w:tcPr>
                  <w:tcW w:w="1490" w:type="dxa"/>
                  <w:tcBorders>
                    <w:top w:val="nil"/>
                    <w:left w:val="nil"/>
                    <w:bottom w:val="single" w:sz="4" w:space="0" w:color="auto"/>
                    <w:right w:val="single" w:sz="4" w:space="0" w:color="auto"/>
                  </w:tcBorders>
                  <w:shd w:val="clear" w:color="auto" w:fill="auto"/>
                  <w:noWrap/>
                  <w:vAlign w:val="center"/>
                  <w:hideMark/>
                </w:tcPr>
                <w:p w14:paraId="41A5D37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150.836,74</w:t>
                  </w:r>
                </w:p>
              </w:tc>
              <w:tc>
                <w:tcPr>
                  <w:tcW w:w="953" w:type="dxa"/>
                  <w:tcBorders>
                    <w:top w:val="nil"/>
                    <w:left w:val="nil"/>
                    <w:bottom w:val="single" w:sz="4" w:space="0" w:color="auto"/>
                    <w:right w:val="single" w:sz="4" w:space="0" w:color="auto"/>
                  </w:tcBorders>
                  <w:shd w:val="clear" w:color="auto" w:fill="auto"/>
                  <w:noWrap/>
                  <w:vAlign w:val="center"/>
                  <w:hideMark/>
                </w:tcPr>
                <w:p w14:paraId="11AE7C9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6DEE3FB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5,59</w:t>
                  </w:r>
                </w:p>
              </w:tc>
              <w:tc>
                <w:tcPr>
                  <w:tcW w:w="1108" w:type="dxa"/>
                  <w:tcBorders>
                    <w:top w:val="nil"/>
                    <w:left w:val="nil"/>
                    <w:bottom w:val="single" w:sz="4" w:space="0" w:color="auto"/>
                    <w:right w:val="single" w:sz="4" w:space="0" w:color="auto"/>
                  </w:tcBorders>
                  <w:shd w:val="clear" w:color="auto" w:fill="auto"/>
                  <w:noWrap/>
                  <w:vAlign w:val="center"/>
                  <w:hideMark/>
                </w:tcPr>
                <w:p w14:paraId="681006C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-84,41</w:t>
                  </w:r>
                </w:p>
              </w:tc>
            </w:tr>
            <w:tr w:rsidR="00F56356" w:rsidRPr="00F56356" w14:paraId="1850E7AC"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E7D1CE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149 pg.1</w:t>
                  </w:r>
                </w:p>
              </w:tc>
              <w:tc>
                <w:tcPr>
                  <w:tcW w:w="1506" w:type="dxa"/>
                  <w:tcBorders>
                    <w:top w:val="nil"/>
                    <w:left w:val="nil"/>
                    <w:bottom w:val="single" w:sz="4" w:space="0" w:color="auto"/>
                    <w:right w:val="single" w:sz="4" w:space="0" w:color="auto"/>
                  </w:tcBorders>
                  <w:shd w:val="clear" w:color="auto" w:fill="auto"/>
                  <w:noWrap/>
                  <w:vAlign w:val="center"/>
                  <w:hideMark/>
                </w:tcPr>
                <w:p w14:paraId="20CB9B7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62.110,56</w:t>
                  </w:r>
                </w:p>
              </w:tc>
              <w:tc>
                <w:tcPr>
                  <w:tcW w:w="1490" w:type="dxa"/>
                  <w:tcBorders>
                    <w:top w:val="nil"/>
                    <w:left w:val="nil"/>
                    <w:bottom w:val="single" w:sz="4" w:space="0" w:color="auto"/>
                    <w:right w:val="single" w:sz="4" w:space="0" w:color="auto"/>
                  </w:tcBorders>
                  <w:shd w:val="clear" w:color="auto" w:fill="auto"/>
                  <w:noWrap/>
                  <w:vAlign w:val="center"/>
                  <w:hideMark/>
                </w:tcPr>
                <w:p w14:paraId="3E182FA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1.877,35</w:t>
                  </w:r>
                </w:p>
              </w:tc>
              <w:tc>
                <w:tcPr>
                  <w:tcW w:w="953" w:type="dxa"/>
                  <w:tcBorders>
                    <w:top w:val="nil"/>
                    <w:left w:val="nil"/>
                    <w:bottom w:val="single" w:sz="4" w:space="0" w:color="auto"/>
                    <w:right w:val="single" w:sz="4" w:space="0" w:color="auto"/>
                  </w:tcBorders>
                  <w:shd w:val="clear" w:color="auto" w:fill="auto"/>
                  <w:noWrap/>
                  <w:vAlign w:val="center"/>
                  <w:hideMark/>
                </w:tcPr>
                <w:p w14:paraId="40E9B49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60C226A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96,98</w:t>
                  </w:r>
                </w:p>
              </w:tc>
              <w:tc>
                <w:tcPr>
                  <w:tcW w:w="1108" w:type="dxa"/>
                  <w:tcBorders>
                    <w:top w:val="nil"/>
                    <w:left w:val="nil"/>
                    <w:bottom w:val="single" w:sz="4" w:space="0" w:color="auto"/>
                    <w:right w:val="single" w:sz="4" w:space="0" w:color="auto"/>
                  </w:tcBorders>
                  <w:shd w:val="clear" w:color="auto" w:fill="auto"/>
                  <w:noWrap/>
                  <w:vAlign w:val="center"/>
                  <w:hideMark/>
                </w:tcPr>
                <w:p w14:paraId="1350A83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4107615A"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2D467B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149 pg.2</w:t>
                  </w:r>
                </w:p>
              </w:tc>
              <w:tc>
                <w:tcPr>
                  <w:tcW w:w="1506" w:type="dxa"/>
                  <w:tcBorders>
                    <w:top w:val="nil"/>
                    <w:left w:val="nil"/>
                    <w:bottom w:val="single" w:sz="4" w:space="0" w:color="auto"/>
                    <w:right w:val="single" w:sz="4" w:space="0" w:color="auto"/>
                  </w:tcBorders>
                  <w:shd w:val="clear" w:color="auto" w:fill="auto"/>
                  <w:noWrap/>
                  <w:vAlign w:val="center"/>
                  <w:hideMark/>
                </w:tcPr>
                <w:p w14:paraId="599C5E4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38.942,73</w:t>
                  </w:r>
                </w:p>
              </w:tc>
              <w:tc>
                <w:tcPr>
                  <w:tcW w:w="1490" w:type="dxa"/>
                  <w:tcBorders>
                    <w:top w:val="nil"/>
                    <w:left w:val="nil"/>
                    <w:bottom w:val="single" w:sz="4" w:space="0" w:color="auto"/>
                    <w:right w:val="single" w:sz="4" w:space="0" w:color="auto"/>
                  </w:tcBorders>
                  <w:shd w:val="clear" w:color="auto" w:fill="auto"/>
                  <w:noWrap/>
                  <w:vAlign w:val="center"/>
                  <w:hideMark/>
                </w:tcPr>
                <w:p w14:paraId="5ED8BE0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w:t>
                  </w:r>
                </w:p>
              </w:tc>
              <w:tc>
                <w:tcPr>
                  <w:tcW w:w="953" w:type="dxa"/>
                  <w:tcBorders>
                    <w:top w:val="nil"/>
                    <w:left w:val="nil"/>
                    <w:bottom w:val="single" w:sz="4" w:space="0" w:color="auto"/>
                    <w:right w:val="single" w:sz="4" w:space="0" w:color="auto"/>
                  </w:tcBorders>
                  <w:shd w:val="clear" w:color="auto" w:fill="auto"/>
                  <w:noWrap/>
                  <w:vAlign w:val="center"/>
                  <w:hideMark/>
                </w:tcPr>
                <w:p w14:paraId="3BFFDBC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619F401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99,98</w:t>
                  </w:r>
                </w:p>
              </w:tc>
              <w:tc>
                <w:tcPr>
                  <w:tcW w:w="1108" w:type="dxa"/>
                  <w:tcBorders>
                    <w:top w:val="nil"/>
                    <w:left w:val="nil"/>
                    <w:bottom w:val="single" w:sz="4" w:space="0" w:color="auto"/>
                    <w:right w:val="single" w:sz="4" w:space="0" w:color="auto"/>
                  </w:tcBorders>
                  <w:shd w:val="clear" w:color="auto" w:fill="auto"/>
                  <w:noWrap/>
                  <w:vAlign w:val="center"/>
                  <w:hideMark/>
                </w:tcPr>
                <w:p w14:paraId="356A107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39,98</w:t>
                  </w:r>
                </w:p>
              </w:tc>
            </w:tr>
            <w:tr w:rsidR="00F56356" w:rsidRPr="00F56356" w14:paraId="189B1BA8"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32EA0A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151</w:t>
                  </w:r>
                </w:p>
              </w:tc>
              <w:tc>
                <w:tcPr>
                  <w:tcW w:w="1506" w:type="dxa"/>
                  <w:tcBorders>
                    <w:top w:val="nil"/>
                    <w:left w:val="nil"/>
                    <w:bottom w:val="single" w:sz="4" w:space="0" w:color="auto"/>
                    <w:right w:val="single" w:sz="4" w:space="0" w:color="auto"/>
                  </w:tcBorders>
                  <w:shd w:val="clear" w:color="auto" w:fill="auto"/>
                  <w:noWrap/>
                  <w:vAlign w:val="center"/>
                  <w:hideMark/>
                </w:tcPr>
                <w:p w14:paraId="3ED5C9C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413.234,85</w:t>
                  </w:r>
                </w:p>
              </w:tc>
              <w:tc>
                <w:tcPr>
                  <w:tcW w:w="1490" w:type="dxa"/>
                  <w:tcBorders>
                    <w:top w:val="nil"/>
                    <w:left w:val="nil"/>
                    <w:bottom w:val="single" w:sz="4" w:space="0" w:color="auto"/>
                    <w:right w:val="single" w:sz="4" w:space="0" w:color="auto"/>
                  </w:tcBorders>
                  <w:shd w:val="clear" w:color="auto" w:fill="auto"/>
                  <w:noWrap/>
                  <w:vAlign w:val="center"/>
                  <w:hideMark/>
                </w:tcPr>
                <w:p w14:paraId="2AABEB4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206EF8C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67" w:type="dxa"/>
                  <w:tcBorders>
                    <w:top w:val="nil"/>
                    <w:left w:val="nil"/>
                    <w:bottom w:val="single" w:sz="4" w:space="0" w:color="auto"/>
                    <w:right w:val="single" w:sz="4" w:space="0" w:color="auto"/>
                  </w:tcBorders>
                  <w:shd w:val="clear" w:color="auto" w:fill="auto"/>
                  <w:noWrap/>
                  <w:vAlign w:val="center"/>
                  <w:hideMark/>
                </w:tcPr>
                <w:p w14:paraId="5C4A1A1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21D8E37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r>
            <w:tr w:rsidR="00F56356" w:rsidRPr="00F56356" w14:paraId="68E6F692"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180C43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153</w:t>
                  </w:r>
                </w:p>
              </w:tc>
              <w:tc>
                <w:tcPr>
                  <w:tcW w:w="1506" w:type="dxa"/>
                  <w:tcBorders>
                    <w:top w:val="nil"/>
                    <w:left w:val="nil"/>
                    <w:bottom w:val="single" w:sz="4" w:space="0" w:color="auto"/>
                    <w:right w:val="single" w:sz="4" w:space="0" w:color="auto"/>
                  </w:tcBorders>
                  <w:shd w:val="clear" w:color="auto" w:fill="auto"/>
                  <w:noWrap/>
                  <w:vAlign w:val="center"/>
                  <w:hideMark/>
                </w:tcPr>
                <w:p w14:paraId="13F33C3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188.799,60</w:t>
                  </w:r>
                </w:p>
              </w:tc>
              <w:tc>
                <w:tcPr>
                  <w:tcW w:w="1490" w:type="dxa"/>
                  <w:tcBorders>
                    <w:top w:val="nil"/>
                    <w:left w:val="nil"/>
                    <w:bottom w:val="single" w:sz="4" w:space="0" w:color="auto"/>
                    <w:right w:val="single" w:sz="4" w:space="0" w:color="auto"/>
                  </w:tcBorders>
                  <w:shd w:val="clear" w:color="auto" w:fill="auto"/>
                  <w:noWrap/>
                  <w:vAlign w:val="center"/>
                  <w:hideMark/>
                </w:tcPr>
                <w:p w14:paraId="75597DC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3.682,78</w:t>
                  </w:r>
                </w:p>
              </w:tc>
              <w:tc>
                <w:tcPr>
                  <w:tcW w:w="953" w:type="dxa"/>
                  <w:tcBorders>
                    <w:top w:val="nil"/>
                    <w:left w:val="nil"/>
                    <w:bottom w:val="single" w:sz="4" w:space="0" w:color="auto"/>
                    <w:right w:val="single" w:sz="4" w:space="0" w:color="auto"/>
                  </w:tcBorders>
                  <w:shd w:val="clear" w:color="auto" w:fill="auto"/>
                  <w:noWrap/>
                  <w:vAlign w:val="center"/>
                  <w:hideMark/>
                </w:tcPr>
                <w:p w14:paraId="053AB11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w:t>
                  </w:r>
                </w:p>
              </w:tc>
              <w:tc>
                <w:tcPr>
                  <w:tcW w:w="1167" w:type="dxa"/>
                  <w:tcBorders>
                    <w:top w:val="nil"/>
                    <w:left w:val="nil"/>
                    <w:bottom w:val="single" w:sz="4" w:space="0" w:color="auto"/>
                    <w:right w:val="single" w:sz="4" w:space="0" w:color="auto"/>
                  </w:tcBorders>
                  <w:shd w:val="clear" w:color="auto" w:fill="auto"/>
                  <w:noWrap/>
                  <w:vAlign w:val="center"/>
                  <w:hideMark/>
                </w:tcPr>
                <w:p w14:paraId="37A917A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98,05</w:t>
                  </w:r>
                </w:p>
              </w:tc>
              <w:tc>
                <w:tcPr>
                  <w:tcW w:w="1108" w:type="dxa"/>
                  <w:tcBorders>
                    <w:top w:val="nil"/>
                    <w:left w:val="nil"/>
                    <w:bottom w:val="single" w:sz="4" w:space="0" w:color="auto"/>
                    <w:right w:val="single" w:sz="4" w:space="0" w:color="auto"/>
                  </w:tcBorders>
                  <w:shd w:val="clear" w:color="auto" w:fill="auto"/>
                  <w:noWrap/>
                  <w:vAlign w:val="center"/>
                  <w:hideMark/>
                </w:tcPr>
                <w:p w14:paraId="6CFE0A8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3,05</w:t>
                  </w:r>
                </w:p>
              </w:tc>
            </w:tr>
            <w:tr w:rsidR="00F56356" w:rsidRPr="00F56356" w14:paraId="7F6DD4BC"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F8E1FE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155</w:t>
                  </w:r>
                </w:p>
              </w:tc>
              <w:tc>
                <w:tcPr>
                  <w:tcW w:w="1506" w:type="dxa"/>
                  <w:tcBorders>
                    <w:top w:val="nil"/>
                    <w:left w:val="nil"/>
                    <w:bottom w:val="single" w:sz="4" w:space="0" w:color="auto"/>
                    <w:right w:val="single" w:sz="4" w:space="0" w:color="auto"/>
                  </w:tcBorders>
                  <w:shd w:val="clear" w:color="auto" w:fill="auto"/>
                  <w:noWrap/>
                  <w:vAlign w:val="center"/>
                  <w:hideMark/>
                </w:tcPr>
                <w:p w14:paraId="0A6B754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313.757,42</w:t>
                  </w:r>
                </w:p>
              </w:tc>
              <w:tc>
                <w:tcPr>
                  <w:tcW w:w="1490" w:type="dxa"/>
                  <w:tcBorders>
                    <w:top w:val="nil"/>
                    <w:left w:val="nil"/>
                    <w:bottom w:val="single" w:sz="4" w:space="0" w:color="auto"/>
                    <w:right w:val="single" w:sz="4" w:space="0" w:color="auto"/>
                  </w:tcBorders>
                  <w:shd w:val="clear" w:color="auto" w:fill="auto"/>
                  <w:noWrap/>
                  <w:vAlign w:val="center"/>
                  <w:hideMark/>
                </w:tcPr>
                <w:p w14:paraId="577E144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161.183,74</w:t>
                  </w:r>
                </w:p>
              </w:tc>
              <w:tc>
                <w:tcPr>
                  <w:tcW w:w="953" w:type="dxa"/>
                  <w:tcBorders>
                    <w:top w:val="nil"/>
                    <w:left w:val="nil"/>
                    <w:bottom w:val="single" w:sz="4" w:space="0" w:color="auto"/>
                    <w:right w:val="single" w:sz="4" w:space="0" w:color="auto"/>
                  </w:tcBorders>
                  <w:shd w:val="clear" w:color="auto" w:fill="auto"/>
                  <w:noWrap/>
                  <w:vAlign w:val="center"/>
                  <w:hideMark/>
                </w:tcPr>
                <w:p w14:paraId="1ADBF30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w:t>
                  </w:r>
                </w:p>
              </w:tc>
              <w:tc>
                <w:tcPr>
                  <w:tcW w:w="1167" w:type="dxa"/>
                  <w:tcBorders>
                    <w:top w:val="nil"/>
                    <w:left w:val="nil"/>
                    <w:bottom w:val="single" w:sz="4" w:space="0" w:color="auto"/>
                    <w:right w:val="single" w:sz="4" w:space="0" w:color="auto"/>
                  </w:tcBorders>
                  <w:shd w:val="clear" w:color="auto" w:fill="auto"/>
                  <w:noWrap/>
                  <w:vAlign w:val="center"/>
                  <w:hideMark/>
                </w:tcPr>
                <w:p w14:paraId="03083A1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48,63</w:t>
                  </w:r>
                </w:p>
              </w:tc>
              <w:tc>
                <w:tcPr>
                  <w:tcW w:w="1108" w:type="dxa"/>
                  <w:tcBorders>
                    <w:top w:val="nil"/>
                    <w:left w:val="nil"/>
                    <w:bottom w:val="single" w:sz="4" w:space="0" w:color="auto"/>
                    <w:right w:val="single" w:sz="4" w:space="0" w:color="auto"/>
                  </w:tcBorders>
                  <w:shd w:val="clear" w:color="auto" w:fill="auto"/>
                  <w:noWrap/>
                  <w:vAlign w:val="center"/>
                  <w:hideMark/>
                </w:tcPr>
                <w:p w14:paraId="6DA8CA8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-16,37</w:t>
                  </w:r>
                </w:p>
              </w:tc>
            </w:tr>
            <w:tr w:rsidR="00F56356" w:rsidRPr="00F56356" w14:paraId="697C606A"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3873CA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156</w:t>
                  </w:r>
                </w:p>
              </w:tc>
              <w:tc>
                <w:tcPr>
                  <w:tcW w:w="1506" w:type="dxa"/>
                  <w:tcBorders>
                    <w:top w:val="nil"/>
                    <w:left w:val="nil"/>
                    <w:bottom w:val="single" w:sz="4" w:space="0" w:color="auto"/>
                    <w:right w:val="single" w:sz="4" w:space="0" w:color="auto"/>
                  </w:tcBorders>
                  <w:shd w:val="clear" w:color="auto" w:fill="auto"/>
                  <w:noWrap/>
                  <w:vAlign w:val="center"/>
                  <w:hideMark/>
                </w:tcPr>
                <w:p w14:paraId="662E1B4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109.523,48</w:t>
                  </w:r>
                </w:p>
              </w:tc>
              <w:tc>
                <w:tcPr>
                  <w:tcW w:w="1490" w:type="dxa"/>
                  <w:tcBorders>
                    <w:top w:val="nil"/>
                    <w:left w:val="nil"/>
                    <w:bottom w:val="single" w:sz="4" w:space="0" w:color="auto"/>
                    <w:right w:val="single" w:sz="4" w:space="0" w:color="auto"/>
                  </w:tcBorders>
                  <w:shd w:val="clear" w:color="auto" w:fill="auto"/>
                  <w:noWrap/>
                  <w:vAlign w:val="center"/>
                  <w:hideMark/>
                </w:tcPr>
                <w:p w14:paraId="11DA038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55.558,09</w:t>
                  </w:r>
                </w:p>
              </w:tc>
              <w:tc>
                <w:tcPr>
                  <w:tcW w:w="953" w:type="dxa"/>
                  <w:tcBorders>
                    <w:top w:val="nil"/>
                    <w:left w:val="nil"/>
                    <w:bottom w:val="single" w:sz="4" w:space="0" w:color="auto"/>
                    <w:right w:val="single" w:sz="4" w:space="0" w:color="auto"/>
                  </w:tcBorders>
                  <w:shd w:val="clear" w:color="auto" w:fill="auto"/>
                  <w:noWrap/>
                  <w:vAlign w:val="center"/>
                  <w:hideMark/>
                </w:tcPr>
                <w:p w14:paraId="73C658D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w:t>
                  </w:r>
                </w:p>
              </w:tc>
              <w:tc>
                <w:tcPr>
                  <w:tcW w:w="1167" w:type="dxa"/>
                  <w:tcBorders>
                    <w:top w:val="nil"/>
                    <w:left w:val="nil"/>
                    <w:bottom w:val="single" w:sz="4" w:space="0" w:color="auto"/>
                    <w:right w:val="single" w:sz="4" w:space="0" w:color="auto"/>
                  </w:tcBorders>
                  <w:shd w:val="clear" w:color="auto" w:fill="auto"/>
                  <w:noWrap/>
                  <w:vAlign w:val="center"/>
                  <w:hideMark/>
                </w:tcPr>
                <w:p w14:paraId="1B4B012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49,27</w:t>
                  </w:r>
                </w:p>
              </w:tc>
              <w:tc>
                <w:tcPr>
                  <w:tcW w:w="1108" w:type="dxa"/>
                  <w:tcBorders>
                    <w:top w:val="nil"/>
                    <w:left w:val="nil"/>
                    <w:bottom w:val="single" w:sz="4" w:space="0" w:color="auto"/>
                    <w:right w:val="single" w:sz="4" w:space="0" w:color="auto"/>
                  </w:tcBorders>
                  <w:shd w:val="clear" w:color="auto" w:fill="auto"/>
                  <w:noWrap/>
                  <w:vAlign w:val="center"/>
                  <w:hideMark/>
                </w:tcPr>
                <w:p w14:paraId="277909D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-15,73</w:t>
                  </w:r>
                </w:p>
              </w:tc>
            </w:tr>
            <w:tr w:rsidR="00F56356" w:rsidRPr="00F56356" w14:paraId="25218804"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38BA96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157</w:t>
                  </w:r>
                </w:p>
              </w:tc>
              <w:tc>
                <w:tcPr>
                  <w:tcW w:w="1506" w:type="dxa"/>
                  <w:tcBorders>
                    <w:top w:val="nil"/>
                    <w:left w:val="nil"/>
                    <w:bottom w:val="single" w:sz="4" w:space="0" w:color="auto"/>
                    <w:right w:val="single" w:sz="4" w:space="0" w:color="auto"/>
                  </w:tcBorders>
                  <w:shd w:val="clear" w:color="auto" w:fill="auto"/>
                  <w:noWrap/>
                  <w:vAlign w:val="center"/>
                  <w:hideMark/>
                </w:tcPr>
                <w:p w14:paraId="7FEDFD7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28.028,00</w:t>
                  </w:r>
                </w:p>
              </w:tc>
              <w:tc>
                <w:tcPr>
                  <w:tcW w:w="1490" w:type="dxa"/>
                  <w:tcBorders>
                    <w:top w:val="nil"/>
                    <w:left w:val="nil"/>
                    <w:bottom w:val="single" w:sz="4" w:space="0" w:color="auto"/>
                    <w:right w:val="single" w:sz="4" w:space="0" w:color="auto"/>
                  </w:tcBorders>
                  <w:shd w:val="clear" w:color="auto" w:fill="auto"/>
                  <w:noWrap/>
                  <w:vAlign w:val="center"/>
                  <w:hideMark/>
                </w:tcPr>
                <w:p w14:paraId="6822FCB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214654B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w:t>
                  </w:r>
                </w:p>
              </w:tc>
              <w:tc>
                <w:tcPr>
                  <w:tcW w:w="1167" w:type="dxa"/>
                  <w:tcBorders>
                    <w:top w:val="nil"/>
                    <w:left w:val="nil"/>
                    <w:bottom w:val="single" w:sz="4" w:space="0" w:color="auto"/>
                    <w:right w:val="single" w:sz="4" w:space="0" w:color="auto"/>
                  </w:tcBorders>
                  <w:shd w:val="clear" w:color="auto" w:fill="auto"/>
                  <w:noWrap/>
                  <w:vAlign w:val="center"/>
                  <w:hideMark/>
                </w:tcPr>
                <w:p w14:paraId="222C047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0DB2F30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w:t>
                  </w:r>
                </w:p>
              </w:tc>
            </w:tr>
            <w:tr w:rsidR="00F56356" w:rsidRPr="00F56356" w14:paraId="389B5B28"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26BD7B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158</w:t>
                  </w:r>
                </w:p>
              </w:tc>
              <w:tc>
                <w:tcPr>
                  <w:tcW w:w="1506" w:type="dxa"/>
                  <w:tcBorders>
                    <w:top w:val="nil"/>
                    <w:left w:val="nil"/>
                    <w:bottom w:val="single" w:sz="4" w:space="0" w:color="auto"/>
                    <w:right w:val="single" w:sz="4" w:space="0" w:color="auto"/>
                  </w:tcBorders>
                  <w:shd w:val="clear" w:color="auto" w:fill="auto"/>
                  <w:noWrap/>
                  <w:vAlign w:val="center"/>
                  <w:hideMark/>
                </w:tcPr>
                <w:p w14:paraId="4E3EA42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14.805,71</w:t>
                  </w:r>
                </w:p>
              </w:tc>
              <w:tc>
                <w:tcPr>
                  <w:tcW w:w="1490" w:type="dxa"/>
                  <w:tcBorders>
                    <w:top w:val="nil"/>
                    <w:left w:val="nil"/>
                    <w:bottom w:val="single" w:sz="4" w:space="0" w:color="auto"/>
                    <w:right w:val="single" w:sz="4" w:space="0" w:color="auto"/>
                  </w:tcBorders>
                  <w:shd w:val="clear" w:color="auto" w:fill="auto"/>
                  <w:noWrap/>
                  <w:vAlign w:val="center"/>
                  <w:hideMark/>
                </w:tcPr>
                <w:p w14:paraId="542B3F0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9,19</w:t>
                  </w:r>
                </w:p>
              </w:tc>
              <w:tc>
                <w:tcPr>
                  <w:tcW w:w="953" w:type="dxa"/>
                  <w:tcBorders>
                    <w:top w:val="nil"/>
                    <w:left w:val="nil"/>
                    <w:bottom w:val="single" w:sz="4" w:space="0" w:color="auto"/>
                    <w:right w:val="single" w:sz="4" w:space="0" w:color="auto"/>
                  </w:tcBorders>
                  <w:shd w:val="clear" w:color="auto" w:fill="auto"/>
                  <w:noWrap/>
                  <w:vAlign w:val="center"/>
                  <w:hideMark/>
                </w:tcPr>
                <w:p w14:paraId="1A1D125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6855223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99,94</w:t>
                  </w:r>
                </w:p>
              </w:tc>
              <w:tc>
                <w:tcPr>
                  <w:tcW w:w="1108" w:type="dxa"/>
                  <w:tcBorders>
                    <w:top w:val="nil"/>
                    <w:left w:val="nil"/>
                    <w:bottom w:val="single" w:sz="4" w:space="0" w:color="auto"/>
                    <w:right w:val="single" w:sz="4" w:space="0" w:color="auto"/>
                  </w:tcBorders>
                  <w:shd w:val="clear" w:color="auto" w:fill="auto"/>
                  <w:noWrap/>
                  <w:vAlign w:val="center"/>
                  <w:hideMark/>
                </w:tcPr>
                <w:p w14:paraId="250E81E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2308807"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B04E34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163</w:t>
                  </w:r>
                </w:p>
              </w:tc>
              <w:tc>
                <w:tcPr>
                  <w:tcW w:w="1506" w:type="dxa"/>
                  <w:tcBorders>
                    <w:top w:val="nil"/>
                    <w:left w:val="nil"/>
                    <w:bottom w:val="single" w:sz="4" w:space="0" w:color="auto"/>
                    <w:right w:val="single" w:sz="4" w:space="0" w:color="auto"/>
                  </w:tcBorders>
                  <w:shd w:val="clear" w:color="auto" w:fill="auto"/>
                  <w:noWrap/>
                  <w:vAlign w:val="center"/>
                  <w:hideMark/>
                </w:tcPr>
                <w:p w14:paraId="458EE04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139.906,35</w:t>
                  </w:r>
                </w:p>
              </w:tc>
              <w:tc>
                <w:tcPr>
                  <w:tcW w:w="1490" w:type="dxa"/>
                  <w:tcBorders>
                    <w:top w:val="nil"/>
                    <w:left w:val="nil"/>
                    <w:bottom w:val="single" w:sz="4" w:space="0" w:color="auto"/>
                    <w:right w:val="single" w:sz="4" w:space="0" w:color="auto"/>
                  </w:tcBorders>
                  <w:shd w:val="clear" w:color="auto" w:fill="auto"/>
                  <w:noWrap/>
                  <w:vAlign w:val="center"/>
                  <w:hideMark/>
                </w:tcPr>
                <w:p w14:paraId="153F997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53" w:type="dxa"/>
                  <w:tcBorders>
                    <w:top w:val="nil"/>
                    <w:left w:val="nil"/>
                    <w:bottom w:val="single" w:sz="4" w:space="0" w:color="auto"/>
                    <w:right w:val="single" w:sz="4" w:space="0" w:color="auto"/>
                  </w:tcBorders>
                  <w:shd w:val="clear" w:color="auto" w:fill="auto"/>
                  <w:noWrap/>
                  <w:vAlign w:val="center"/>
                  <w:hideMark/>
                </w:tcPr>
                <w:p w14:paraId="43EFBD4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c>
                <w:tcPr>
                  <w:tcW w:w="1167" w:type="dxa"/>
                  <w:tcBorders>
                    <w:top w:val="nil"/>
                    <w:left w:val="nil"/>
                    <w:bottom w:val="single" w:sz="4" w:space="0" w:color="auto"/>
                    <w:right w:val="single" w:sz="4" w:space="0" w:color="auto"/>
                  </w:tcBorders>
                  <w:shd w:val="clear" w:color="auto" w:fill="auto"/>
                  <w:noWrap/>
                  <w:vAlign w:val="center"/>
                  <w:hideMark/>
                </w:tcPr>
                <w:p w14:paraId="5F3E26F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6E698C1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r>
            <w:tr w:rsidR="00F56356" w:rsidRPr="00F56356" w14:paraId="66070734"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7ADF529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166</w:t>
                  </w:r>
                </w:p>
              </w:tc>
              <w:tc>
                <w:tcPr>
                  <w:tcW w:w="1506" w:type="dxa"/>
                  <w:tcBorders>
                    <w:top w:val="nil"/>
                    <w:left w:val="nil"/>
                    <w:bottom w:val="single" w:sz="4" w:space="0" w:color="auto"/>
                    <w:right w:val="single" w:sz="4" w:space="0" w:color="auto"/>
                  </w:tcBorders>
                  <w:shd w:val="clear" w:color="auto" w:fill="auto"/>
                  <w:noWrap/>
                  <w:vAlign w:val="center"/>
                  <w:hideMark/>
                </w:tcPr>
                <w:p w14:paraId="646FD00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748.904,82</w:t>
                  </w:r>
                </w:p>
              </w:tc>
              <w:tc>
                <w:tcPr>
                  <w:tcW w:w="1490" w:type="dxa"/>
                  <w:tcBorders>
                    <w:top w:val="nil"/>
                    <w:left w:val="nil"/>
                    <w:bottom w:val="single" w:sz="4" w:space="0" w:color="auto"/>
                    <w:right w:val="single" w:sz="4" w:space="0" w:color="auto"/>
                  </w:tcBorders>
                  <w:shd w:val="clear" w:color="auto" w:fill="auto"/>
                  <w:noWrap/>
                  <w:vAlign w:val="center"/>
                  <w:hideMark/>
                </w:tcPr>
                <w:p w14:paraId="308C9BD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90.630,97</w:t>
                  </w:r>
                </w:p>
              </w:tc>
              <w:tc>
                <w:tcPr>
                  <w:tcW w:w="953" w:type="dxa"/>
                  <w:tcBorders>
                    <w:top w:val="nil"/>
                    <w:left w:val="nil"/>
                    <w:bottom w:val="single" w:sz="4" w:space="0" w:color="auto"/>
                    <w:right w:val="single" w:sz="4" w:space="0" w:color="auto"/>
                  </w:tcBorders>
                  <w:shd w:val="clear" w:color="auto" w:fill="auto"/>
                  <w:noWrap/>
                  <w:vAlign w:val="center"/>
                  <w:hideMark/>
                </w:tcPr>
                <w:p w14:paraId="1D439E9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167" w:type="dxa"/>
                  <w:tcBorders>
                    <w:top w:val="nil"/>
                    <w:left w:val="nil"/>
                    <w:bottom w:val="single" w:sz="4" w:space="0" w:color="auto"/>
                    <w:right w:val="single" w:sz="4" w:space="0" w:color="auto"/>
                  </w:tcBorders>
                  <w:shd w:val="clear" w:color="auto" w:fill="auto"/>
                  <w:noWrap/>
                  <w:vAlign w:val="center"/>
                  <w:hideMark/>
                </w:tcPr>
                <w:p w14:paraId="4628AB2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87,90</w:t>
                  </w:r>
                </w:p>
              </w:tc>
              <w:tc>
                <w:tcPr>
                  <w:tcW w:w="1108" w:type="dxa"/>
                  <w:tcBorders>
                    <w:top w:val="nil"/>
                    <w:left w:val="nil"/>
                    <w:bottom w:val="single" w:sz="4" w:space="0" w:color="auto"/>
                    <w:right w:val="single" w:sz="4" w:space="0" w:color="auto"/>
                  </w:tcBorders>
                  <w:shd w:val="clear" w:color="auto" w:fill="auto"/>
                  <w:noWrap/>
                  <w:vAlign w:val="center"/>
                  <w:hideMark/>
                </w:tcPr>
                <w:p w14:paraId="213AC0E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17,90</w:t>
                  </w:r>
                </w:p>
              </w:tc>
            </w:tr>
            <w:tr w:rsidR="00F56356" w:rsidRPr="00F56356" w14:paraId="660EE826"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6AC32F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167</w:t>
                  </w:r>
                </w:p>
              </w:tc>
              <w:tc>
                <w:tcPr>
                  <w:tcW w:w="1506" w:type="dxa"/>
                  <w:tcBorders>
                    <w:top w:val="nil"/>
                    <w:left w:val="nil"/>
                    <w:bottom w:val="single" w:sz="4" w:space="0" w:color="auto"/>
                    <w:right w:val="single" w:sz="4" w:space="0" w:color="auto"/>
                  </w:tcBorders>
                  <w:shd w:val="clear" w:color="auto" w:fill="auto"/>
                  <w:noWrap/>
                  <w:vAlign w:val="center"/>
                  <w:hideMark/>
                </w:tcPr>
                <w:p w14:paraId="072B850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210.469,98</w:t>
                  </w:r>
                </w:p>
              </w:tc>
              <w:tc>
                <w:tcPr>
                  <w:tcW w:w="1490" w:type="dxa"/>
                  <w:tcBorders>
                    <w:top w:val="nil"/>
                    <w:left w:val="nil"/>
                    <w:bottom w:val="single" w:sz="4" w:space="0" w:color="auto"/>
                    <w:right w:val="single" w:sz="4" w:space="0" w:color="auto"/>
                  </w:tcBorders>
                  <w:shd w:val="clear" w:color="auto" w:fill="auto"/>
                  <w:noWrap/>
                  <w:vAlign w:val="center"/>
                  <w:hideMark/>
                </w:tcPr>
                <w:p w14:paraId="2B9BDF0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15C6BAF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03FFB03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0318B61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B750985"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4ECD87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169</w:t>
                  </w:r>
                </w:p>
              </w:tc>
              <w:tc>
                <w:tcPr>
                  <w:tcW w:w="1506" w:type="dxa"/>
                  <w:tcBorders>
                    <w:top w:val="nil"/>
                    <w:left w:val="nil"/>
                    <w:bottom w:val="single" w:sz="4" w:space="0" w:color="auto"/>
                    <w:right w:val="single" w:sz="4" w:space="0" w:color="auto"/>
                  </w:tcBorders>
                  <w:shd w:val="clear" w:color="auto" w:fill="auto"/>
                  <w:noWrap/>
                  <w:vAlign w:val="center"/>
                  <w:hideMark/>
                </w:tcPr>
                <w:p w14:paraId="6D38415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7.534,46</w:t>
                  </w:r>
                </w:p>
              </w:tc>
              <w:tc>
                <w:tcPr>
                  <w:tcW w:w="1490" w:type="dxa"/>
                  <w:tcBorders>
                    <w:top w:val="nil"/>
                    <w:left w:val="nil"/>
                    <w:bottom w:val="single" w:sz="4" w:space="0" w:color="auto"/>
                    <w:right w:val="single" w:sz="4" w:space="0" w:color="auto"/>
                  </w:tcBorders>
                  <w:shd w:val="clear" w:color="auto" w:fill="auto"/>
                  <w:noWrap/>
                  <w:vAlign w:val="center"/>
                  <w:hideMark/>
                </w:tcPr>
                <w:p w14:paraId="222F7BB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12AA4F3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2AAE814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03A2110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27FD39C0"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3FB1F7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197</w:t>
                  </w:r>
                </w:p>
              </w:tc>
              <w:tc>
                <w:tcPr>
                  <w:tcW w:w="1506" w:type="dxa"/>
                  <w:tcBorders>
                    <w:top w:val="nil"/>
                    <w:left w:val="nil"/>
                    <w:bottom w:val="single" w:sz="4" w:space="0" w:color="auto"/>
                    <w:right w:val="single" w:sz="4" w:space="0" w:color="auto"/>
                  </w:tcBorders>
                  <w:shd w:val="clear" w:color="auto" w:fill="auto"/>
                  <w:noWrap/>
                  <w:vAlign w:val="center"/>
                  <w:hideMark/>
                </w:tcPr>
                <w:p w14:paraId="63F1E9B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63.006,09</w:t>
                  </w:r>
                </w:p>
              </w:tc>
              <w:tc>
                <w:tcPr>
                  <w:tcW w:w="1490" w:type="dxa"/>
                  <w:tcBorders>
                    <w:top w:val="nil"/>
                    <w:left w:val="nil"/>
                    <w:bottom w:val="single" w:sz="4" w:space="0" w:color="auto"/>
                    <w:right w:val="single" w:sz="4" w:space="0" w:color="auto"/>
                  </w:tcBorders>
                  <w:shd w:val="clear" w:color="auto" w:fill="auto"/>
                  <w:noWrap/>
                  <w:vAlign w:val="center"/>
                  <w:hideMark/>
                </w:tcPr>
                <w:p w14:paraId="52A0367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3" w:type="dxa"/>
                  <w:tcBorders>
                    <w:top w:val="nil"/>
                    <w:left w:val="nil"/>
                    <w:bottom w:val="single" w:sz="4" w:space="0" w:color="auto"/>
                    <w:right w:val="single" w:sz="4" w:space="0" w:color="auto"/>
                  </w:tcBorders>
                  <w:shd w:val="clear" w:color="auto" w:fill="auto"/>
                  <w:noWrap/>
                  <w:vAlign w:val="center"/>
                  <w:hideMark/>
                </w:tcPr>
                <w:p w14:paraId="675698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002EBA9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8" w:type="dxa"/>
                  <w:tcBorders>
                    <w:top w:val="nil"/>
                    <w:left w:val="nil"/>
                    <w:bottom w:val="single" w:sz="4" w:space="0" w:color="auto"/>
                    <w:right w:val="single" w:sz="4" w:space="0" w:color="auto"/>
                  </w:tcBorders>
                  <w:shd w:val="clear" w:color="auto" w:fill="auto"/>
                  <w:noWrap/>
                  <w:vAlign w:val="center"/>
                  <w:hideMark/>
                </w:tcPr>
                <w:p w14:paraId="1BB91F9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01773F84"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89D397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209</w:t>
                  </w:r>
                </w:p>
              </w:tc>
              <w:tc>
                <w:tcPr>
                  <w:tcW w:w="1506" w:type="dxa"/>
                  <w:tcBorders>
                    <w:top w:val="nil"/>
                    <w:left w:val="nil"/>
                    <w:bottom w:val="single" w:sz="4" w:space="0" w:color="auto"/>
                    <w:right w:val="single" w:sz="4" w:space="0" w:color="auto"/>
                  </w:tcBorders>
                  <w:shd w:val="clear" w:color="auto" w:fill="auto"/>
                  <w:noWrap/>
                  <w:vAlign w:val="center"/>
                  <w:hideMark/>
                </w:tcPr>
                <w:p w14:paraId="02B2655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15.105,50</w:t>
                  </w:r>
                </w:p>
              </w:tc>
              <w:tc>
                <w:tcPr>
                  <w:tcW w:w="1490" w:type="dxa"/>
                  <w:tcBorders>
                    <w:top w:val="nil"/>
                    <w:left w:val="nil"/>
                    <w:bottom w:val="single" w:sz="4" w:space="0" w:color="auto"/>
                    <w:right w:val="single" w:sz="4" w:space="0" w:color="auto"/>
                  </w:tcBorders>
                  <w:shd w:val="clear" w:color="auto" w:fill="auto"/>
                  <w:noWrap/>
                  <w:vAlign w:val="center"/>
                  <w:hideMark/>
                </w:tcPr>
                <w:p w14:paraId="10E6B60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8,00</w:t>
                  </w:r>
                </w:p>
              </w:tc>
              <w:tc>
                <w:tcPr>
                  <w:tcW w:w="953" w:type="dxa"/>
                  <w:tcBorders>
                    <w:top w:val="nil"/>
                    <w:left w:val="nil"/>
                    <w:bottom w:val="single" w:sz="4" w:space="0" w:color="auto"/>
                    <w:right w:val="single" w:sz="4" w:space="0" w:color="auto"/>
                  </w:tcBorders>
                  <w:shd w:val="clear" w:color="auto" w:fill="auto"/>
                  <w:noWrap/>
                  <w:vAlign w:val="center"/>
                  <w:hideMark/>
                </w:tcPr>
                <w:p w14:paraId="7DE1712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67" w:type="dxa"/>
                  <w:tcBorders>
                    <w:top w:val="nil"/>
                    <w:left w:val="nil"/>
                    <w:bottom w:val="single" w:sz="4" w:space="0" w:color="auto"/>
                    <w:right w:val="single" w:sz="4" w:space="0" w:color="auto"/>
                  </w:tcBorders>
                  <w:shd w:val="clear" w:color="auto" w:fill="auto"/>
                  <w:noWrap/>
                  <w:vAlign w:val="center"/>
                  <w:hideMark/>
                </w:tcPr>
                <w:p w14:paraId="4CBEAA6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99,95</w:t>
                  </w:r>
                </w:p>
              </w:tc>
              <w:tc>
                <w:tcPr>
                  <w:tcW w:w="1108" w:type="dxa"/>
                  <w:tcBorders>
                    <w:top w:val="nil"/>
                    <w:left w:val="nil"/>
                    <w:bottom w:val="single" w:sz="4" w:space="0" w:color="auto"/>
                    <w:right w:val="single" w:sz="4" w:space="0" w:color="auto"/>
                  </w:tcBorders>
                  <w:shd w:val="clear" w:color="auto" w:fill="auto"/>
                  <w:noWrap/>
                  <w:vAlign w:val="center"/>
                  <w:hideMark/>
                </w:tcPr>
                <w:p w14:paraId="499C04F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9,95</w:t>
                  </w:r>
                </w:p>
              </w:tc>
            </w:tr>
            <w:tr w:rsidR="00F56356" w:rsidRPr="00F56356" w14:paraId="4244D95F"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6CC5EE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276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1</w:t>
                  </w:r>
                </w:p>
              </w:tc>
              <w:tc>
                <w:tcPr>
                  <w:tcW w:w="1506" w:type="dxa"/>
                  <w:tcBorders>
                    <w:top w:val="nil"/>
                    <w:left w:val="nil"/>
                    <w:bottom w:val="single" w:sz="4" w:space="0" w:color="auto"/>
                    <w:right w:val="single" w:sz="4" w:space="0" w:color="auto"/>
                  </w:tcBorders>
                  <w:shd w:val="clear" w:color="auto" w:fill="auto"/>
                  <w:noWrap/>
                  <w:vAlign w:val="center"/>
                  <w:hideMark/>
                </w:tcPr>
                <w:p w14:paraId="7960B2D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60.766,79</w:t>
                  </w:r>
                </w:p>
              </w:tc>
              <w:tc>
                <w:tcPr>
                  <w:tcW w:w="1490" w:type="dxa"/>
                  <w:tcBorders>
                    <w:top w:val="nil"/>
                    <w:left w:val="nil"/>
                    <w:bottom w:val="single" w:sz="4" w:space="0" w:color="auto"/>
                    <w:right w:val="single" w:sz="4" w:space="0" w:color="auto"/>
                  </w:tcBorders>
                  <w:shd w:val="clear" w:color="auto" w:fill="auto"/>
                  <w:noWrap/>
                  <w:vAlign w:val="center"/>
                  <w:hideMark/>
                </w:tcPr>
                <w:p w14:paraId="0DBA6E0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60.766,79</w:t>
                  </w:r>
                </w:p>
              </w:tc>
              <w:tc>
                <w:tcPr>
                  <w:tcW w:w="953" w:type="dxa"/>
                  <w:tcBorders>
                    <w:top w:val="nil"/>
                    <w:left w:val="nil"/>
                    <w:bottom w:val="single" w:sz="4" w:space="0" w:color="auto"/>
                    <w:right w:val="single" w:sz="4" w:space="0" w:color="auto"/>
                  </w:tcBorders>
                  <w:shd w:val="clear" w:color="auto" w:fill="auto"/>
                  <w:noWrap/>
                  <w:vAlign w:val="center"/>
                  <w:hideMark/>
                </w:tcPr>
                <w:p w14:paraId="441CB12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1BC5FDF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08" w:type="dxa"/>
                  <w:tcBorders>
                    <w:top w:val="nil"/>
                    <w:left w:val="nil"/>
                    <w:bottom w:val="single" w:sz="4" w:space="0" w:color="auto"/>
                    <w:right w:val="single" w:sz="4" w:space="0" w:color="auto"/>
                  </w:tcBorders>
                  <w:shd w:val="clear" w:color="auto" w:fill="auto"/>
                  <w:noWrap/>
                  <w:vAlign w:val="center"/>
                  <w:hideMark/>
                </w:tcPr>
                <w:p w14:paraId="15ADA94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r>
            <w:tr w:rsidR="00F56356" w:rsidRPr="00F56356" w14:paraId="08151E7A"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653E8A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276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3</w:t>
                  </w:r>
                </w:p>
              </w:tc>
              <w:tc>
                <w:tcPr>
                  <w:tcW w:w="1506" w:type="dxa"/>
                  <w:tcBorders>
                    <w:top w:val="nil"/>
                    <w:left w:val="nil"/>
                    <w:bottom w:val="single" w:sz="4" w:space="0" w:color="auto"/>
                    <w:right w:val="single" w:sz="4" w:space="0" w:color="auto"/>
                  </w:tcBorders>
                  <w:shd w:val="clear" w:color="auto" w:fill="auto"/>
                  <w:noWrap/>
                  <w:vAlign w:val="center"/>
                  <w:hideMark/>
                </w:tcPr>
                <w:p w14:paraId="3C11320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42.200,00</w:t>
                  </w:r>
                </w:p>
              </w:tc>
              <w:tc>
                <w:tcPr>
                  <w:tcW w:w="1490" w:type="dxa"/>
                  <w:tcBorders>
                    <w:top w:val="nil"/>
                    <w:left w:val="nil"/>
                    <w:bottom w:val="single" w:sz="4" w:space="0" w:color="auto"/>
                    <w:right w:val="single" w:sz="4" w:space="0" w:color="auto"/>
                  </w:tcBorders>
                  <w:shd w:val="clear" w:color="auto" w:fill="auto"/>
                  <w:noWrap/>
                  <w:vAlign w:val="center"/>
                  <w:hideMark/>
                </w:tcPr>
                <w:p w14:paraId="7AB8E47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19.597,09</w:t>
                  </w:r>
                </w:p>
              </w:tc>
              <w:tc>
                <w:tcPr>
                  <w:tcW w:w="953" w:type="dxa"/>
                  <w:tcBorders>
                    <w:top w:val="nil"/>
                    <w:left w:val="nil"/>
                    <w:bottom w:val="single" w:sz="4" w:space="0" w:color="auto"/>
                    <w:right w:val="single" w:sz="4" w:space="0" w:color="auto"/>
                  </w:tcBorders>
                  <w:shd w:val="clear" w:color="auto" w:fill="auto"/>
                  <w:noWrap/>
                  <w:vAlign w:val="center"/>
                  <w:hideMark/>
                </w:tcPr>
                <w:p w14:paraId="2221DD0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082A5FE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53,56</w:t>
                  </w:r>
                </w:p>
              </w:tc>
              <w:tc>
                <w:tcPr>
                  <w:tcW w:w="1108" w:type="dxa"/>
                  <w:tcBorders>
                    <w:top w:val="nil"/>
                    <w:left w:val="nil"/>
                    <w:bottom w:val="single" w:sz="4" w:space="0" w:color="auto"/>
                    <w:right w:val="single" w:sz="4" w:space="0" w:color="auto"/>
                  </w:tcBorders>
                  <w:shd w:val="clear" w:color="auto" w:fill="auto"/>
                  <w:noWrap/>
                  <w:vAlign w:val="center"/>
                  <w:hideMark/>
                </w:tcPr>
                <w:p w14:paraId="5CAD86B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-6,44</w:t>
                  </w:r>
                </w:p>
              </w:tc>
            </w:tr>
            <w:tr w:rsidR="00F56356" w:rsidRPr="00F56356" w14:paraId="4460B398"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D3EF08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277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2</w:t>
                  </w:r>
                </w:p>
              </w:tc>
              <w:tc>
                <w:tcPr>
                  <w:tcW w:w="1506" w:type="dxa"/>
                  <w:tcBorders>
                    <w:top w:val="nil"/>
                    <w:left w:val="nil"/>
                    <w:bottom w:val="single" w:sz="4" w:space="0" w:color="auto"/>
                    <w:right w:val="single" w:sz="4" w:space="0" w:color="auto"/>
                  </w:tcBorders>
                  <w:shd w:val="clear" w:color="auto" w:fill="auto"/>
                  <w:noWrap/>
                  <w:vAlign w:val="center"/>
                  <w:hideMark/>
                </w:tcPr>
                <w:p w14:paraId="629F674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3.050,00</w:t>
                  </w:r>
                </w:p>
              </w:tc>
              <w:tc>
                <w:tcPr>
                  <w:tcW w:w="1490" w:type="dxa"/>
                  <w:tcBorders>
                    <w:top w:val="nil"/>
                    <w:left w:val="nil"/>
                    <w:bottom w:val="single" w:sz="4" w:space="0" w:color="auto"/>
                    <w:right w:val="single" w:sz="4" w:space="0" w:color="auto"/>
                  </w:tcBorders>
                  <w:shd w:val="clear" w:color="auto" w:fill="auto"/>
                  <w:noWrap/>
                  <w:vAlign w:val="center"/>
                  <w:hideMark/>
                </w:tcPr>
                <w:p w14:paraId="184AEE8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880,45</w:t>
                  </w:r>
                </w:p>
              </w:tc>
              <w:tc>
                <w:tcPr>
                  <w:tcW w:w="953" w:type="dxa"/>
                  <w:tcBorders>
                    <w:top w:val="nil"/>
                    <w:left w:val="nil"/>
                    <w:bottom w:val="single" w:sz="4" w:space="0" w:color="auto"/>
                    <w:right w:val="single" w:sz="4" w:space="0" w:color="auto"/>
                  </w:tcBorders>
                  <w:shd w:val="clear" w:color="auto" w:fill="auto"/>
                  <w:noWrap/>
                  <w:vAlign w:val="center"/>
                  <w:hideMark/>
                </w:tcPr>
                <w:p w14:paraId="0DACBC8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36C975F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71,13</w:t>
                  </w:r>
                </w:p>
              </w:tc>
              <w:tc>
                <w:tcPr>
                  <w:tcW w:w="1108" w:type="dxa"/>
                  <w:tcBorders>
                    <w:top w:val="nil"/>
                    <w:left w:val="nil"/>
                    <w:bottom w:val="single" w:sz="4" w:space="0" w:color="auto"/>
                    <w:right w:val="single" w:sz="4" w:space="0" w:color="auto"/>
                  </w:tcBorders>
                  <w:shd w:val="clear" w:color="auto" w:fill="auto"/>
                  <w:noWrap/>
                  <w:vAlign w:val="center"/>
                  <w:hideMark/>
                </w:tcPr>
                <w:p w14:paraId="69BE4B6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11,13</w:t>
                  </w:r>
                </w:p>
              </w:tc>
            </w:tr>
            <w:tr w:rsidR="00F56356" w:rsidRPr="00F56356" w14:paraId="0172449F"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4CD6B8F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278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3</w:t>
                  </w:r>
                </w:p>
              </w:tc>
              <w:tc>
                <w:tcPr>
                  <w:tcW w:w="1506" w:type="dxa"/>
                  <w:tcBorders>
                    <w:top w:val="nil"/>
                    <w:left w:val="nil"/>
                    <w:bottom w:val="single" w:sz="4" w:space="0" w:color="auto"/>
                    <w:right w:val="single" w:sz="4" w:space="0" w:color="auto"/>
                  </w:tcBorders>
                  <w:shd w:val="clear" w:color="auto" w:fill="auto"/>
                  <w:noWrap/>
                  <w:vAlign w:val="center"/>
                  <w:hideMark/>
                </w:tcPr>
                <w:p w14:paraId="6483BBE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28.166,61</w:t>
                  </w:r>
                </w:p>
              </w:tc>
              <w:tc>
                <w:tcPr>
                  <w:tcW w:w="1490" w:type="dxa"/>
                  <w:tcBorders>
                    <w:top w:val="nil"/>
                    <w:left w:val="nil"/>
                    <w:bottom w:val="single" w:sz="4" w:space="0" w:color="auto"/>
                    <w:right w:val="single" w:sz="4" w:space="0" w:color="auto"/>
                  </w:tcBorders>
                  <w:shd w:val="clear" w:color="auto" w:fill="auto"/>
                  <w:noWrap/>
                  <w:vAlign w:val="center"/>
                  <w:hideMark/>
                </w:tcPr>
                <w:p w14:paraId="2CCC0EF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19.254,05</w:t>
                  </w:r>
                </w:p>
              </w:tc>
              <w:tc>
                <w:tcPr>
                  <w:tcW w:w="953" w:type="dxa"/>
                  <w:tcBorders>
                    <w:top w:val="nil"/>
                    <w:left w:val="nil"/>
                    <w:bottom w:val="single" w:sz="4" w:space="0" w:color="auto"/>
                    <w:right w:val="single" w:sz="4" w:space="0" w:color="auto"/>
                  </w:tcBorders>
                  <w:shd w:val="clear" w:color="auto" w:fill="auto"/>
                  <w:noWrap/>
                  <w:vAlign w:val="center"/>
                  <w:hideMark/>
                </w:tcPr>
                <w:p w14:paraId="2B6609B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048FAD5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31,64</w:t>
                  </w:r>
                </w:p>
              </w:tc>
              <w:tc>
                <w:tcPr>
                  <w:tcW w:w="1108" w:type="dxa"/>
                  <w:tcBorders>
                    <w:top w:val="nil"/>
                    <w:left w:val="nil"/>
                    <w:bottom w:val="single" w:sz="4" w:space="0" w:color="auto"/>
                    <w:right w:val="single" w:sz="4" w:space="0" w:color="auto"/>
                  </w:tcBorders>
                  <w:shd w:val="clear" w:color="auto" w:fill="auto"/>
                  <w:noWrap/>
                  <w:vAlign w:val="center"/>
                  <w:hideMark/>
                </w:tcPr>
                <w:p w14:paraId="16F99FC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-28,36</w:t>
                  </w:r>
                </w:p>
              </w:tc>
            </w:tr>
            <w:tr w:rsidR="00F56356" w:rsidRPr="00F56356" w14:paraId="275503A4"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7BF404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279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2</w:t>
                  </w:r>
                </w:p>
              </w:tc>
              <w:tc>
                <w:tcPr>
                  <w:tcW w:w="1506" w:type="dxa"/>
                  <w:tcBorders>
                    <w:top w:val="nil"/>
                    <w:left w:val="nil"/>
                    <w:bottom w:val="single" w:sz="4" w:space="0" w:color="auto"/>
                    <w:right w:val="single" w:sz="4" w:space="0" w:color="auto"/>
                  </w:tcBorders>
                  <w:shd w:val="clear" w:color="auto" w:fill="auto"/>
                  <w:noWrap/>
                  <w:vAlign w:val="center"/>
                  <w:hideMark/>
                </w:tcPr>
                <w:p w14:paraId="1F10FC2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2.400,00</w:t>
                  </w:r>
                </w:p>
              </w:tc>
              <w:tc>
                <w:tcPr>
                  <w:tcW w:w="1490" w:type="dxa"/>
                  <w:tcBorders>
                    <w:top w:val="nil"/>
                    <w:left w:val="nil"/>
                    <w:bottom w:val="single" w:sz="4" w:space="0" w:color="auto"/>
                    <w:right w:val="single" w:sz="4" w:space="0" w:color="auto"/>
                  </w:tcBorders>
                  <w:shd w:val="clear" w:color="auto" w:fill="auto"/>
                  <w:noWrap/>
                  <w:vAlign w:val="center"/>
                  <w:hideMark/>
                </w:tcPr>
                <w:p w14:paraId="69A6DAF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1.713,65</w:t>
                  </w:r>
                </w:p>
              </w:tc>
              <w:tc>
                <w:tcPr>
                  <w:tcW w:w="953" w:type="dxa"/>
                  <w:tcBorders>
                    <w:top w:val="nil"/>
                    <w:left w:val="nil"/>
                    <w:bottom w:val="single" w:sz="4" w:space="0" w:color="auto"/>
                    <w:right w:val="single" w:sz="4" w:space="0" w:color="auto"/>
                  </w:tcBorders>
                  <w:shd w:val="clear" w:color="auto" w:fill="auto"/>
                  <w:noWrap/>
                  <w:vAlign w:val="center"/>
                  <w:hideMark/>
                </w:tcPr>
                <w:p w14:paraId="412A45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0DBA127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28,60</w:t>
                  </w:r>
                </w:p>
              </w:tc>
              <w:tc>
                <w:tcPr>
                  <w:tcW w:w="1108" w:type="dxa"/>
                  <w:tcBorders>
                    <w:top w:val="nil"/>
                    <w:left w:val="nil"/>
                    <w:bottom w:val="single" w:sz="4" w:space="0" w:color="auto"/>
                    <w:right w:val="single" w:sz="4" w:space="0" w:color="auto"/>
                  </w:tcBorders>
                  <w:shd w:val="clear" w:color="auto" w:fill="auto"/>
                  <w:noWrap/>
                  <w:vAlign w:val="center"/>
                  <w:hideMark/>
                </w:tcPr>
                <w:p w14:paraId="3663A2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-31,40</w:t>
                  </w:r>
                </w:p>
              </w:tc>
            </w:tr>
            <w:tr w:rsidR="00F56356" w:rsidRPr="00F56356" w14:paraId="7D573BE5"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0379648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 xml:space="preserve">280 </w:t>
                  </w:r>
                  <w:proofErr w:type="spellStart"/>
                  <w:r w:rsidRPr="00F56356">
                    <w:rPr>
                      <w:rFonts w:ascii="Calibri" w:eastAsia="Times New Roman" w:hAnsi="Calibri" w:cs="Calibri"/>
                      <w:sz w:val="18"/>
                      <w:szCs w:val="18"/>
                      <w:lang w:eastAsia="it-IT"/>
                    </w:rPr>
                    <w:t>pg</w:t>
                  </w:r>
                  <w:proofErr w:type="spellEnd"/>
                  <w:r w:rsidRPr="00F56356">
                    <w:rPr>
                      <w:rFonts w:ascii="Calibri" w:eastAsia="Times New Roman" w:hAnsi="Calibri" w:cs="Calibri"/>
                      <w:sz w:val="18"/>
                      <w:szCs w:val="18"/>
                      <w:lang w:eastAsia="it-IT"/>
                    </w:rPr>
                    <w:t>. 1</w:t>
                  </w:r>
                </w:p>
              </w:tc>
              <w:tc>
                <w:tcPr>
                  <w:tcW w:w="1506" w:type="dxa"/>
                  <w:tcBorders>
                    <w:top w:val="nil"/>
                    <w:left w:val="nil"/>
                    <w:bottom w:val="single" w:sz="4" w:space="0" w:color="auto"/>
                    <w:right w:val="single" w:sz="4" w:space="0" w:color="auto"/>
                  </w:tcBorders>
                  <w:shd w:val="clear" w:color="auto" w:fill="auto"/>
                  <w:noWrap/>
                  <w:vAlign w:val="center"/>
                  <w:hideMark/>
                </w:tcPr>
                <w:p w14:paraId="631145A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404.820,60</w:t>
                  </w:r>
                </w:p>
              </w:tc>
              <w:tc>
                <w:tcPr>
                  <w:tcW w:w="1490" w:type="dxa"/>
                  <w:tcBorders>
                    <w:top w:val="nil"/>
                    <w:left w:val="nil"/>
                    <w:bottom w:val="single" w:sz="4" w:space="0" w:color="auto"/>
                    <w:right w:val="single" w:sz="4" w:space="0" w:color="auto"/>
                  </w:tcBorders>
                  <w:shd w:val="clear" w:color="auto" w:fill="auto"/>
                  <w:noWrap/>
                  <w:vAlign w:val="center"/>
                  <w:hideMark/>
                </w:tcPr>
                <w:p w14:paraId="28A94E7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275.155,56</w:t>
                  </w:r>
                </w:p>
              </w:tc>
              <w:tc>
                <w:tcPr>
                  <w:tcW w:w="953" w:type="dxa"/>
                  <w:tcBorders>
                    <w:top w:val="nil"/>
                    <w:left w:val="nil"/>
                    <w:bottom w:val="single" w:sz="4" w:space="0" w:color="auto"/>
                    <w:right w:val="single" w:sz="4" w:space="0" w:color="auto"/>
                  </w:tcBorders>
                  <w:shd w:val="clear" w:color="auto" w:fill="auto"/>
                  <w:noWrap/>
                  <w:vAlign w:val="center"/>
                  <w:hideMark/>
                </w:tcPr>
                <w:p w14:paraId="0233F35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7" w:type="dxa"/>
                  <w:tcBorders>
                    <w:top w:val="nil"/>
                    <w:left w:val="nil"/>
                    <w:bottom w:val="single" w:sz="4" w:space="0" w:color="auto"/>
                    <w:right w:val="single" w:sz="4" w:space="0" w:color="auto"/>
                  </w:tcBorders>
                  <w:shd w:val="clear" w:color="auto" w:fill="auto"/>
                  <w:noWrap/>
                  <w:vAlign w:val="center"/>
                  <w:hideMark/>
                </w:tcPr>
                <w:p w14:paraId="1E0A13D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32,03</w:t>
                  </w:r>
                </w:p>
              </w:tc>
              <w:tc>
                <w:tcPr>
                  <w:tcW w:w="1108" w:type="dxa"/>
                  <w:tcBorders>
                    <w:top w:val="nil"/>
                    <w:left w:val="nil"/>
                    <w:bottom w:val="single" w:sz="4" w:space="0" w:color="auto"/>
                    <w:right w:val="single" w:sz="4" w:space="0" w:color="auto"/>
                  </w:tcBorders>
                  <w:shd w:val="clear" w:color="auto" w:fill="auto"/>
                  <w:noWrap/>
                  <w:vAlign w:val="center"/>
                  <w:hideMark/>
                </w:tcPr>
                <w:p w14:paraId="03A8C9E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-27,97</w:t>
                  </w:r>
                </w:p>
              </w:tc>
            </w:tr>
            <w:tr w:rsidR="00F56356" w:rsidRPr="00F56356" w14:paraId="0722B124"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6A1C63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281</w:t>
                  </w:r>
                </w:p>
              </w:tc>
              <w:tc>
                <w:tcPr>
                  <w:tcW w:w="1506" w:type="dxa"/>
                  <w:tcBorders>
                    <w:top w:val="nil"/>
                    <w:left w:val="nil"/>
                    <w:bottom w:val="single" w:sz="4" w:space="0" w:color="auto"/>
                    <w:right w:val="single" w:sz="4" w:space="0" w:color="auto"/>
                  </w:tcBorders>
                  <w:shd w:val="clear" w:color="auto" w:fill="auto"/>
                  <w:noWrap/>
                  <w:vAlign w:val="center"/>
                  <w:hideMark/>
                </w:tcPr>
                <w:p w14:paraId="573EEA5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101.703,00</w:t>
                  </w:r>
                </w:p>
              </w:tc>
              <w:tc>
                <w:tcPr>
                  <w:tcW w:w="1490" w:type="dxa"/>
                  <w:tcBorders>
                    <w:top w:val="nil"/>
                    <w:left w:val="nil"/>
                    <w:bottom w:val="single" w:sz="4" w:space="0" w:color="auto"/>
                    <w:right w:val="single" w:sz="4" w:space="0" w:color="auto"/>
                  </w:tcBorders>
                  <w:shd w:val="clear" w:color="auto" w:fill="auto"/>
                  <w:noWrap/>
                  <w:vAlign w:val="center"/>
                  <w:hideMark/>
                </w:tcPr>
                <w:p w14:paraId="23B1508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11.595,50</w:t>
                  </w:r>
                </w:p>
              </w:tc>
              <w:tc>
                <w:tcPr>
                  <w:tcW w:w="953" w:type="dxa"/>
                  <w:tcBorders>
                    <w:top w:val="nil"/>
                    <w:left w:val="nil"/>
                    <w:bottom w:val="single" w:sz="4" w:space="0" w:color="auto"/>
                    <w:right w:val="single" w:sz="4" w:space="0" w:color="auto"/>
                  </w:tcBorders>
                  <w:shd w:val="clear" w:color="auto" w:fill="auto"/>
                  <w:noWrap/>
                  <w:vAlign w:val="center"/>
                  <w:hideMark/>
                </w:tcPr>
                <w:p w14:paraId="646ABF4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6E38F3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88,60</w:t>
                  </w:r>
                </w:p>
              </w:tc>
              <w:tc>
                <w:tcPr>
                  <w:tcW w:w="1108" w:type="dxa"/>
                  <w:tcBorders>
                    <w:top w:val="nil"/>
                    <w:left w:val="nil"/>
                    <w:bottom w:val="single" w:sz="4" w:space="0" w:color="auto"/>
                    <w:right w:val="single" w:sz="4" w:space="0" w:color="auto"/>
                  </w:tcBorders>
                  <w:shd w:val="clear" w:color="auto" w:fill="auto"/>
                  <w:noWrap/>
                  <w:vAlign w:val="center"/>
                  <w:hideMark/>
                </w:tcPr>
                <w:p w14:paraId="19D4789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BDC2A20" w14:textId="77777777" w:rsidTr="00F56356">
              <w:trPr>
                <w:trHeight w:val="240"/>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58F270B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282</w:t>
                  </w:r>
                </w:p>
              </w:tc>
              <w:tc>
                <w:tcPr>
                  <w:tcW w:w="1506" w:type="dxa"/>
                  <w:tcBorders>
                    <w:top w:val="nil"/>
                    <w:left w:val="nil"/>
                    <w:bottom w:val="single" w:sz="4" w:space="0" w:color="auto"/>
                    <w:right w:val="single" w:sz="4" w:space="0" w:color="auto"/>
                  </w:tcBorders>
                  <w:shd w:val="clear" w:color="auto" w:fill="auto"/>
                  <w:noWrap/>
                  <w:vAlign w:val="center"/>
                  <w:hideMark/>
                </w:tcPr>
                <w:p w14:paraId="67DB16F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6.735,02</w:t>
                  </w:r>
                </w:p>
              </w:tc>
              <w:tc>
                <w:tcPr>
                  <w:tcW w:w="1490" w:type="dxa"/>
                  <w:tcBorders>
                    <w:top w:val="nil"/>
                    <w:left w:val="nil"/>
                    <w:bottom w:val="single" w:sz="4" w:space="0" w:color="auto"/>
                    <w:right w:val="single" w:sz="4" w:space="0" w:color="auto"/>
                  </w:tcBorders>
                  <w:shd w:val="clear" w:color="auto" w:fill="auto"/>
                  <w:noWrap/>
                  <w:vAlign w:val="center"/>
                  <w:hideMark/>
                </w:tcPr>
                <w:p w14:paraId="5B0DC11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3.668,55</w:t>
                  </w:r>
                </w:p>
              </w:tc>
              <w:tc>
                <w:tcPr>
                  <w:tcW w:w="953" w:type="dxa"/>
                  <w:tcBorders>
                    <w:top w:val="nil"/>
                    <w:left w:val="nil"/>
                    <w:bottom w:val="single" w:sz="4" w:space="0" w:color="auto"/>
                    <w:right w:val="single" w:sz="4" w:space="0" w:color="auto"/>
                  </w:tcBorders>
                  <w:shd w:val="clear" w:color="auto" w:fill="auto"/>
                  <w:noWrap/>
                  <w:vAlign w:val="center"/>
                  <w:hideMark/>
                </w:tcPr>
                <w:p w14:paraId="39B4D59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7" w:type="dxa"/>
                  <w:tcBorders>
                    <w:top w:val="nil"/>
                    <w:left w:val="nil"/>
                    <w:bottom w:val="single" w:sz="4" w:space="0" w:color="auto"/>
                    <w:right w:val="single" w:sz="4" w:space="0" w:color="auto"/>
                  </w:tcBorders>
                  <w:shd w:val="clear" w:color="auto" w:fill="auto"/>
                  <w:noWrap/>
                  <w:vAlign w:val="center"/>
                  <w:hideMark/>
                </w:tcPr>
                <w:p w14:paraId="6972B39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45,53</w:t>
                  </w:r>
                </w:p>
              </w:tc>
              <w:tc>
                <w:tcPr>
                  <w:tcW w:w="1108" w:type="dxa"/>
                  <w:tcBorders>
                    <w:top w:val="nil"/>
                    <w:left w:val="nil"/>
                    <w:bottom w:val="single" w:sz="4" w:space="0" w:color="auto"/>
                    <w:right w:val="single" w:sz="4" w:space="0" w:color="auto"/>
                  </w:tcBorders>
                  <w:shd w:val="clear" w:color="auto" w:fill="auto"/>
                  <w:noWrap/>
                  <w:vAlign w:val="center"/>
                  <w:hideMark/>
                </w:tcPr>
                <w:p w14:paraId="706132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B9C78B4" w14:textId="77777777" w:rsidTr="00F56356">
              <w:trPr>
                <w:trHeight w:val="315"/>
                <w:jc w:val="center"/>
              </w:trPr>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2848F9C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06" w:type="dxa"/>
                  <w:tcBorders>
                    <w:top w:val="nil"/>
                    <w:left w:val="nil"/>
                    <w:bottom w:val="single" w:sz="4" w:space="0" w:color="auto"/>
                    <w:right w:val="single" w:sz="4" w:space="0" w:color="auto"/>
                  </w:tcBorders>
                  <w:shd w:val="clear" w:color="auto" w:fill="auto"/>
                  <w:noWrap/>
                  <w:vAlign w:val="center"/>
                  <w:hideMark/>
                </w:tcPr>
                <w:p w14:paraId="12A1F25A"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9.451.438,36</w:t>
                  </w:r>
                </w:p>
              </w:tc>
              <w:tc>
                <w:tcPr>
                  <w:tcW w:w="1490" w:type="dxa"/>
                  <w:tcBorders>
                    <w:top w:val="nil"/>
                    <w:left w:val="nil"/>
                    <w:bottom w:val="single" w:sz="4" w:space="0" w:color="auto"/>
                    <w:right w:val="single" w:sz="4" w:space="0" w:color="auto"/>
                  </w:tcBorders>
                  <w:shd w:val="clear" w:color="auto" w:fill="auto"/>
                  <w:noWrap/>
                  <w:vAlign w:val="center"/>
                  <w:hideMark/>
                </w:tcPr>
                <w:p w14:paraId="69DB11A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1.314.063,74</w:t>
                  </w:r>
                </w:p>
              </w:tc>
              <w:tc>
                <w:tcPr>
                  <w:tcW w:w="953" w:type="dxa"/>
                  <w:tcBorders>
                    <w:top w:val="nil"/>
                    <w:left w:val="nil"/>
                    <w:bottom w:val="nil"/>
                    <w:right w:val="nil"/>
                  </w:tcBorders>
                  <w:shd w:val="clear" w:color="auto" w:fill="auto"/>
                  <w:noWrap/>
                  <w:vAlign w:val="center"/>
                  <w:hideMark/>
                </w:tcPr>
                <w:p w14:paraId="14402A6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67" w:type="dxa"/>
                  <w:tcBorders>
                    <w:top w:val="nil"/>
                    <w:left w:val="nil"/>
                    <w:bottom w:val="nil"/>
                    <w:right w:val="nil"/>
                  </w:tcBorders>
                  <w:shd w:val="clear" w:color="auto" w:fill="auto"/>
                  <w:noWrap/>
                  <w:vAlign w:val="center"/>
                  <w:hideMark/>
                </w:tcPr>
                <w:p w14:paraId="7CA76DE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08" w:type="dxa"/>
                  <w:tcBorders>
                    <w:top w:val="nil"/>
                    <w:left w:val="nil"/>
                    <w:bottom w:val="nil"/>
                    <w:right w:val="nil"/>
                  </w:tcBorders>
                  <w:shd w:val="clear" w:color="auto" w:fill="auto"/>
                  <w:noWrap/>
                  <w:vAlign w:val="center"/>
                  <w:hideMark/>
                </w:tcPr>
                <w:p w14:paraId="3E2F675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CCF7425"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3DA798B7" w14:textId="77777777" w:rsidR="00F56356" w:rsidRPr="00F56356" w:rsidRDefault="00F56356" w:rsidP="00F56356">
            <w:pPr>
              <w:spacing w:after="0" w:line="360" w:lineRule="auto"/>
              <w:ind w:left="284"/>
              <w:jc w:val="both"/>
              <w:rPr>
                <w:rFonts w:ascii="Times New Roman" w:eastAsiaTheme="minorEastAsia" w:hAnsi="Times New Roman"/>
                <w:b/>
                <w:color w:val="000000" w:themeColor="text1"/>
                <w:sz w:val="24"/>
                <w:szCs w:val="24"/>
                <w:lang w:eastAsia="it-IT"/>
              </w:rPr>
            </w:pPr>
          </w:p>
          <w:p w14:paraId="619A8643" w14:textId="77777777" w:rsidR="00F56356" w:rsidRPr="00F56356" w:rsidRDefault="00F56356" w:rsidP="00F56356">
            <w:pPr>
              <w:spacing w:after="0" w:line="360" w:lineRule="auto"/>
              <w:ind w:left="284"/>
              <w:jc w:val="both"/>
              <w:rPr>
                <w:rFonts w:ascii="Times New Roman" w:eastAsiaTheme="minorEastAsia" w:hAnsi="Times New Roman"/>
                <w:color w:val="000000" w:themeColor="text1"/>
                <w:sz w:val="24"/>
                <w:szCs w:val="24"/>
                <w:lang w:eastAsia="it-IT"/>
              </w:rPr>
            </w:pPr>
            <w:r w:rsidRPr="00F56356">
              <w:rPr>
                <w:rFonts w:ascii="Times New Roman" w:eastAsiaTheme="minorEastAsia" w:hAnsi="Times New Roman"/>
                <w:b/>
                <w:color w:val="000000" w:themeColor="text1"/>
                <w:sz w:val="24"/>
                <w:szCs w:val="24"/>
                <w:lang w:eastAsia="it-IT"/>
              </w:rPr>
              <w:t>2.2</w:t>
            </w:r>
            <w:r w:rsidRPr="00F56356">
              <w:rPr>
                <w:rFonts w:ascii="Times New Roman" w:eastAsiaTheme="minorEastAsia" w:hAnsi="Times New Roman"/>
                <w:color w:val="000000" w:themeColor="text1"/>
                <w:sz w:val="24"/>
                <w:szCs w:val="24"/>
                <w:lang w:eastAsia="it-IT"/>
              </w:rPr>
              <w:t xml:space="preserve"> Le risorse impegnate pari a euro 313.562.438,34 sono state destinate per euro 312.367.784,32 al funzionamento e per euro 1.194.654,02 agli interventi.</w:t>
            </w:r>
          </w:p>
          <w:p w14:paraId="001D93C2"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09BA1DAC" w14:textId="25EFE30F" w:rsid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7EE66E0B" w14:textId="77777777" w:rsidR="00B162D3" w:rsidRPr="00F56356" w:rsidRDefault="00B162D3"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4410F8B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w:t>
            </w:r>
            <w:r w:rsidRPr="00F56356">
              <w:rPr>
                <w:rFonts w:ascii="Times New Roman" w:eastAsiaTheme="minorEastAsia" w:hAnsi="Times New Roman"/>
                <w:color w:val="000000" w:themeColor="text1"/>
                <w:sz w:val="24"/>
                <w:szCs w:val="24"/>
                <w:lang w:eastAsia="it-IT"/>
              </w:rPr>
              <w:t xml:space="preserve">312.367.784,32 </w:t>
            </w:r>
            <w:r w:rsidRPr="00F56356">
              <w:rPr>
                <w:rFonts w:ascii="Times New Roman" w:eastAsia="Times New Roman" w:hAnsi="Times New Roman" w:cs="Times New Roman"/>
                <w:color w:val="000000" w:themeColor="text1"/>
                <w:sz w:val="24"/>
                <w:szCs w:val="24"/>
                <w:lang w:eastAsia="it-IT"/>
              </w:rPr>
              <w:t>si riferiscono a:</w:t>
            </w:r>
          </w:p>
          <w:p w14:paraId="5A21A92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Personale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101, 112, 113, 124, 125, 130, 134, 135, 137, 138, 142, 143, 144, 145, 151, 153, 155, 156, 157, 158, 159,</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161, 166, 168, 276, 277, 278, 279, 281, 282) </w:t>
            </w:r>
          </w:p>
          <w:p w14:paraId="58625E2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Diretta collaborazione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103, 104, 105, 106, 107, 115,126, 127, 129)</w:t>
            </w:r>
          </w:p>
          <w:p w14:paraId="50C3187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Attività formative e benessere organizzativo del personale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149, 163)</w:t>
            </w:r>
          </w:p>
          <w:p w14:paraId="678DA72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Missioni in Italia e all’estero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108, 139)</w:t>
            </w:r>
          </w:p>
          <w:p w14:paraId="40535A6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Accertamenti sanitari e adempimenti in materia di sicurezza (cap. 148)</w:t>
            </w:r>
          </w:p>
          <w:p w14:paraId="58C0720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Esperti ed incarichi professionali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167, 197, 209, 280, 283)</w:t>
            </w:r>
          </w:p>
          <w:p w14:paraId="69E2F7A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Commissione per l’accesso ai documenti amministrativi (cap. 169)</w:t>
            </w:r>
          </w:p>
          <w:p w14:paraId="43442A65"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2"/>
                <w:szCs w:val="24"/>
                <w:lang w:eastAsia="it-IT"/>
              </w:rPr>
            </w:pPr>
          </w:p>
          <w:p w14:paraId="291B4547"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F56356">
              <w:rPr>
                <w:rFonts w:ascii="Times New Roman" w:eastAsia="Times New Roman" w:hAnsi="Times New Roman" w:cs="Times New Roman"/>
                <w:b/>
                <w:color w:val="000000" w:themeColor="text1"/>
                <w:sz w:val="24"/>
                <w:szCs w:val="24"/>
                <w:u w:val="single"/>
                <w:lang w:eastAsia="it-IT"/>
              </w:rPr>
              <w:t>Area Personale</w:t>
            </w:r>
          </w:p>
          <w:p w14:paraId="163D6D71"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10"/>
                <w:szCs w:val="24"/>
                <w:u w:val="single"/>
                <w:lang w:eastAsia="it-IT"/>
              </w:rPr>
            </w:pPr>
          </w:p>
          <w:p w14:paraId="4D9C47D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Le risorse complessivamente assegnate per il trattamento economico fondamentale e accessorio del personale in servizio presso la Presidenza del Consiglio dei ministri sono state pari a euro 355.425.807,32. Gli impegni assunti ammontano a euro 290.466.484,37, con una economia di bilancio di euro 64.959.322,95. Il totale dei pagamenti riferiti alla competenza è stato pari a euro 284.589.179,35.</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I capitoli 276, 277, 278, 279, 281, 282, istituiti nel 2021, si riferiscono a retribuzioni e oneri IRAP sul trattamento economico del personale in servizio presso:</w:t>
            </w:r>
          </w:p>
          <w:p w14:paraId="7F7BE68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la Struttura di missione Segreteria tecnica del PNRR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276 e 277)</w:t>
            </w:r>
          </w:p>
          <w:p w14:paraId="4F46CAF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l’Unità per la razionalizzazione e il miglioramento della regolazione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278 e 279)</w:t>
            </w:r>
          </w:p>
          <w:p w14:paraId="69E43E9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le Unità di missione e le strutture titolari di interventi previsti nel PNRR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281 e 282)</w:t>
            </w:r>
          </w:p>
          <w:p w14:paraId="7441114C"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4"/>
                <w:szCs w:val="24"/>
                <w:lang w:eastAsia="it-IT"/>
              </w:rPr>
            </w:pPr>
          </w:p>
          <w:p w14:paraId="7F417B87"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4"/>
                <w:szCs w:val="24"/>
                <w:lang w:eastAsia="it-IT"/>
              </w:rPr>
            </w:pPr>
          </w:p>
          <w:p w14:paraId="0E2CF20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u w:val="single"/>
                <w:lang w:eastAsia="it-IT"/>
              </w:rPr>
              <w:t>Area Diretta collaborazione</w:t>
            </w:r>
          </w:p>
          <w:p w14:paraId="6D4E372E"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2"/>
                <w:szCs w:val="24"/>
                <w:lang w:eastAsia="it-IT"/>
              </w:rPr>
            </w:pPr>
          </w:p>
          <w:p w14:paraId="6CA7DFD6" w14:textId="77777777" w:rsidR="00F56356" w:rsidRPr="00F56356" w:rsidRDefault="00F56356" w:rsidP="00F56356">
            <w:pPr>
              <w:spacing w:after="0" w:line="360" w:lineRule="auto"/>
              <w:ind w:left="284"/>
              <w:jc w:val="both"/>
              <w:rPr>
                <w:rFonts w:ascii="Times New Roman" w:eastAsia="Times New Roman" w:hAnsi="Times New Roman" w:cs="Times New Roman"/>
                <w:sz w:val="28"/>
                <w:szCs w:val="28"/>
                <w:lang w:eastAsia="it-IT"/>
              </w:rPr>
            </w:pPr>
            <w:r w:rsidRPr="00F56356">
              <w:rPr>
                <w:rFonts w:ascii="Times New Roman" w:eastAsia="Times New Roman" w:hAnsi="Times New Roman" w:cs="Times New Roman"/>
                <w:color w:val="000000" w:themeColor="text1"/>
                <w:sz w:val="24"/>
                <w:szCs w:val="24"/>
                <w:lang w:eastAsia="it-IT"/>
              </w:rPr>
              <w:t>Le risorse assegnate relative al personale impiegato presso gli Uffici di diretta collaborazione del Presidente del Consiglio dei ministri, dei Ministri e dei Sottosegretari di Stato sono state pari a euro 18.894.761,94.</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Gli impegni assunti ammontano a euro 16.556.098,24,</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con una economia di bilancio di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2.338.663,70. Il totale dei pagamenti riferiti alla competenza è stato pari a euro 13.698.114,94.</w:t>
            </w:r>
            <w:r w:rsidRPr="00F56356">
              <w:rPr>
                <w:rFonts w:ascii="Times New Roman" w:eastAsia="Times New Roman" w:hAnsi="Times New Roman" w:cs="Times New Roman"/>
                <w:sz w:val="28"/>
                <w:szCs w:val="28"/>
                <w:lang w:eastAsia="it-IT"/>
              </w:rPr>
              <w:t xml:space="preserve"> </w:t>
            </w:r>
          </w:p>
          <w:p w14:paraId="7F4305F5" w14:textId="77777777" w:rsidR="00F56356" w:rsidRPr="00F56356" w:rsidRDefault="00F56356" w:rsidP="00F56356">
            <w:pPr>
              <w:spacing w:after="0" w:line="360" w:lineRule="auto"/>
              <w:ind w:left="284"/>
              <w:jc w:val="both"/>
              <w:rPr>
                <w:rFonts w:ascii="Times New Roman" w:eastAsia="Times New Roman" w:hAnsi="Times New Roman" w:cs="Times New Roman"/>
                <w:sz w:val="28"/>
                <w:szCs w:val="28"/>
                <w:lang w:eastAsia="it-IT"/>
              </w:rPr>
            </w:pPr>
          </w:p>
          <w:p w14:paraId="49487387"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u w:val="single"/>
                <w:lang w:eastAsia="it-IT"/>
              </w:rPr>
              <w:t>Area Attività formative e benessere organizzativo</w:t>
            </w:r>
          </w:p>
          <w:p w14:paraId="7B84CEB1"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FF0000"/>
                <w:sz w:val="14"/>
                <w:szCs w:val="24"/>
                <w:lang w:eastAsia="it-IT"/>
              </w:rPr>
            </w:pPr>
          </w:p>
          <w:p w14:paraId="30FA5589"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Le risorse complessivamente assegnate ammontano a euro 793.387,35. Gli impegni assunti sono stati pari a euro 652.435,12, con una economia di bilancio di euro 140.952,23. Il totale dei pagamenti riferiti alla competenza è pari a euro 497.428,61.</w:t>
            </w:r>
          </w:p>
          <w:p w14:paraId="0EB03EB7"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Le risorse complessivamente impegnate di euro 441.118,10 sul capitolo 149 </w:t>
            </w:r>
            <w:r w:rsidRPr="00F56356">
              <w:rPr>
                <w:rFonts w:ascii="Times New Roman" w:eastAsia="Times New Roman" w:hAnsi="Times New Roman" w:cs="Times New Roman"/>
                <w:i/>
                <w:color w:val="000000" w:themeColor="text1"/>
                <w:sz w:val="24"/>
                <w:szCs w:val="24"/>
                <w:lang w:eastAsia="it-IT"/>
              </w:rPr>
              <w:t>“Benessere organizzativo e provvidenze al personale”</w:t>
            </w:r>
            <w:r w:rsidRPr="00F56356">
              <w:rPr>
                <w:rFonts w:ascii="Times New Roman" w:eastAsia="Times New Roman" w:hAnsi="Times New Roman" w:cs="Times New Roman"/>
                <w:color w:val="000000" w:themeColor="text1"/>
                <w:sz w:val="24"/>
                <w:szCs w:val="24"/>
                <w:lang w:eastAsia="it-IT"/>
              </w:rPr>
              <w:t xml:space="preserve"> sono state destinate, in particolare, per euro 108.953,83 a finanziare il servizio del micronido aziendale della Presidenza del Consiglio dei ministri, finalizzato al pagamento dell’appalto di gestione della struttura educativa affidato, per il periodo 1° settembre 2022 - 31 luglio 2024, alla ditta Raggio di Sole Cooperativa sociale (cap. 149 </w:t>
            </w:r>
            <w:proofErr w:type="spellStart"/>
            <w:r w:rsidRPr="00F56356">
              <w:rPr>
                <w:rFonts w:ascii="Times New Roman" w:eastAsia="Times New Roman" w:hAnsi="Times New Roman" w:cs="Times New Roman"/>
                <w:color w:val="000000" w:themeColor="text1"/>
                <w:sz w:val="24"/>
                <w:szCs w:val="24"/>
                <w:lang w:eastAsia="it-IT"/>
              </w:rPr>
              <w:t>pg</w:t>
            </w:r>
            <w:proofErr w:type="spellEnd"/>
            <w:r w:rsidRPr="00F56356">
              <w:rPr>
                <w:rFonts w:ascii="Times New Roman" w:eastAsia="Times New Roman" w:hAnsi="Times New Roman" w:cs="Times New Roman"/>
                <w:color w:val="000000" w:themeColor="text1"/>
                <w:sz w:val="24"/>
                <w:szCs w:val="24"/>
                <w:lang w:eastAsia="it-IT"/>
              </w:rPr>
              <w:t xml:space="preserve"> 2).</w:t>
            </w:r>
          </w:p>
          <w:p w14:paraId="1A62B312"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La discrepanza tra le somme impegnate e quelle pagate è da imputare al fatto che l’ammontare delle prime, in conformità a quanto previsto dal capitolato di gara dell’appalto, è definito in base al numero massimo di bambini che la struttura può accogliere, mentre l’ammontare delle somme pagate è calcolato con riferimento al numero effettivo di bambini frequentanti il micronido in ciascun mese del periodo di riferimento, risultato costantemente inferiore.</w:t>
            </w:r>
            <w:r w:rsidRPr="00F56356">
              <w:rPr>
                <w:rFonts w:ascii="Times New Roman" w:eastAsia="Times New Roman" w:hAnsi="Times New Roman" w:cs="Times New Roman"/>
                <w:color w:val="000000" w:themeColor="text1"/>
                <w:sz w:val="24"/>
                <w:szCs w:val="24"/>
                <w:highlight w:val="yellow"/>
                <w:lang w:eastAsia="it-IT"/>
              </w:rPr>
              <w:t xml:space="preserve"> </w:t>
            </w:r>
          </w:p>
          <w:p w14:paraId="577C830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Le risorse impegnate pari a euro 211.317,02 sul capitolo 163 “</w:t>
            </w:r>
            <w:r w:rsidRPr="00F56356">
              <w:rPr>
                <w:rFonts w:ascii="Times New Roman" w:eastAsia="Times New Roman" w:hAnsi="Times New Roman" w:cs="Times New Roman"/>
                <w:i/>
                <w:color w:val="000000" w:themeColor="text1"/>
                <w:sz w:val="24"/>
                <w:szCs w:val="24"/>
                <w:lang w:eastAsia="it-IT"/>
              </w:rPr>
              <w:t>Spese per le attività formative e di accrescimento professionale”</w:t>
            </w:r>
            <w:r w:rsidRPr="00F56356">
              <w:rPr>
                <w:rFonts w:ascii="Times New Roman" w:eastAsia="Times New Roman" w:hAnsi="Times New Roman" w:cs="Times New Roman"/>
                <w:color w:val="000000" w:themeColor="text1"/>
                <w:sz w:val="24"/>
                <w:szCs w:val="24"/>
                <w:lang w:eastAsia="it-IT"/>
              </w:rPr>
              <w:t xml:space="preserve"> sono state utilizzate per realizzare le procedure di affidamento dei servizi formativi che prevedono una durata biennale, in particolare:  </w:t>
            </w:r>
          </w:p>
          <w:p w14:paraId="5EBC1E1A" w14:textId="77777777" w:rsidR="00F56356" w:rsidRPr="00F56356" w:rsidRDefault="00F56356" w:rsidP="00F56356">
            <w:pPr>
              <w:numPr>
                <w:ilvl w:val="0"/>
                <w:numId w:val="24"/>
              </w:num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procedure di gara - Area linguistica: “corsi individuali di lingue straniere” – avviati dal 12.09.2022, e “corsi collettivi di lingua inglese” – avviati dal 15.09.2022;</w:t>
            </w:r>
          </w:p>
          <w:p w14:paraId="71DBB4DE" w14:textId="77777777" w:rsidR="00F56356" w:rsidRPr="00F56356" w:rsidRDefault="00F56356" w:rsidP="00F56356">
            <w:pPr>
              <w:numPr>
                <w:ilvl w:val="0"/>
                <w:numId w:val="24"/>
              </w:num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procedura di gara – Area Innovazione digitale – corsi avviati dal 03.10.2022;</w:t>
            </w:r>
          </w:p>
          <w:p w14:paraId="14B6984B" w14:textId="77777777" w:rsidR="00F56356" w:rsidRPr="00F56356" w:rsidRDefault="00F56356" w:rsidP="00F56356">
            <w:pPr>
              <w:numPr>
                <w:ilvl w:val="0"/>
                <w:numId w:val="24"/>
              </w:num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procedura di gara - Aree Tematiche varie - corsi avviati dal 25.09.2022.</w:t>
            </w:r>
          </w:p>
          <w:p w14:paraId="3BFD4199"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Inoltre, sono stati avviati il corso di alta formazione in materia di gestione del personale (17.11.2022) e il corso di aggiornamento personale sanitario (24.11.2022).</w:t>
            </w:r>
          </w:p>
          <w:p w14:paraId="7DCA67F0"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Si evidenzia, altresì, che le attività formative relative al progetto di </w:t>
            </w:r>
            <w:proofErr w:type="spellStart"/>
            <w:r w:rsidRPr="00F56356">
              <w:rPr>
                <w:rFonts w:ascii="Times New Roman" w:eastAsia="Times New Roman" w:hAnsi="Times New Roman" w:cs="Times New Roman"/>
                <w:i/>
                <w:color w:val="000000" w:themeColor="text1"/>
                <w:sz w:val="24"/>
                <w:szCs w:val="24"/>
                <w:lang w:eastAsia="it-IT"/>
              </w:rPr>
              <w:t>Assessment</w:t>
            </w:r>
            <w:proofErr w:type="spellEnd"/>
            <w:r w:rsidRPr="00F56356">
              <w:rPr>
                <w:rFonts w:ascii="Times New Roman" w:eastAsia="Times New Roman" w:hAnsi="Times New Roman" w:cs="Times New Roman"/>
                <w:i/>
                <w:color w:val="000000" w:themeColor="text1"/>
                <w:sz w:val="24"/>
                <w:szCs w:val="24"/>
                <w:lang w:eastAsia="it-IT"/>
              </w:rPr>
              <w:t xml:space="preserve"> e Coaching</w:t>
            </w:r>
            <w:r w:rsidRPr="00F56356">
              <w:rPr>
                <w:rFonts w:ascii="Times New Roman" w:eastAsia="Times New Roman" w:hAnsi="Times New Roman" w:cs="Times New Roman"/>
                <w:color w:val="000000" w:themeColor="text1"/>
                <w:sz w:val="24"/>
                <w:szCs w:val="24"/>
                <w:lang w:eastAsia="it-IT"/>
              </w:rPr>
              <w:t xml:space="preserve"> rivolto al personale appartenente al ruolo dirigenziale della Presidenza del Consiglio dei ministri (Accordo SNA/PCM 22 novembre 2021) sono ancora in corso di erogazione.</w:t>
            </w:r>
          </w:p>
          <w:p w14:paraId="59026ED4"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8"/>
                <w:szCs w:val="24"/>
                <w:u w:val="single"/>
                <w:lang w:eastAsia="it-IT"/>
              </w:rPr>
            </w:pPr>
          </w:p>
          <w:p w14:paraId="4D62929B"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F56356">
              <w:rPr>
                <w:rFonts w:ascii="Times New Roman" w:eastAsia="Times New Roman" w:hAnsi="Times New Roman" w:cs="Times New Roman"/>
                <w:b/>
                <w:color w:val="000000" w:themeColor="text1"/>
                <w:sz w:val="24"/>
                <w:szCs w:val="24"/>
                <w:u w:val="single"/>
                <w:lang w:eastAsia="it-IT"/>
              </w:rPr>
              <w:t>Area Missioni</w:t>
            </w:r>
          </w:p>
          <w:p w14:paraId="599F2B1C"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24"/>
                <w:szCs w:val="24"/>
                <w:u w:val="single"/>
                <w:lang w:eastAsia="it-IT"/>
              </w:rPr>
            </w:pPr>
            <w:r w:rsidRPr="00F56356">
              <w:rPr>
                <w:rFonts w:ascii="Times New Roman" w:eastAsia="Times New Roman" w:hAnsi="Times New Roman" w:cs="Times New Roman"/>
                <w:color w:val="000000" w:themeColor="text1"/>
                <w:sz w:val="24"/>
                <w:szCs w:val="24"/>
                <w:lang w:eastAsia="it-IT"/>
              </w:rPr>
              <w:t>Le risorse complessivamente assegnate ammontano a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1.269.701,00.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Gli impegni assunti sono stati pari a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1.026.161,33,</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con una economia di bilancio di euro 243.539,67. Il totale dei pagamenti riferiti alla competenza è stato di euro 1.011.589,30. </w:t>
            </w:r>
          </w:p>
          <w:p w14:paraId="4A45B31A"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6"/>
                <w:szCs w:val="24"/>
                <w:u w:val="single"/>
                <w:lang w:eastAsia="it-IT"/>
              </w:rPr>
            </w:pPr>
          </w:p>
          <w:p w14:paraId="6EF4D5CB"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6"/>
                <w:szCs w:val="24"/>
                <w:u w:val="single"/>
                <w:lang w:eastAsia="it-IT"/>
              </w:rPr>
            </w:pPr>
          </w:p>
          <w:p w14:paraId="41BAB56C"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F56356">
              <w:rPr>
                <w:rFonts w:ascii="Times New Roman" w:eastAsia="Times New Roman" w:hAnsi="Times New Roman" w:cs="Times New Roman"/>
                <w:b/>
                <w:color w:val="000000" w:themeColor="text1"/>
                <w:sz w:val="24"/>
                <w:szCs w:val="24"/>
                <w:u w:val="single"/>
                <w:lang w:eastAsia="it-IT"/>
              </w:rPr>
              <w:t>Area Accertamenti sanitari e adempimenti in materia di sicurezza</w:t>
            </w:r>
          </w:p>
          <w:p w14:paraId="32CEC0A2" w14:textId="14227D4E" w:rsid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Le risorse complessivamente assegnate sul capitolo 148 “</w:t>
            </w:r>
            <w:r w:rsidRPr="00F56356">
              <w:rPr>
                <w:rFonts w:ascii="Times New Roman" w:eastAsia="Times New Roman" w:hAnsi="Times New Roman" w:cs="Times New Roman"/>
                <w:i/>
                <w:color w:val="000000" w:themeColor="text1"/>
                <w:sz w:val="24"/>
                <w:szCs w:val="24"/>
                <w:lang w:eastAsia="it-IT"/>
              </w:rPr>
              <w:t>Spese per accertamenti sanitari obbligatori del personale e per gli adempimenti di cui al d.lgs. 81/2008”</w:t>
            </w:r>
            <w:r w:rsidRPr="00F56356">
              <w:rPr>
                <w:rFonts w:ascii="Times New Roman" w:eastAsia="Times New Roman" w:hAnsi="Times New Roman" w:cs="Times New Roman"/>
                <w:color w:val="000000" w:themeColor="text1"/>
                <w:sz w:val="24"/>
                <w:szCs w:val="24"/>
                <w:lang w:eastAsia="it-IT"/>
              </w:rPr>
              <w:t xml:space="preserve"> ammontano a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508.500,00.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Gli impegni assunti sono stati pari a euro 325.063,11, con una economia di bilancio di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183.436,89. Il totale dei pagamenti riferiti alla competenza è stato pari a euro 81.745,00.</w:t>
            </w:r>
          </w:p>
          <w:p w14:paraId="0A2DC938" w14:textId="198D1F72" w:rsidR="00F506D7" w:rsidRDefault="00F506D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5FC116F" w14:textId="77777777" w:rsidR="00F506D7" w:rsidRPr="00F56356" w:rsidRDefault="00F506D7"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40C0DCDF"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F56356">
              <w:rPr>
                <w:rFonts w:ascii="Times New Roman" w:eastAsia="Times New Roman" w:hAnsi="Times New Roman" w:cs="Times New Roman"/>
                <w:b/>
                <w:color w:val="000000" w:themeColor="text1"/>
                <w:sz w:val="24"/>
                <w:szCs w:val="24"/>
                <w:u w:val="single"/>
                <w:lang w:eastAsia="it-IT"/>
              </w:rPr>
              <w:lastRenderedPageBreak/>
              <w:t>Area Esperti e incarichi professionali</w:t>
            </w:r>
          </w:p>
          <w:p w14:paraId="41E61E9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Le risorse complessivamente assegnate ammontano a euro 14.067.913,07. Gli impegni assunti sono stati pari a euro 3.261.542,15, con un’economia di bilancio di euro 10.806.370,92. Il totale dei pagamenti riferiti alla competenza è stato pari a euro 662.943,40.  </w:t>
            </w:r>
          </w:p>
          <w:p w14:paraId="342F8C6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bookmarkStart w:id="32" w:name="_Hlk132977037"/>
          </w:p>
          <w:bookmarkEnd w:id="32"/>
          <w:p w14:paraId="1F2AECB8"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r w:rsidRPr="00F56356">
              <w:rPr>
                <w:rFonts w:ascii="Times New Roman" w:eastAsia="Times New Roman" w:hAnsi="Times New Roman" w:cs="Times New Roman"/>
                <w:b/>
                <w:color w:val="000000" w:themeColor="text1"/>
                <w:sz w:val="24"/>
                <w:szCs w:val="24"/>
                <w:u w:val="single"/>
                <w:lang w:eastAsia="it-IT"/>
              </w:rPr>
              <w:t>Area Commissione per l’accesso ai documenti amministrativi</w:t>
            </w:r>
          </w:p>
          <w:p w14:paraId="4CC80E6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Le risorse complessivamente assegnate sul capitolo 169 </w:t>
            </w:r>
            <w:r w:rsidRPr="00F56356">
              <w:rPr>
                <w:rFonts w:ascii="Times New Roman" w:eastAsia="Times New Roman" w:hAnsi="Times New Roman" w:cs="Times New Roman"/>
                <w:i/>
                <w:color w:val="000000" w:themeColor="text1"/>
                <w:sz w:val="24"/>
                <w:szCs w:val="24"/>
                <w:lang w:eastAsia="it-IT"/>
              </w:rPr>
              <w:t>“Spese per il funzionamento della Commissione per l’accesso ai documenti amministrativi ex art. 27 legge n. 241/1990”</w:t>
            </w:r>
            <w:r w:rsidRPr="00F56356">
              <w:rPr>
                <w:rFonts w:ascii="Times New Roman" w:eastAsia="Times New Roman" w:hAnsi="Times New Roman" w:cs="Times New Roman"/>
                <w:color w:val="000000" w:themeColor="text1"/>
                <w:sz w:val="24"/>
                <w:szCs w:val="24"/>
                <w:lang w:eastAsia="it-IT"/>
              </w:rPr>
              <w:t xml:space="preserve"> ammontano a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100.000,00. Gli impegni assunti sono stati pari a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80.000,00,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con un’economia di bilancio di euro</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 xml:space="preserve">20.000,00. Non è stato effettuato alcun pagamento riferito alla competenza. </w:t>
            </w:r>
            <w:bookmarkStart w:id="33" w:name="_Hlk132964322"/>
            <w:r w:rsidRPr="00F56356">
              <w:rPr>
                <w:rFonts w:ascii="Times New Roman" w:eastAsia="Times New Roman" w:hAnsi="Times New Roman" w:cs="Times New Roman"/>
                <w:color w:val="000000" w:themeColor="text1"/>
                <w:sz w:val="24"/>
                <w:szCs w:val="24"/>
                <w:lang w:eastAsia="it-IT"/>
              </w:rPr>
              <w:t xml:space="preserve">Nel corso del 2022, infatti, non è stato possibile procedere al pagamento dei compensi dovuti agli esperti della Commissione per l’accesso ai documenti amministrativi a causa dell’assenza della necessaria autorizzazione a pagare.  </w:t>
            </w:r>
          </w:p>
          <w:p w14:paraId="31DCA0A4"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u w:val="single"/>
                <w:lang w:eastAsia="it-IT"/>
              </w:rPr>
            </w:pPr>
          </w:p>
          <w:bookmarkEnd w:id="33"/>
          <w:p w14:paraId="780B81A6"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6C79C7D8"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16F4A421"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424946CD"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102E04E3"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507E26D8"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12A51705"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6270D988"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1E561185"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66EAF05C"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5E13D97A"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3A8B1847"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052F3869"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7F93B4BC"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60899106"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188D6F6B"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04F8265B" w14:textId="691893A8" w:rsidR="00F56356" w:rsidRDefault="00F56356" w:rsidP="00F56356">
            <w:pPr>
              <w:spacing w:after="0" w:line="360" w:lineRule="auto"/>
              <w:jc w:val="center"/>
              <w:rPr>
                <w:rFonts w:ascii="Times New Roman" w:eastAsia="Times New Roman" w:hAnsi="Times New Roman" w:cs="Times New Roman"/>
                <w:sz w:val="24"/>
                <w:szCs w:val="24"/>
                <w:lang w:eastAsia="it-IT"/>
              </w:rPr>
            </w:pPr>
          </w:p>
          <w:p w14:paraId="6EE57104" w14:textId="732D9040" w:rsidR="00B162D3" w:rsidRDefault="00B162D3" w:rsidP="00F56356">
            <w:pPr>
              <w:spacing w:after="0" w:line="360" w:lineRule="auto"/>
              <w:jc w:val="center"/>
              <w:rPr>
                <w:rFonts w:ascii="Times New Roman" w:eastAsia="Times New Roman" w:hAnsi="Times New Roman" w:cs="Times New Roman"/>
                <w:sz w:val="24"/>
                <w:szCs w:val="24"/>
                <w:lang w:eastAsia="it-IT"/>
              </w:rPr>
            </w:pPr>
          </w:p>
          <w:p w14:paraId="3603D35F" w14:textId="77777777" w:rsidR="00B162D3" w:rsidRPr="00F56356" w:rsidRDefault="00B162D3" w:rsidP="00F56356">
            <w:pPr>
              <w:spacing w:after="0" w:line="360" w:lineRule="auto"/>
              <w:jc w:val="center"/>
              <w:rPr>
                <w:rFonts w:ascii="Times New Roman" w:eastAsia="Times New Roman" w:hAnsi="Times New Roman" w:cs="Times New Roman"/>
                <w:sz w:val="24"/>
                <w:szCs w:val="24"/>
                <w:lang w:eastAsia="it-IT"/>
              </w:rPr>
            </w:pPr>
          </w:p>
          <w:p w14:paraId="3EE4134D"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4EC54B30"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01E23E98"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5F87EBA3" w14:textId="77777777" w:rsidR="00F56356" w:rsidRPr="00F56356" w:rsidRDefault="00F56356" w:rsidP="00F56356">
            <w:pPr>
              <w:spacing w:after="0" w:line="360" w:lineRule="auto"/>
              <w:jc w:val="center"/>
              <w:rPr>
                <w:rFonts w:ascii="Times New Roman" w:eastAsia="Times New Roman" w:hAnsi="Times New Roman" w:cs="Times New Roman"/>
                <w:noProof/>
                <w:sz w:val="24"/>
                <w:szCs w:val="24"/>
                <w:lang w:eastAsia="it-IT"/>
              </w:rPr>
            </w:pPr>
            <w:r w:rsidRPr="00F56356">
              <w:rPr>
                <w:rFonts w:ascii="Times New Roman" w:eastAsia="Times New Roman" w:hAnsi="Times New Roman" w:cs="Times New Roman"/>
                <w:sz w:val="24"/>
                <w:szCs w:val="24"/>
                <w:lang w:eastAsia="it-IT"/>
              </w:rPr>
              <w:t>Indicatori di bilancio</w:t>
            </w:r>
          </w:p>
          <w:p w14:paraId="7C67C2AD"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39136" behindDoc="1" locked="0" layoutInCell="1" allowOverlap="1" wp14:anchorId="5185594A" wp14:editId="03BF59CE">
                  <wp:simplePos x="0" y="0"/>
                  <wp:positionH relativeFrom="column">
                    <wp:posOffset>45085</wp:posOffset>
                  </wp:positionH>
                  <wp:positionV relativeFrom="paragraph">
                    <wp:posOffset>-635</wp:posOffset>
                  </wp:positionV>
                  <wp:extent cx="5934075" cy="8267700"/>
                  <wp:effectExtent l="0" t="0" r="9525" b="0"/>
                  <wp:wrapTight wrapText="bothSides">
                    <wp:wrapPolygon edited="0">
                      <wp:start x="0" y="0"/>
                      <wp:lineTo x="0" y="21550"/>
                      <wp:lineTo x="12482" y="21550"/>
                      <wp:lineTo x="12482" y="21500"/>
                      <wp:lineTo x="21565" y="21152"/>
                      <wp:lineTo x="21565" y="12990"/>
                      <wp:lineTo x="21288" y="12741"/>
                      <wp:lineTo x="21565" y="12691"/>
                      <wp:lineTo x="21565" y="9854"/>
                      <wp:lineTo x="21219" y="9556"/>
                      <wp:lineTo x="21565" y="9556"/>
                      <wp:lineTo x="21565" y="5773"/>
                      <wp:lineTo x="21011" y="5574"/>
                      <wp:lineTo x="21565" y="5475"/>
                      <wp:lineTo x="21565" y="4181"/>
                      <wp:lineTo x="21149" y="3982"/>
                      <wp:lineTo x="21565" y="3932"/>
                      <wp:lineTo x="21565" y="1642"/>
                      <wp:lineTo x="21080" y="1593"/>
                      <wp:lineTo x="21565" y="1145"/>
                      <wp:lineTo x="21565" y="0"/>
                      <wp:lineTo x="0" y="0"/>
                    </wp:wrapPolygon>
                  </wp:wrapTight>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8267700"/>
                          </a:xfrm>
                          <a:prstGeom prst="rect">
                            <a:avLst/>
                          </a:prstGeom>
                          <a:noFill/>
                          <a:ln>
                            <a:noFill/>
                          </a:ln>
                        </pic:spPr>
                      </pic:pic>
                    </a:graphicData>
                  </a:graphic>
                </wp:anchor>
              </w:drawing>
            </w:r>
          </w:p>
          <w:p w14:paraId="43C4BE7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2.2.2</w:t>
            </w:r>
            <w:r w:rsidRPr="00F56356">
              <w:rPr>
                <w:rFonts w:ascii="Times New Roman" w:eastAsia="Times New Roman" w:hAnsi="Times New Roman" w:cs="Times New Roman"/>
                <w:color w:val="000000" w:themeColor="text1"/>
                <w:sz w:val="24"/>
                <w:szCs w:val="24"/>
                <w:lang w:eastAsia="it-IT"/>
              </w:rPr>
              <w:t xml:space="preserve"> Le risorse impegnate per gli interventi pari a euro 1.194.654,02 sono state destinate:</w:t>
            </w:r>
          </w:p>
          <w:p w14:paraId="6DCBF3A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w:t>
            </w:r>
            <w:bookmarkStart w:id="34" w:name="_Hlk132977247"/>
            <w:r w:rsidRPr="00F56356">
              <w:rPr>
                <w:rFonts w:ascii="Times New Roman" w:eastAsia="Times New Roman" w:hAnsi="Times New Roman" w:cs="Times New Roman"/>
                <w:i/>
                <w:color w:val="000000" w:themeColor="text1"/>
                <w:sz w:val="24"/>
                <w:szCs w:val="24"/>
                <w:lang w:eastAsia="it-IT"/>
              </w:rPr>
              <w:t>Spese per esecuzioni sentenze in materia di personale nonché per interessi legali o rivalutazione monetaria sulle retribuzioni”</w:t>
            </w:r>
            <w:r w:rsidRPr="00F56356">
              <w:rPr>
                <w:rFonts w:ascii="Times New Roman" w:eastAsia="Times New Roman" w:hAnsi="Times New Roman" w:cs="Times New Roman"/>
                <w:color w:val="000000" w:themeColor="text1"/>
                <w:sz w:val="24"/>
                <w:szCs w:val="24"/>
                <w:lang w:eastAsia="it-IT"/>
              </w:rPr>
              <w:t xml:space="preserve"> </w:t>
            </w:r>
            <w:bookmarkEnd w:id="34"/>
            <w:r w:rsidRPr="00F56356">
              <w:rPr>
                <w:rFonts w:ascii="Times New Roman" w:eastAsia="Times New Roman" w:hAnsi="Times New Roman" w:cs="Times New Roman"/>
                <w:color w:val="000000" w:themeColor="text1"/>
                <w:sz w:val="24"/>
                <w:szCs w:val="24"/>
                <w:lang w:eastAsia="it-IT"/>
              </w:rPr>
              <w:t>(cap. 183)</w:t>
            </w:r>
          </w:p>
          <w:p w14:paraId="444E793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291.788,11 alle spese per esecuzioni di sentenze in materia di personale nonché per interessi legali o rivalutazione monetaria sulle retribuzioni;</w:t>
            </w:r>
          </w:p>
          <w:p w14:paraId="118D64C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Spese inerenti al contenzioso relativo al rapporto di lavoro del personale in servizio presso la Presidenza del Consiglio dei ministri”</w:t>
            </w:r>
            <w:r w:rsidRPr="00F56356">
              <w:rPr>
                <w:rFonts w:ascii="Times New Roman" w:eastAsia="Times New Roman" w:hAnsi="Times New Roman" w:cs="Times New Roman"/>
                <w:color w:val="000000" w:themeColor="text1"/>
                <w:sz w:val="24"/>
                <w:szCs w:val="24"/>
                <w:lang w:eastAsia="it-IT"/>
              </w:rPr>
              <w:t xml:space="preserve"> (cap. 217)</w:t>
            </w:r>
          </w:p>
          <w:p w14:paraId="78604E2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59.465,46 alle spese per liti liquidate in sentenze emesse su contenziosi relativi al rapporto di lavoro del personale in servizio presso la Presidenza del Consiglio dei ministri; </w:t>
            </w:r>
          </w:p>
          <w:p w14:paraId="21A24366"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 xml:space="preserve">“Fondo per gli interventi a favore di cittadini illustri che versano in stato di particolare necessità (L. 8/8/1985 n.440- L. 27/12/2006 n.296 art.1 c.1277)” </w:t>
            </w:r>
            <w:r w:rsidRPr="00F56356">
              <w:rPr>
                <w:rFonts w:ascii="Times New Roman" w:eastAsia="Times New Roman" w:hAnsi="Times New Roman" w:cs="Times New Roman"/>
                <w:color w:val="000000" w:themeColor="text1"/>
                <w:sz w:val="24"/>
                <w:szCs w:val="24"/>
                <w:lang w:eastAsia="it-IT"/>
              </w:rPr>
              <w:t>(cap. 230)</w:t>
            </w:r>
          </w:p>
          <w:p w14:paraId="690059D2"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843.400,45 all’erogazione di benefici a favore di cittadini illustri che versino in stato di particolare necessità (cd. Legge Bacchelli). La legge 8 agosto 1985, n. 440, concernente “Istituzione di un assegno vitalizio a favore di cittadini che abbiano illustrato la Patria e che versino in stato di particolare necessità”, prevede l’erogazione di un beneficio a cittadini italiani che siano in possesso dei tre requisiti previsti dalla norma (chiara fama, stato di bisogno, non essere incorsi in condanne che comportino l’interdizione dai pubblici uffici). </w:t>
            </w:r>
          </w:p>
          <w:p w14:paraId="4D82CF3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Nell’esercizio finanziario 2022, risultano 35 i soggetti che hanno beneficiato del vitalizio. </w:t>
            </w:r>
          </w:p>
          <w:p w14:paraId="2E54497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2936E49"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671552" behindDoc="1" locked="0" layoutInCell="1" allowOverlap="1" wp14:anchorId="5EE4F938" wp14:editId="1139BAD4">
                  <wp:simplePos x="0" y="0"/>
                  <wp:positionH relativeFrom="margin">
                    <wp:align>right</wp:align>
                  </wp:positionH>
                  <wp:positionV relativeFrom="paragraph">
                    <wp:posOffset>262890</wp:posOffset>
                  </wp:positionV>
                  <wp:extent cx="5895975" cy="1325880"/>
                  <wp:effectExtent l="0" t="0" r="9525" b="7620"/>
                  <wp:wrapTight wrapText="bothSides">
                    <wp:wrapPolygon edited="0">
                      <wp:start x="0" y="0"/>
                      <wp:lineTo x="0" y="21414"/>
                      <wp:lineTo x="12492" y="21414"/>
                      <wp:lineTo x="12492" y="19862"/>
                      <wp:lineTo x="21565" y="18621"/>
                      <wp:lineTo x="21565" y="16138"/>
                      <wp:lineTo x="21146" y="14897"/>
                      <wp:lineTo x="21565" y="14276"/>
                      <wp:lineTo x="21565" y="0"/>
                      <wp:lineTo x="0" y="0"/>
                    </wp:wrapPolygon>
                  </wp:wrapTight>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5975" cy="132588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1CFAE3BA" w14:textId="77777777" w:rsidR="00F56356" w:rsidRPr="00F56356" w:rsidRDefault="00F56356" w:rsidP="00F56356">
            <w:pPr>
              <w:tabs>
                <w:tab w:val="left" w:pos="567"/>
              </w:tabs>
              <w:spacing w:after="0" w:line="360" w:lineRule="auto"/>
              <w:ind w:left="340"/>
              <w:jc w:val="both"/>
              <w:rPr>
                <w:rFonts w:ascii="Times New Roman" w:eastAsia="Times New Roman" w:hAnsi="Times New Roman" w:cs="Times New Roman"/>
                <w:noProof/>
                <w:sz w:val="28"/>
                <w:szCs w:val="28"/>
                <w:lang w:eastAsia="it-IT"/>
              </w:rPr>
            </w:pPr>
          </w:p>
          <w:p w14:paraId="5FFF1E20" w14:textId="4235B1EE" w:rsid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20F7D2CD" w14:textId="77777777" w:rsidR="00F506D7" w:rsidRPr="00F56356" w:rsidRDefault="00F506D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59339D5F"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stati determinati: </w:t>
            </w:r>
          </w:p>
          <w:p w14:paraId="2C2926FF" w14:textId="77777777" w:rsidR="00F56356" w:rsidRPr="00F56356" w:rsidRDefault="00F56356" w:rsidP="00F56356">
            <w:pPr>
              <w:autoSpaceDE w:val="0"/>
              <w:autoSpaceDN w:val="0"/>
              <w:adjustRightInd w:val="0"/>
              <w:spacing w:line="360" w:lineRule="auto"/>
              <w:ind w:left="284"/>
              <w:contextualSpacing/>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a) per i capitoli afferenti al trattamento economico fondamentale e i relativi contributi del personale inserito negli Uffici di diretta collaborazione del Presidente, degli eventuali Vice Presidenti e del Sottosegretario di Stato, dal fatto che la costituzione degli uffici di diretta collaborazione della nuova compagine governativa, insediatasi a fine ottobre 2022, è avvenuta a fine anno. Ciò ha comportato che l’erogazione dei trattamenti economici avvenisse nell’anno successivo;</w:t>
            </w:r>
          </w:p>
          <w:p w14:paraId="41C9C42D" w14:textId="77777777" w:rsidR="00F56356" w:rsidRPr="00F56356" w:rsidRDefault="00F56356" w:rsidP="00F56356">
            <w:pPr>
              <w:autoSpaceDE w:val="0"/>
              <w:autoSpaceDN w:val="0"/>
              <w:adjustRightInd w:val="0"/>
              <w:spacing w:line="360" w:lineRule="auto"/>
              <w:ind w:left="284"/>
              <w:contextualSpacing/>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b) per i capitoli 276 e 277, relativi alle retribuzioni e oneri per IRAP sul trattamento economico del personale in servizio presso la Struttura di missione Segreteria tecnica del PNRR,</w:t>
            </w:r>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dalla circostanza che una parte degli incarichi sono stati conferiti al personale in comando e i relativi rimborsi alle amministrazioni di appartenenza sono effettuati con uno scostamento temporale rispetto all’effettivo svolgimento dell’incarico, ricadente anche sull’esercizio finanziario successivo;</w:t>
            </w:r>
          </w:p>
          <w:p w14:paraId="7477CD62" w14:textId="77777777" w:rsidR="00F56356" w:rsidRPr="00F56356" w:rsidRDefault="00F56356" w:rsidP="00F56356">
            <w:pPr>
              <w:autoSpaceDE w:val="0"/>
              <w:autoSpaceDN w:val="0"/>
              <w:adjustRightInd w:val="0"/>
              <w:spacing w:line="360" w:lineRule="auto"/>
              <w:ind w:left="284"/>
              <w:contextualSpacing/>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 per il capitolo 278, pg3 - </w:t>
            </w:r>
            <w:r w:rsidRPr="00F56356">
              <w:rPr>
                <w:rFonts w:ascii="Times New Roman" w:eastAsiaTheme="minorEastAsia" w:hAnsi="Times New Roman" w:cs="Times New Roman"/>
                <w:i/>
                <w:color w:val="000000" w:themeColor="text1"/>
                <w:sz w:val="24"/>
                <w:szCs w:val="24"/>
                <w:lang w:eastAsia="it-IT"/>
              </w:rPr>
              <w:t>Trattamento economico accessorio del personale comprensivo di oneri previdenziali al netto dell’IRAP</w:t>
            </w:r>
            <w:r w:rsidRPr="00F56356">
              <w:rPr>
                <w:rFonts w:ascii="Times New Roman" w:eastAsiaTheme="minorEastAsia" w:hAnsi="Times New Roman" w:cs="Times New Roman"/>
                <w:color w:val="000000" w:themeColor="text1"/>
                <w:sz w:val="24"/>
                <w:szCs w:val="24"/>
                <w:lang w:eastAsia="it-IT"/>
              </w:rPr>
              <w:t xml:space="preserve"> e per il capitolo 279, pg2 - </w:t>
            </w:r>
            <w:r w:rsidRPr="00F56356">
              <w:rPr>
                <w:rFonts w:ascii="Times New Roman" w:eastAsiaTheme="minorEastAsia" w:hAnsi="Times New Roman" w:cs="Times New Roman"/>
                <w:i/>
                <w:color w:val="000000" w:themeColor="text1"/>
                <w:sz w:val="24"/>
                <w:szCs w:val="24"/>
                <w:lang w:eastAsia="it-IT"/>
              </w:rPr>
              <w:t>I</w:t>
            </w:r>
            <w:r w:rsidRPr="00F56356">
              <w:rPr>
                <w:rFonts w:ascii="Times New Roman" w:eastAsiaTheme="minorEastAsia" w:hAnsi="Times New Roman" w:cs="Times New Roman"/>
                <w:i/>
                <w:sz w:val="24"/>
                <w:szCs w:val="24"/>
                <w:lang w:eastAsia="it-IT"/>
              </w:rPr>
              <w:t>RAP</w:t>
            </w:r>
            <w:r w:rsidRPr="00F56356">
              <w:rPr>
                <w:rFonts w:ascii="Times New Roman" w:eastAsiaTheme="minorEastAsia" w:hAnsi="Times New Roman" w:cs="Times New Roman"/>
                <w:i/>
                <w:color w:val="000000" w:themeColor="text1"/>
                <w:sz w:val="24"/>
                <w:szCs w:val="24"/>
                <w:lang w:eastAsia="it-IT"/>
              </w:rPr>
              <w:t xml:space="preserve"> sul trattamento economico accessorio del personale</w:t>
            </w:r>
            <w:r w:rsidRPr="00F56356">
              <w:rPr>
                <w:rFonts w:ascii="Times New Roman" w:eastAsiaTheme="minorEastAsia" w:hAnsi="Times New Roman" w:cs="Times New Roman"/>
                <w:color w:val="000000" w:themeColor="text1"/>
                <w:sz w:val="24"/>
                <w:szCs w:val="24"/>
                <w:lang w:eastAsia="it-IT"/>
              </w:rPr>
              <w:t>, relativamente alla capacità di pagamento, dalla circostanza che la corresponsione di emolumenti accessori avviene nell’anno successivo a quello di competenza;</w:t>
            </w:r>
          </w:p>
          <w:p w14:paraId="330F1D0B"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d) per i capitoli 159 e 161, relativi al pagamento dei contributi previdenziali e degli oneri per IRAP connessi alla liquidazione del FUP, per la capacità di impegno si rileva un sovradimensionamento causato da un refuso sui valori target dell’indicatore, in fase di previsione di bilancio. Trattandosi di valori (oneri) calcolati in percentuale rispetto al valore del capitolo 144, gli scostamenti sono dello stesso ordine di grandezza di quello registrato per il capitolo 144 (-4 punti percentuali), perché gli andamenti dei 3 capitoli sono esattamente paralleli in termini di comportamento di impegno e spesa; </w:t>
            </w:r>
          </w:p>
          <w:p w14:paraId="65D9ECF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e) per il capitolo 153, destinato al pagamento dello straordinario effettuato dal personale non contrattualizzato, relativamente alla capacità di impegno, dalle minori prestazioni realizzate da Guardia di Finanza e Carabinieri, destinatari di tali emolumenti;</w:t>
            </w:r>
          </w:p>
          <w:p w14:paraId="74647B85"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f) per il capitolo</w:t>
            </w:r>
            <w:r w:rsidRPr="00F56356">
              <w:rPr>
                <w:rFonts w:eastAsiaTheme="minorEastAsia"/>
                <w:lang w:eastAsia="it-IT"/>
              </w:rPr>
              <w:t xml:space="preserve"> </w:t>
            </w:r>
            <w:r w:rsidRPr="00F56356">
              <w:rPr>
                <w:rFonts w:ascii="Times New Roman" w:eastAsiaTheme="minorEastAsia" w:hAnsi="Times New Roman" w:cs="Times New Roman"/>
                <w:color w:val="000000" w:themeColor="text1"/>
                <w:sz w:val="24"/>
                <w:szCs w:val="24"/>
                <w:lang w:eastAsia="it-IT"/>
              </w:rPr>
              <w:t xml:space="preserve">168, destinato al pagamento delle spese relative alla gestione delle procedure concorsuali, relativamente alla capacità di impegno, in quanto per una delle procedure concorsuali, e precisamene il concorso unico per complessive 2.736 unità di categoria A parametro retributivo F1, di cui 110 richieste dalla Presidenza del Consiglio, l’Associazione </w:t>
            </w:r>
            <w:proofErr w:type="spellStart"/>
            <w:r w:rsidRPr="00F56356">
              <w:rPr>
                <w:rFonts w:ascii="Times New Roman" w:eastAsiaTheme="minorEastAsia" w:hAnsi="Times New Roman" w:cs="Times New Roman"/>
                <w:color w:val="000000" w:themeColor="text1"/>
                <w:sz w:val="24"/>
                <w:szCs w:val="24"/>
                <w:lang w:eastAsia="it-IT"/>
              </w:rPr>
              <w:t>Formez</w:t>
            </w:r>
            <w:proofErr w:type="spellEnd"/>
            <w:r w:rsidRPr="00F56356">
              <w:rPr>
                <w:rFonts w:ascii="Times New Roman" w:eastAsiaTheme="minorEastAsia" w:hAnsi="Times New Roman" w:cs="Times New Roman"/>
                <w:color w:val="000000" w:themeColor="text1"/>
                <w:sz w:val="24"/>
                <w:szCs w:val="24"/>
                <w:lang w:eastAsia="it-IT"/>
              </w:rPr>
              <w:t xml:space="preserve"> PA non ha stipulato una convenzione onerosa; pertanto, la somma impegnata a tale titolo non è stata utilizzata. Inoltre, non è stata più svolta la procedura concorsuale relativa all’acquisizione di dieci unità di categoria A F1, a seguito di un intervento legislativo che ha trasferito ad altro Ente tutte le funzioni precedentemente attribuite alla Presidenza del Consiglio dei ministri; mentre relativamente alla procedura concorsuale di complessive 2.293 unità, di cui 100 richieste dalla PCM, da inquadrare nella categoria B parametro retributivo F3, in quanto non è stata ancora richiesta dall’Associazione </w:t>
            </w:r>
            <w:proofErr w:type="spellStart"/>
            <w:r w:rsidRPr="00F56356">
              <w:rPr>
                <w:rFonts w:ascii="Times New Roman" w:eastAsiaTheme="minorEastAsia" w:hAnsi="Times New Roman" w:cs="Times New Roman"/>
                <w:color w:val="000000" w:themeColor="text1"/>
                <w:sz w:val="24"/>
                <w:szCs w:val="24"/>
                <w:lang w:eastAsia="it-IT"/>
              </w:rPr>
              <w:t>Formez</w:t>
            </w:r>
            <w:proofErr w:type="spellEnd"/>
            <w:r w:rsidRPr="00F56356">
              <w:rPr>
                <w:rFonts w:ascii="Times New Roman" w:eastAsiaTheme="minorEastAsia" w:hAnsi="Times New Roman" w:cs="Times New Roman"/>
                <w:color w:val="000000" w:themeColor="text1"/>
                <w:sz w:val="24"/>
                <w:szCs w:val="24"/>
                <w:lang w:eastAsia="it-IT"/>
              </w:rPr>
              <w:t xml:space="preserve"> PA la somma a saldo, ai sensi della convenzione  sottoscritta con la predetta Associazione; </w:t>
            </w:r>
          </w:p>
          <w:p w14:paraId="4DE39B92" w14:textId="5E5EC60E" w:rsid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bookmarkStart w:id="35" w:name="_Hlk132976300"/>
            <w:r w:rsidRPr="00F56356">
              <w:rPr>
                <w:rFonts w:ascii="Times New Roman" w:eastAsiaTheme="minorEastAsia" w:hAnsi="Times New Roman" w:cs="Times New Roman"/>
                <w:color w:val="000000" w:themeColor="text1"/>
                <w:sz w:val="24"/>
                <w:szCs w:val="24"/>
                <w:lang w:eastAsia="it-IT"/>
              </w:rPr>
              <w:t>g) per il capitolo 108, relativo alle missioni, a un ridimensionamento delle esigenze rispetto alle iniziali previsioni;</w:t>
            </w:r>
          </w:p>
          <w:p w14:paraId="74E10124" w14:textId="77777777" w:rsidR="00F506D7" w:rsidRPr="00F56356" w:rsidRDefault="00F506D7"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bookmarkEnd w:id="35"/>
          <w:p w14:paraId="2FD40C6D"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 xml:space="preserve">h) per il capitolo 148 - </w:t>
            </w:r>
            <w:r w:rsidRPr="00F56356">
              <w:rPr>
                <w:rFonts w:ascii="Times New Roman" w:eastAsia="Times New Roman" w:hAnsi="Times New Roman" w:cs="Times New Roman"/>
                <w:i/>
                <w:color w:val="000000" w:themeColor="text1"/>
                <w:sz w:val="24"/>
                <w:szCs w:val="24"/>
                <w:lang w:eastAsia="it-IT"/>
              </w:rPr>
              <w:t>Spese per accertamenti sanitari obbligatori del personale e per gli adempimenti di cui al d.lgs. 81/2008</w:t>
            </w:r>
            <w:r w:rsidRPr="00F56356">
              <w:rPr>
                <w:rFonts w:ascii="Times New Roman" w:eastAsiaTheme="minorEastAsia" w:hAnsi="Times New Roman" w:cs="Times New Roman"/>
                <w:color w:val="000000" w:themeColor="text1"/>
                <w:sz w:val="24"/>
                <w:szCs w:val="24"/>
                <w:lang w:eastAsia="it-IT"/>
              </w:rPr>
              <w:t>, relativamente alla capacità di pagamento e di smaltimento dei residui, dalla diminuzione delle spese sostenute per l’esecuzione degli accordi tra PCM e Ministero della difesa sull’effettuazione di attività di primo soccorso e tutela sanitaria della PCM, in ragione di ritardi nelle richieste di rimborso degli oneri sostenuti e di una diminuzione delle prestazioni richieste;</w:t>
            </w:r>
          </w:p>
          <w:p w14:paraId="74ED8A03"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 per il capitolo 209 </w:t>
            </w:r>
            <w:r w:rsidRPr="00F56356">
              <w:rPr>
                <w:rFonts w:ascii="Times New Roman" w:eastAsiaTheme="minorEastAsia" w:hAnsi="Times New Roman" w:cs="Times New Roman"/>
                <w:i/>
                <w:color w:val="000000" w:themeColor="text1"/>
                <w:sz w:val="24"/>
                <w:szCs w:val="24"/>
                <w:lang w:eastAsia="it-IT"/>
              </w:rPr>
              <w:t>-</w:t>
            </w:r>
            <w:r w:rsidRPr="00F56356">
              <w:rPr>
                <w:rFonts w:eastAsiaTheme="minorEastAsia"/>
                <w:i/>
                <w:lang w:eastAsia="it-IT"/>
              </w:rPr>
              <w:t xml:space="preserve"> </w:t>
            </w:r>
            <w:r w:rsidRPr="00F56356">
              <w:rPr>
                <w:rFonts w:ascii="Times New Roman" w:eastAsiaTheme="minorEastAsia" w:hAnsi="Times New Roman" w:cs="Times New Roman"/>
                <w:i/>
                <w:sz w:val="24"/>
                <w:szCs w:val="24"/>
                <w:lang w:eastAsia="it-IT"/>
              </w:rPr>
              <w:t>S</w:t>
            </w:r>
            <w:r w:rsidRPr="00F56356">
              <w:rPr>
                <w:rFonts w:ascii="Times New Roman" w:eastAsiaTheme="minorEastAsia" w:hAnsi="Times New Roman" w:cs="Times New Roman"/>
                <w:i/>
                <w:color w:val="000000" w:themeColor="text1"/>
                <w:sz w:val="24"/>
                <w:szCs w:val="24"/>
                <w:lang w:eastAsia="it-IT"/>
              </w:rPr>
              <w:t>pese per incarichi professionali in materie tecnico-specialistiche,</w:t>
            </w:r>
            <w:r w:rsidRPr="00F56356">
              <w:rPr>
                <w:rFonts w:ascii="Times New Roman" w:eastAsiaTheme="minorEastAsia" w:hAnsi="Times New Roman" w:cs="Times New Roman"/>
                <w:color w:val="000000" w:themeColor="text1"/>
                <w:sz w:val="24"/>
                <w:szCs w:val="24"/>
                <w:lang w:eastAsia="it-IT"/>
              </w:rPr>
              <w:t xml:space="preserve"> dalla mancata attivazione di alcune delle procedure di affidamento di incarichi professionali in materie tecnico-professionali, stimate in fase previsionale;</w:t>
            </w:r>
          </w:p>
          <w:p w14:paraId="57D47BD1"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l) per il capitolo 280, relativo ai compensi per esperti presso le Strutture di missione per l’attuazione del PNRR, in relazione alla capacità di smaltimento dei residui, dal fatto che l’ammontare dei residui accertati era riferito a un orizzonte triennale, mentre lo smaltimento è determinato dalla spesa sostenuta per un solo anno del triennio;</w:t>
            </w:r>
          </w:p>
          <w:p w14:paraId="0D9EDBF8"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m) per il capitolo 183 - </w:t>
            </w:r>
            <w:r w:rsidRPr="00F56356">
              <w:rPr>
                <w:rFonts w:ascii="Times New Roman" w:eastAsiaTheme="minorEastAsia" w:hAnsi="Times New Roman" w:cs="Times New Roman"/>
                <w:i/>
                <w:color w:val="000000" w:themeColor="text1"/>
                <w:sz w:val="24"/>
                <w:szCs w:val="24"/>
                <w:lang w:eastAsia="it-IT"/>
              </w:rPr>
              <w:t xml:space="preserve">Spese per esecuzioni sentenze in materia di personale nonché per interessi legali o rivalutazione monetaria sulle retribuzioni, </w:t>
            </w:r>
            <w:r w:rsidRPr="00F56356">
              <w:rPr>
                <w:rFonts w:ascii="Times New Roman" w:eastAsiaTheme="minorEastAsia" w:hAnsi="Times New Roman" w:cs="Times New Roman"/>
                <w:color w:val="000000" w:themeColor="text1"/>
                <w:sz w:val="24"/>
                <w:szCs w:val="24"/>
                <w:lang w:eastAsia="it-IT"/>
              </w:rPr>
              <w:t>dalla ricezione, a fine anno, di una notifica di sentenza di condanna al pagamento delle differenze retributive a favore del personale ex CIPE transitato nel ruolo provvisorio dal 2006, al quale è stato riconosciuto il diritto all’inquadramento nel ruolo ordinario PCM con la medesima ricorrenza. Pertanto, la ricezione a ridosso della fine dell’anno non ne ha consentito la lavorazione nell’ambito dell’esercizio finanziario 2022.</w:t>
            </w:r>
          </w:p>
          <w:p w14:paraId="226960CF"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3FB3A304" w14:textId="77777777" w:rsidR="00F56356" w:rsidRPr="00F56356" w:rsidRDefault="00F56356" w:rsidP="00F56356">
            <w:pPr>
              <w:autoSpaceDE w:val="0"/>
              <w:autoSpaceDN w:val="0"/>
              <w:adjustRightInd w:val="0"/>
              <w:spacing w:after="0" w:line="360" w:lineRule="auto"/>
              <w:ind w:left="426"/>
              <w:jc w:val="both"/>
              <w:rPr>
                <w:rFonts w:ascii="Times New Roman" w:eastAsiaTheme="minorEastAsia" w:hAnsi="Times New Roman" w:cs="Times New Roman"/>
                <w:color w:val="000000" w:themeColor="text1"/>
                <w:sz w:val="24"/>
                <w:szCs w:val="24"/>
                <w:lang w:eastAsia="it-IT"/>
              </w:rPr>
            </w:pPr>
          </w:p>
          <w:p w14:paraId="6981A4AC"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2D973A9E" w14:textId="77777777" w:rsidR="00F56356" w:rsidRPr="00F56356" w:rsidRDefault="00F56356"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1DB09AF7" w14:textId="77777777" w:rsidR="00F56356" w:rsidRPr="00F56356" w:rsidRDefault="00F56356"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1B35A7DC" w14:textId="77777777" w:rsidR="00F56356" w:rsidRPr="00F56356" w:rsidRDefault="00F56356" w:rsidP="00F56356">
            <w:pPr>
              <w:spacing w:after="0" w:line="360" w:lineRule="auto"/>
              <w:ind w:right="-1"/>
              <w:jc w:val="both"/>
              <w:rPr>
                <w:rFonts w:ascii="Times New Roman" w:eastAsia="Times New Roman" w:hAnsi="Times New Roman" w:cs="Times New Roman"/>
                <w:sz w:val="28"/>
                <w:szCs w:val="28"/>
                <w:lang w:eastAsia="it-IT"/>
              </w:rPr>
            </w:pPr>
          </w:p>
          <w:p w14:paraId="74756A40" w14:textId="77777777" w:rsidR="00F56356" w:rsidRPr="00F56356" w:rsidRDefault="00F56356"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577A1674" w14:textId="77777777" w:rsidR="00F56356" w:rsidRPr="00F56356" w:rsidRDefault="00F56356"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01BC4E11" w14:textId="77777777" w:rsidR="00F56356" w:rsidRPr="00F56356" w:rsidRDefault="00F56356"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300B8133" w14:textId="4BD0C18C" w:rsidR="00F56356" w:rsidRDefault="00F56356"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229DF021" w14:textId="2011D46B" w:rsidR="00B162D3" w:rsidRDefault="00B162D3"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670EC9B6" w14:textId="3D5D37D7" w:rsidR="00B162D3" w:rsidRDefault="00B162D3"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3C33FC16" w14:textId="315AAEAF" w:rsidR="00B162D3" w:rsidRDefault="00B162D3"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7EEC4F7B" w14:textId="4AB20EB4" w:rsidR="00B162D3" w:rsidRDefault="00B162D3"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2BEAF452" w14:textId="77777777" w:rsidR="00B162D3" w:rsidRPr="00F56356" w:rsidRDefault="00B162D3" w:rsidP="00F56356">
            <w:pPr>
              <w:spacing w:after="0" w:line="360" w:lineRule="auto"/>
              <w:ind w:right="-1"/>
              <w:jc w:val="both"/>
              <w:rPr>
                <w:rFonts w:ascii="Times New Roman" w:eastAsia="Times New Roman" w:hAnsi="Times New Roman" w:cs="Times New Roman"/>
                <w:color w:val="000000" w:themeColor="text1"/>
                <w:sz w:val="24"/>
                <w:szCs w:val="24"/>
                <w:lang w:eastAsia="it-IT"/>
              </w:rPr>
            </w:pPr>
          </w:p>
          <w:p w14:paraId="28A06553"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color w:val="000000" w:themeColor="text1"/>
                <w:sz w:val="24"/>
                <w:szCs w:val="24"/>
                <w:u w:val="single"/>
                <w:lang w:eastAsia="it-IT"/>
              </w:rPr>
            </w:pPr>
            <w:r w:rsidRPr="00F56356">
              <w:rPr>
                <w:rFonts w:ascii="Times New Roman" w:eastAsiaTheme="minorEastAsia" w:hAnsi="Times New Roman" w:cs="Times New Roman"/>
                <w:b/>
                <w:color w:val="000000" w:themeColor="text1"/>
                <w:sz w:val="24"/>
                <w:szCs w:val="24"/>
                <w:u w:val="single"/>
                <w:lang w:eastAsia="it-IT"/>
              </w:rPr>
              <w:lastRenderedPageBreak/>
              <w:t>Dipartimento per i servizi strumentali</w:t>
            </w:r>
          </w:p>
          <w:p w14:paraId="2C5BDBAC"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16"/>
                <w:szCs w:val="24"/>
                <w:lang w:eastAsia="it-IT"/>
              </w:rPr>
            </w:pPr>
          </w:p>
          <w:p w14:paraId="5B072A01"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i/>
                <w:color w:val="000000" w:themeColor="text1"/>
                <w:sz w:val="24"/>
                <w:szCs w:val="24"/>
                <w:lang w:eastAsia="it-IT"/>
              </w:rPr>
            </w:pPr>
            <w:r w:rsidRPr="00F56356">
              <w:rPr>
                <w:rFonts w:ascii="Times New Roman" w:eastAsiaTheme="minorEastAsia" w:hAnsi="Times New Roman" w:cs="Times New Roman"/>
                <w:b/>
                <w:bCs/>
                <w:color w:val="000000" w:themeColor="text1"/>
                <w:sz w:val="24"/>
                <w:szCs w:val="24"/>
                <w:lang w:eastAsia="it-IT"/>
              </w:rPr>
              <w:t>1.</w:t>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b/>
                <w:i/>
                <w:color w:val="000000" w:themeColor="text1"/>
                <w:sz w:val="24"/>
                <w:szCs w:val="24"/>
                <w:lang w:eastAsia="it-IT"/>
              </w:rPr>
              <w:t>Mission</w:t>
            </w:r>
          </w:p>
          <w:p w14:paraId="3CE33E02"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Il Dipartimento per i servizi strumentali provvede, in un quadro unitario di programmazione generale annuale e pluriennale, coerente con le esigenze di funzionamento della Presidenza del Consiglio dei ministri e compatibile con le risorse finanziarie, all’approvvigionamento, alla fornitura e alla gestione di tutti i beni mobili, immobili e dei servizi ad essi connessi, come la programmazione e la realizzazione delle opere e degli interventi manutentivi dei locali e degli impianti. In particolare: provvede all’ottimale gestione degli immobili in uso alla Presidenza; predispone e gestisce i programmi di informatizzazione della stessa, curando l’analisi funzionale, la progettazione e la gestione dei sistemi informativi automatizzati e di telecomunicazione, anche sotto il profilo della sicurezza e della riservatezza, con esclusione dei sistemi di comunicazione di competenza del centro comunicazioni classificate presso l’Ufficio del Segretario generale. Il Dipartimento gestisce le emergenze all’interno delle sedi della Presidenza; provvede all’analisi, alla programmazione, alla gestione e alla valutazione delle scelte relative alle esigenze locative, di acquisizione di beni e servizi, anche nel settore informatico e di telecomunicazione, nonché all’avvio e alla gestione delle connesse procedure amministrative, ivi comprese quelle di adesione alle convenzioni stipulate ai sensi dell’articolo 26, commi 1 e 3, della legge 23 dicembre 1999, n. 488, e dell’articolo 58 della legge 23 dicembre 2000, n. 388, assicurandone anche il monitoraggio e la gestione operativa quale referente unico della Presidenza. Provvede, altresì, al collaudo e alla regolare esecuzione delle opere e degli interventi o delle prestazioni. Al Dipartimento fanno capo le attività di prevenzione e protezione ai sensi della normativa sulla tutela della salute e la sicurezza dei lavoratori sui luoghi di lavoro e il coordinamento e la gestione dei necessari interventi strutturali, in raccordo con il Dipartimento per il personale - Ufficio del medico competente e i compiti di cui all’articolo 17 del decreto legislativo 7 marzo 2005, n. 82, recante “Codice dell’amministrazione digitale” e successive modificazioni e integrazioni, compatibilmente con le funzioni istituzionali assegnate e le esigenze organizzative delle singole strutture della Presidenza. Infine, provvede alla gestione degli “uffici passi” e dell’autoparco, nonché alla sicurezza del servizio di trasporto.</w:t>
            </w:r>
          </w:p>
          <w:p w14:paraId="74CE9DCD"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14"/>
                <w:szCs w:val="24"/>
                <w:lang w:eastAsia="it-IT"/>
              </w:rPr>
            </w:pPr>
          </w:p>
          <w:p w14:paraId="3588C1D3"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
                <w:szCs w:val="24"/>
                <w:lang w:eastAsia="it-IT"/>
              </w:rPr>
            </w:pPr>
          </w:p>
          <w:p w14:paraId="5A809B56" w14:textId="77777777" w:rsidR="00F56356" w:rsidRPr="00F56356" w:rsidRDefault="00F56356" w:rsidP="00F56356">
            <w:pPr>
              <w:spacing w:after="0" w:line="360" w:lineRule="auto"/>
              <w:ind w:left="284"/>
              <w:jc w:val="both"/>
              <w:rPr>
                <w:rFonts w:ascii="Times New Roman" w:eastAsiaTheme="minorEastAsia" w:hAnsi="Times New Roman" w:cs="Times New Roman"/>
                <w:b/>
                <w:sz w:val="44"/>
                <w:szCs w:val="24"/>
                <w:lang w:eastAsia="it-IT"/>
              </w:rPr>
            </w:pPr>
            <w:r w:rsidRPr="00F56356">
              <w:rPr>
                <w:rFonts w:ascii="Times New Roman" w:eastAsiaTheme="minorEastAsia" w:hAnsi="Times New Roman" w:cs="Times New Roman"/>
                <w:b/>
                <w:sz w:val="24"/>
                <w:szCs w:val="24"/>
                <w:lang w:eastAsia="it-IT"/>
              </w:rPr>
              <w:t>2.</w:t>
            </w:r>
            <w:r w:rsidRPr="00F56356">
              <w:rPr>
                <w:rFonts w:ascii="Times New Roman" w:eastAsiaTheme="minorEastAsia" w:hAnsi="Times New Roman" w:cs="Times New Roman"/>
                <w:b/>
                <w:color w:val="FF0000"/>
                <w:sz w:val="24"/>
                <w:szCs w:val="24"/>
                <w:lang w:eastAsia="it-IT"/>
              </w:rPr>
              <w:t xml:space="preserve"> </w:t>
            </w:r>
            <w:r w:rsidRPr="00F56356">
              <w:rPr>
                <w:rFonts w:ascii="Times New Roman" w:eastAsiaTheme="minorEastAsia" w:hAnsi="Times New Roman" w:cs="Times New Roman"/>
                <w:b/>
                <w:sz w:val="24"/>
                <w:szCs w:val="24"/>
                <w:lang w:eastAsia="it-IT"/>
              </w:rPr>
              <w:t xml:space="preserve">Ricostruzione flussi finanziari e aspetti rilevanti della gestione </w:t>
            </w:r>
          </w:p>
          <w:p w14:paraId="12D40A5C"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2.1</w:t>
            </w:r>
            <w:r w:rsidRPr="00F56356">
              <w:rPr>
                <w:rFonts w:ascii="Times New Roman" w:eastAsiaTheme="minorEastAsia" w:hAnsi="Times New Roman" w:cs="Times New Roman"/>
                <w:sz w:val="24"/>
                <w:szCs w:val="24"/>
                <w:lang w:eastAsia="it-IT"/>
              </w:rPr>
              <w:t xml:space="preserve"> Le somme complessivamente assegnate sono state pari a euro 55.548.342,06,</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sz w:val="24"/>
                <w:szCs w:val="24"/>
                <w:lang w:eastAsia="it-IT"/>
              </w:rPr>
              <w:t>nell’ambito delle quali euro 108.002,47 riferiti a reiscrizioni in bilancio di residui passivi perenti ed euro 6.227.269,28 riferiti a riassegnazioni dall’avanzo di esercizio 2021.</w:t>
            </w:r>
          </w:p>
          <w:p w14:paraId="6B9E3646"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lastRenderedPageBreak/>
              <w:t>Gli impegni assunti ammontano a euro 45.823.498,57, con un’economia di bilancio di euro 9.724.843,49. Il totale dei pagamenti riferiti alla competenza è di euro 30.059.700,78, con un indice di capacità di pagamento (rapporto pagato/impegnato) che si attesta al 65,60 per cento.</w:t>
            </w:r>
          </w:p>
          <w:p w14:paraId="2F9506E1" w14:textId="77777777" w:rsidR="00F56356" w:rsidRPr="00F56356" w:rsidRDefault="00F56356" w:rsidP="00F56356">
            <w:pPr>
              <w:spacing w:after="0" w:line="360" w:lineRule="auto"/>
              <w:ind w:left="284"/>
              <w:jc w:val="center"/>
              <w:rPr>
                <w:rFonts w:ascii="Times New Roman" w:eastAsiaTheme="minorEastAsia" w:hAnsi="Times New Roman" w:cs="Times New Roman"/>
                <w:color w:val="FF0000"/>
                <w:sz w:val="8"/>
                <w:szCs w:val="24"/>
                <w:lang w:eastAsia="it-IT"/>
              </w:rPr>
            </w:pPr>
          </w:p>
          <w:p w14:paraId="0335AB80"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I residui passivi al 1° gennaio 2022 erano pari a euro 10.178.787,47</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Su questi sono stati effettuati pagamenti per euro 4.711.819,20 e realizzate economie per euro 400.095,91.</w:t>
            </w:r>
          </w:p>
          <w:p w14:paraId="3D010519" w14:textId="77777777" w:rsidR="00F56356" w:rsidRPr="00F56356" w:rsidRDefault="00F56356" w:rsidP="00F56356">
            <w:pPr>
              <w:spacing w:after="0" w:line="360" w:lineRule="auto"/>
              <w:ind w:left="284"/>
              <w:jc w:val="center"/>
              <w:rPr>
                <w:rFonts w:ascii="Times New Roman" w:eastAsia="Times New Roman" w:hAnsi="Times New Roman" w:cs="Times New Roman"/>
                <w:sz w:val="8"/>
                <w:szCs w:val="24"/>
                <w:lang w:eastAsia="it-IT"/>
              </w:rPr>
            </w:pPr>
          </w:p>
          <w:p w14:paraId="6B2D6161"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0"/>
              <w:gridCol w:w="1624"/>
              <w:gridCol w:w="1476"/>
              <w:gridCol w:w="970"/>
              <w:gridCol w:w="1185"/>
              <w:gridCol w:w="1135"/>
            </w:tblGrid>
            <w:tr w:rsidR="00F56356" w:rsidRPr="00F56356" w14:paraId="0EDB4403"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DBA27"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5FA762DB" w14:textId="77777777" w:rsidTr="00F56356">
              <w:trPr>
                <w:trHeight w:val="465"/>
                <w:jc w:val="center"/>
              </w:trPr>
              <w:tc>
                <w:tcPr>
                  <w:tcW w:w="4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CCD267"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24" w:type="dxa"/>
                  <w:vMerge w:val="restart"/>
                  <w:tcBorders>
                    <w:top w:val="nil"/>
                    <w:left w:val="single" w:sz="4" w:space="0" w:color="auto"/>
                    <w:bottom w:val="single" w:sz="4" w:space="0" w:color="auto"/>
                    <w:right w:val="single" w:sz="4" w:space="0" w:color="auto"/>
                  </w:tcBorders>
                  <w:shd w:val="clear" w:color="auto" w:fill="auto"/>
                  <w:vAlign w:val="center"/>
                  <w:hideMark/>
                </w:tcPr>
                <w:p w14:paraId="28B06C72"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accertati all’01/01/2022</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133D1FA4"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correnti al 31/12/2022</w:t>
                  </w:r>
                </w:p>
              </w:tc>
              <w:tc>
                <w:tcPr>
                  <w:tcW w:w="3290" w:type="dxa"/>
                  <w:gridSpan w:val="3"/>
                  <w:tcBorders>
                    <w:top w:val="single" w:sz="4" w:space="0" w:color="auto"/>
                    <w:left w:val="nil"/>
                    <w:bottom w:val="single" w:sz="4" w:space="0" w:color="auto"/>
                    <w:right w:val="single" w:sz="4" w:space="0" w:color="000000"/>
                  </w:tcBorders>
                  <w:shd w:val="clear" w:color="auto" w:fill="auto"/>
                  <w:vAlign w:val="center"/>
                  <w:hideMark/>
                </w:tcPr>
                <w:p w14:paraId="2AF3A255"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4241D98" w14:textId="77777777" w:rsidTr="00F56356">
              <w:trPr>
                <w:trHeight w:val="405"/>
                <w:jc w:val="center"/>
              </w:trPr>
              <w:tc>
                <w:tcPr>
                  <w:tcW w:w="470" w:type="dxa"/>
                  <w:vMerge/>
                  <w:tcBorders>
                    <w:top w:val="nil"/>
                    <w:left w:val="single" w:sz="4" w:space="0" w:color="auto"/>
                    <w:bottom w:val="single" w:sz="4" w:space="0" w:color="auto"/>
                    <w:right w:val="single" w:sz="4" w:space="0" w:color="auto"/>
                  </w:tcBorders>
                  <w:vAlign w:val="center"/>
                  <w:hideMark/>
                </w:tcPr>
                <w:p w14:paraId="33884C71"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24" w:type="dxa"/>
                  <w:vMerge/>
                  <w:tcBorders>
                    <w:top w:val="nil"/>
                    <w:left w:val="single" w:sz="4" w:space="0" w:color="auto"/>
                    <w:bottom w:val="single" w:sz="4" w:space="0" w:color="auto"/>
                    <w:right w:val="single" w:sz="4" w:space="0" w:color="auto"/>
                  </w:tcBorders>
                  <w:vAlign w:val="center"/>
                  <w:hideMark/>
                </w:tcPr>
                <w:p w14:paraId="0EE95F93"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476" w:type="dxa"/>
                  <w:vMerge/>
                  <w:tcBorders>
                    <w:top w:val="nil"/>
                    <w:left w:val="single" w:sz="4" w:space="0" w:color="auto"/>
                    <w:bottom w:val="single" w:sz="4" w:space="0" w:color="auto"/>
                    <w:right w:val="single" w:sz="4" w:space="0" w:color="auto"/>
                  </w:tcBorders>
                  <w:vAlign w:val="center"/>
                  <w:hideMark/>
                </w:tcPr>
                <w:p w14:paraId="2A0439AF"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970" w:type="dxa"/>
                  <w:tcBorders>
                    <w:top w:val="nil"/>
                    <w:left w:val="nil"/>
                    <w:bottom w:val="single" w:sz="4" w:space="0" w:color="auto"/>
                    <w:right w:val="single" w:sz="4" w:space="0" w:color="auto"/>
                  </w:tcBorders>
                  <w:shd w:val="clear" w:color="auto" w:fill="auto"/>
                  <w:vAlign w:val="center"/>
                  <w:hideMark/>
                </w:tcPr>
                <w:p w14:paraId="7F25B9A6"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attesa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85" w:type="dxa"/>
                  <w:tcBorders>
                    <w:top w:val="nil"/>
                    <w:left w:val="nil"/>
                    <w:bottom w:val="single" w:sz="4" w:space="0" w:color="auto"/>
                    <w:right w:val="single" w:sz="4" w:space="0" w:color="auto"/>
                  </w:tcBorders>
                  <w:shd w:val="clear" w:color="auto" w:fill="auto"/>
                  <w:vAlign w:val="center"/>
                  <w:hideMark/>
                </w:tcPr>
                <w:p w14:paraId="655015A8"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realizzata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35" w:type="dxa"/>
                  <w:tcBorders>
                    <w:top w:val="nil"/>
                    <w:left w:val="nil"/>
                    <w:bottom w:val="single" w:sz="4" w:space="0" w:color="auto"/>
                    <w:right w:val="single" w:sz="4" w:space="0" w:color="auto"/>
                  </w:tcBorders>
                  <w:shd w:val="clear" w:color="auto" w:fill="auto"/>
                  <w:vAlign w:val="center"/>
                  <w:hideMark/>
                </w:tcPr>
                <w:p w14:paraId="4C5BADB7"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scost.to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r>
            <w:tr w:rsidR="00F56356" w:rsidRPr="00F56356" w14:paraId="5B8EC6CE"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2890417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128</w:t>
                  </w:r>
                </w:p>
              </w:tc>
              <w:tc>
                <w:tcPr>
                  <w:tcW w:w="1624" w:type="dxa"/>
                  <w:tcBorders>
                    <w:top w:val="nil"/>
                    <w:left w:val="nil"/>
                    <w:bottom w:val="single" w:sz="4" w:space="0" w:color="auto"/>
                    <w:right w:val="single" w:sz="4" w:space="0" w:color="auto"/>
                  </w:tcBorders>
                  <w:shd w:val="clear" w:color="auto" w:fill="auto"/>
                  <w:noWrap/>
                  <w:vAlign w:val="center"/>
                  <w:hideMark/>
                </w:tcPr>
                <w:p w14:paraId="412B2AD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8.034,50</w:t>
                  </w:r>
                </w:p>
              </w:tc>
              <w:tc>
                <w:tcPr>
                  <w:tcW w:w="1476" w:type="dxa"/>
                  <w:tcBorders>
                    <w:top w:val="nil"/>
                    <w:left w:val="nil"/>
                    <w:bottom w:val="single" w:sz="4" w:space="0" w:color="auto"/>
                    <w:right w:val="single" w:sz="4" w:space="0" w:color="auto"/>
                  </w:tcBorders>
                  <w:shd w:val="clear" w:color="auto" w:fill="auto"/>
                  <w:noWrap/>
                  <w:vAlign w:val="center"/>
                  <w:hideMark/>
                </w:tcPr>
                <w:p w14:paraId="3017936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4.498,32</w:t>
                  </w:r>
                </w:p>
              </w:tc>
              <w:tc>
                <w:tcPr>
                  <w:tcW w:w="970" w:type="dxa"/>
                  <w:tcBorders>
                    <w:top w:val="nil"/>
                    <w:left w:val="nil"/>
                    <w:bottom w:val="single" w:sz="4" w:space="0" w:color="auto"/>
                    <w:right w:val="single" w:sz="4" w:space="0" w:color="auto"/>
                  </w:tcBorders>
                  <w:shd w:val="clear" w:color="auto" w:fill="auto"/>
                  <w:noWrap/>
                  <w:vAlign w:val="center"/>
                  <w:hideMark/>
                </w:tcPr>
                <w:p w14:paraId="137EEF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85" w:type="dxa"/>
                  <w:tcBorders>
                    <w:top w:val="nil"/>
                    <w:left w:val="nil"/>
                    <w:bottom w:val="single" w:sz="4" w:space="0" w:color="auto"/>
                    <w:right w:val="single" w:sz="4" w:space="0" w:color="auto"/>
                  </w:tcBorders>
                  <w:shd w:val="clear" w:color="auto" w:fill="auto"/>
                  <w:noWrap/>
                  <w:vAlign w:val="center"/>
                  <w:hideMark/>
                </w:tcPr>
                <w:p w14:paraId="07A5794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44,01</w:t>
                  </w:r>
                </w:p>
              </w:tc>
              <w:tc>
                <w:tcPr>
                  <w:tcW w:w="1135" w:type="dxa"/>
                  <w:tcBorders>
                    <w:top w:val="nil"/>
                    <w:left w:val="nil"/>
                    <w:bottom w:val="single" w:sz="4" w:space="0" w:color="auto"/>
                    <w:right w:val="single" w:sz="4" w:space="0" w:color="auto"/>
                  </w:tcBorders>
                  <w:shd w:val="clear" w:color="auto" w:fill="auto"/>
                  <w:noWrap/>
                  <w:vAlign w:val="center"/>
                  <w:hideMark/>
                </w:tcPr>
                <w:p w14:paraId="722A4B1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-35,99</w:t>
                  </w:r>
                </w:p>
              </w:tc>
            </w:tr>
            <w:tr w:rsidR="00F56356" w:rsidRPr="00F56356" w14:paraId="10B5AA66"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0F6DC1F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187</w:t>
                  </w:r>
                </w:p>
              </w:tc>
              <w:tc>
                <w:tcPr>
                  <w:tcW w:w="1624" w:type="dxa"/>
                  <w:tcBorders>
                    <w:top w:val="nil"/>
                    <w:left w:val="nil"/>
                    <w:bottom w:val="single" w:sz="4" w:space="0" w:color="auto"/>
                    <w:right w:val="single" w:sz="4" w:space="0" w:color="auto"/>
                  </w:tcBorders>
                  <w:shd w:val="clear" w:color="auto" w:fill="auto"/>
                  <w:noWrap/>
                  <w:vAlign w:val="center"/>
                  <w:hideMark/>
                </w:tcPr>
                <w:p w14:paraId="00B65D7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148.145,78</w:t>
                  </w:r>
                </w:p>
              </w:tc>
              <w:tc>
                <w:tcPr>
                  <w:tcW w:w="1476" w:type="dxa"/>
                  <w:tcBorders>
                    <w:top w:val="nil"/>
                    <w:left w:val="nil"/>
                    <w:bottom w:val="single" w:sz="4" w:space="0" w:color="auto"/>
                    <w:right w:val="single" w:sz="4" w:space="0" w:color="auto"/>
                  </w:tcBorders>
                  <w:shd w:val="clear" w:color="auto" w:fill="auto"/>
                  <w:noWrap/>
                  <w:vAlign w:val="center"/>
                  <w:hideMark/>
                </w:tcPr>
                <w:p w14:paraId="6F2BB3E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7.145,19</w:t>
                  </w:r>
                </w:p>
              </w:tc>
              <w:tc>
                <w:tcPr>
                  <w:tcW w:w="970" w:type="dxa"/>
                  <w:tcBorders>
                    <w:top w:val="nil"/>
                    <w:left w:val="nil"/>
                    <w:bottom w:val="single" w:sz="4" w:space="0" w:color="auto"/>
                    <w:right w:val="single" w:sz="4" w:space="0" w:color="auto"/>
                  </w:tcBorders>
                  <w:shd w:val="clear" w:color="auto" w:fill="auto"/>
                  <w:noWrap/>
                  <w:vAlign w:val="center"/>
                  <w:hideMark/>
                </w:tcPr>
                <w:p w14:paraId="7AA1AEC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27BB42C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95,18</w:t>
                  </w:r>
                </w:p>
              </w:tc>
              <w:tc>
                <w:tcPr>
                  <w:tcW w:w="1135" w:type="dxa"/>
                  <w:tcBorders>
                    <w:top w:val="nil"/>
                    <w:left w:val="nil"/>
                    <w:bottom w:val="single" w:sz="4" w:space="0" w:color="auto"/>
                    <w:right w:val="single" w:sz="4" w:space="0" w:color="auto"/>
                  </w:tcBorders>
                  <w:shd w:val="clear" w:color="auto" w:fill="auto"/>
                  <w:noWrap/>
                  <w:vAlign w:val="center"/>
                  <w:hideMark/>
                </w:tcPr>
                <w:p w14:paraId="55FE1D4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35,18</w:t>
                  </w:r>
                </w:p>
              </w:tc>
            </w:tr>
            <w:tr w:rsidR="00F56356" w:rsidRPr="00F56356" w14:paraId="378D123B"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2456C5B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188</w:t>
                  </w:r>
                </w:p>
              </w:tc>
              <w:tc>
                <w:tcPr>
                  <w:tcW w:w="1624" w:type="dxa"/>
                  <w:tcBorders>
                    <w:top w:val="nil"/>
                    <w:left w:val="nil"/>
                    <w:bottom w:val="single" w:sz="4" w:space="0" w:color="auto"/>
                    <w:right w:val="single" w:sz="4" w:space="0" w:color="auto"/>
                  </w:tcBorders>
                  <w:shd w:val="clear" w:color="auto" w:fill="auto"/>
                  <w:noWrap/>
                  <w:vAlign w:val="center"/>
                  <w:hideMark/>
                </w:tcPr>
                <w:p w14:paraId="2FEC2CA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2,01</w:t>
                  </w:r>
                </w:p>
              </w:tc>
              <w:tc>
                <w:tcPr>
                  <w:tcW w:w="1476" w:type="dxa"/>
                  <w:tcBorders>
                    <w:top w:val="nil"/>
                    <w:left w:val="nil"/>
                    <w:bottom w:val="single" w:sz="4" w:space="0" w:color="auto"/>
                    <w:right w:val="single" w:sz="4" w:space="0" w:color="auto"/>
                  </w:tcBorders>
                  <w:shd w:val="clear" w:color="auto" w:fill="auto"/>
                  <w:noWrap/>
                  <w:vAlign w:val="center"/>
                  <w:hideMark/>
                </w:tcPr>
                <w:p w14:paraId="127A432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70" w:type="dxa"/>
                  <w:tcBorders>
                    <w:top w:val="nil"/>
                    <w:left w:val="nil"/>
                    <w:bottom w:val="single" w:sz="4" w:space="0" w:color="auto"/>
                    <w:right w:val="single" w:sz="4" w:space="0" w:color="auto"/>
                  </w:tcBorders>
                  <w:shd w:val="clear" w:color="auto" w:fill="auto"/>
                  <w:noWrap/>
                  <w:vAlign w:val="center"/>
                  <w:hideMark/>
                </w:tcPr>
                <w:p w14:paraId="776F47B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031F572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0,50</w:t>
                  </w:r>
                </w:p>
              </w:tc>
              <w:tc>
                <w:tcPr>
                  <w:tcW w:w="1135" w:type="dxa"/>
                  <w:tcBorders>
                    <w:top w:val="nil"/>
                    <w:left w:val="nil"/>
                    <w:bottom w:val="single" w:sz="4" w:space="0" w:color="auto"/>
                    <w:right w:val="single" w:sz="4" w:space="0" w:color="auto"/>
                  </w:tcBorders>
                  <w:shd w:val="clear" w:color="auto" w:fill="auto"/>
                  <w:noWrap/>
                  <w:vAlign w:val="center"/>
                  <w:hideMark/>
                </w:tcPr>
                <w:p w14:paraId="645F500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-59,50</w:t>
                  </w:r>
                </w:p>
              </w:tc>
            </w:tr>
            <w:tr w:rsidR="00F56356" w:rsidRPr="00F56356" w14:paraId="667EB24F"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3A01201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190</w:t>
                  </w:r>
                </w:p>
              </w:tc>
              <w:tc>
                <w:tcPr>
                  <w:tcW w:w="1624" w:type="dxa"/>
                  <w:tcBorders>
                    <w:top w:val="nil"/>
                    <w:left w:val="nil"/>
                    <w:bottom w:val="single" w:sz="4" w:space="0" w:color="auto"/>
                    <w:right w:val="single" w:sz="4" w:space="0" w:color="auto"/>
                  </w:tcBorders>
                  <w:shd w:val="clear" w:color="auto" w:fill="auto"/>
                  <w:noWrap/>
                  <w:vAlign w:val="center"/>
                  <w:hideMark/>
                </w:tcPr>
                <w:p w14:paraId="58384D0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934,88</w:t>
                  </w:r>
                </w:p>
              </w:tc>
              <w:tc>
                <w:tcPr>
                  <w:tcW w:w="1476" w:type="dxa"/>
                  <w:tcBorders>
                    <w:top w:val="nil"/>
                    <w:left w:val="nil"/>
                    <w:bottom w:val="single" w:sz="4" w:space="0" w:color="auto"/>
                    <w:right w:val="single" w:sz="4" w:space="0" w:color="auto"/>
                  </w:tcBorders>
                  <w:shd w:val="clear" w:color="auto" w:fill="auto"/>
                  <w:noWrap/>
                  <w:vAlign w:val="center"/>
                  <w:hideMark/>
                </w:tcPr>
                <w:p w14:paraId="02F09E8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0" w:type="dxa"/>
                  <w:tcBorders>
                    <w:top w:val="nil"/>
                    <w:left w:val="nil"/>
                    <w:bottom w:val="single" w:sz="4" w:space="0" w:color="auto"/>
                    <w:right w:val="single" w:sz="4" w:space="0" w:color="auto"/>
                  </w:tcBorders>
                  <w:shd w:val="clear" w:color="auto" w:fill="auto"/>
                  <w:noWrap/>
                  <w:vAlign w:val="center"/>
                  <w:hideMark/>
                </w:tcPr>
                <w:p w14:paraId="63FE5A5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2FDD79E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5E9A74C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2A11F13F"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258B6D7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191</w:t>
                  </w:r>
                </w:p>
              </w:tc>
              <w:tc>
                <w:tcPr>
                  <w:tcW w:w="1624" w:type="dxa"/>
                  <w:tcBorders>
                    <w:top w:val="nil"/>
                    <w:left w:val="nil"/>
                    <w:bottom w:val="single" w:sz="4" w:space="0" w:color="auto"/>
                    <w:right w:val="single" w:sz="4" w:space="0" w:color="auto"/>
                  </w:tcBorders>
                  <w:shd w:val="clear" w:color="auto" w:fill="auto"/>
                  <w:noWrap/>
                  <w:vAlign w:val="center"/>
                  <w:hideMark/>
                </w:tcPr>
                <w:p w14:paraId="70F4711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106.937,97</w:t>
                  </w:r>
                </w:p>
              </w:tc>
              <w:tc>
                <w:tcPr>
                  <w:tcW w:w="1476" w:type="dxa"/>
                  <w:tcBorders>
                    <w:top w:val="nil"/>
                    <w:left w:val="nil"/>
                    <w:bottom w:val="single" w:sz="4" w:space="0" w:color="auto"/>
                    <w:right w:val="single" w:sz="4" w:space="0" w:color="auto"/>
                  </w:tcBorders>
                  <w:shd w:val="clear" w:color="auto" w:fill="auto"/>
                  <w:noWrap/>
                  <w:vAlign w:val="center"/>
                  <w:hideMark/>
                </w:tcPr>
                <w:p w14:paraId="6CA32B9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30.371,63</w:t>
                  </w:r>
                </w:p>
              </w:tc>
              <w:tc>
                <w:tcPr>
                  <w:tcW w:w="970" w:type="dxa"/>
                  <w:tcBorders>
                    <w:top w:val="nil"/>
                    <w:left w:val="nil"/>
                    <w:bottom w:val="single" w:sz="4" w:space="0" w:color="auto"/>
                    <w:right w:val="single" w:sz="4" w:space="0" w:color="auto"/>
                  </w:tcBorders>
                  <w:shd w:val="clear" w:color="auto" w:fill="auto"/>
                  <w:noWrap/>
                  <w:vAlign w:val="center"/>
                  <w:hideMark/>
                </w:tcPr>
                <w:p w14:paraId="4ACB13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6BC1578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71,60</w:t>
                  </w:r>
                </w:p>
              </w:tc>
              <w:tc>
                <w:tcPr>
                  <w:tcW w:w="1135" w:type="dxa"/>
                  <w:tcBorders>
                    <w:top w:val="nil"/>
                    <w:left w:val="nil"/>
                    <w:bottom w:val="single" w:sz="4" w:space="0" w:color="auto"/>
                    <w:right w:val="single" w:sz="4" w:space="0" w:color="auto"/>
                  </w:tcBorders>
                  <w:shd w:val="clear" w:color="auto" w:fill="auto"/>
                  <w:noWrap/>
                  <w:vAlign w:val="center"/>
                  <w:hideMark/>
                </w:tcPr>
                <w:p w14:paraId="7347F1B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11,60</w:t>
                  </w:r>
                </w:p>
              </w:tc>
            </w:tr>
            <w:tr w:rsidR="00F56356" w:rsidRPr="00F56356" w14:paraId="264633DA"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0D60D50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192</w:t>
                  </w:r>
                </w:p>
              </w:tc>
              <w:tc>
                <w:tcPr>
                  <w:tcW w:w="1624" w:type="dxa"/>
                  <w:tcBorders>
                    <w:top w:val="nil"/>
                    <w:left w:val="nil"/>
                    <w:bottom w:val="single" w:sz="4" w:space="0" w:color="auto"/>
                    <w:right w:val="single" w:sz="4" w:space="0" w:color="auto"/>
                  </w:tcBorders>
                  <w:shd w:val="clear" w:color="auto" w:fill="auto"/>
                  <w:noWrap/>
                  <w:vAlign w:val="center"/>
                  <w:hideMark/>
                </w:tcPr>
                <w:p w14:paraId="56D950E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17.330,22</w:t>
                  </w:r>
                </w:p>
              </w:tc>
              <w:tc>
                <w:tcPr>
                  <w:tcW w:w="1476" w:type="dxa"/>
                  <w:tcBorders>
                    <w:top w:val="nil"/>
                    <w:left w:val="nil"/>
                    <w:bottom w:val="single" w:sz="4" w:space="0" w:color="auto"/>
                    <w:right w:val="single" w:sz="4" w:space="0" w:color="auto"/>
                  </w:tcBorders>
                  <w:shd w:val="clear" w:color="auto" w:fill="auto"/>
                  <w:noWrap/>
                  <w:vAlign w:val="center"/>
                  <w:hideMark/>
                </w:tcPr>
                <w:p w14:paraId="6A015BD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737,07</w:t>
                  </w:r>
                </w:p>
              </w:tc>
              <w:tc>
                <w:tcPr>
                  <w:tcW w:w="970" w:type="dxa"/>
                  <w:tcBorders>
                    <w:top w:val="nil"/>
                    <w:left w:val="nil"/>
                    <w:bottom w:val="single" w:sz="4" w:space="0" w:color="auto"/>
                    <w:right w:val="single" w:sz="4" w:space="0" w:color="auto"/>
                  </w:tcBorders>
                  <w:shd w:val="clear" w:color="auto" w:fill="auto"/>
                  <w:noWrap/>
                  <w:vAlign w:val="center"/>
                  <w:hideMark/>
                </w:tcPr>
                <w:p w14:paraId="512D7AE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85" w:type="dxa"/>
                  <w:tcBorders>
                    <w:top w:val="nil"/>
                    <w:left w:val="nil"/>
                    <w:bottom w:val="single" w:sz="4" w:space="0" w:color="auto"/>
                    <w:right w:val="single" w:sz="4" w:space="0" w:color="auto"/>
                  </w:tcBorders>
                  <w:shd w:val="clear" w:color="auto" w:fill="auto"/>
                  <w:noWrap/>
                  <w:vAlign w:val="center"/>
                  <w:hideMark/>
                </w:tcPr>
                <w:p w14:paraId="58D1FA4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95,75</w:t>
                  </w:r>
                </w:p>
              </w:tc>
              <w:tc>
                <w:tcPr>
                  <w:tcW w:w="1135" w:type="dxa"/>
                  <w:tcBorders>
                    <w:top w:val="nil"/>
                    <w:left w:val="nil"/>
                    <w:bottom w:val="single" w:sz="4" w:space="0" w:color="auto"/>
                    <w:right w:val="single" w:sz="4" w:space="0" w:color="auto"/>
                  </w:tcBorders>
                  <w:shd w:val="clear" w:color="auto" w:fill="auto"/>
                  <w:noWrap/>
                  <w:vAlign w:val="center"/>
                  <w:hideMark/>
                </w:tcPr>
                <w:p w14:paraId="0A7ADB9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5,75</w:t>
                  </w:r>
                </w:p>
              </w:tc>
            </w:tr>
            <w:tr w:rsidR="00F56356" w:rsidRPr="00F56356" w14:paraId="7AA0EBD6"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6E3FF46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193</w:t>
                  </w:r>
                </w:p>
              </w:tc>
              <w:tc>
                <w:tcPr>
                  <w:tcW w:w="1624" w:type="dxa"/>
                  <w:tcBorders>
                    <w:top w:val="nil"/>
                    <w:left w:val="nil"/>
                    <w:bottom w:val="single" w:sz="4" w:space="0" w:color="auto"/>
                    <w:right w:val="single" w:sz="4" w:space="0" w:color="auto"/>
                  </w:tcBorders>
                  <w:shd w:val="clear" w:color="auto" w:fill="auto"/>
                  <w:noWrap/>
                  <w:vAlign w:val="center"/>
                  <w:hideMark/>
                </w:tcPr>
                <w:p w14:paraId="26910FA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67.735,28</w:t>
                  </w:r>
                </w:p>
              </w:tc>
              <w:tc>
                <w:tcPr>
                  <w:tcW w:w="1476" w:type="dxa"/>
                  <w:tcBorders>
                    <w:top w:val="nil"/>
                    <w:left w:val="nil"/>
                    <w:bottom w:val="single" w:sz="4" w:space="0" w:color="auto"/>
                    <w:right w:val="single" w:sz="4" w:space="0" w:color="auto"/>
                  </w:tcBorders>
                  <w:shd w:val="clear" w:color="auto" w:fill="auto"/>
                  <w:noWrap/>
                  <w:vAlign w:val="center"/>
                  <w:hideMark/>
                </w:tcPr>
                <w:p w14:paraId="2613597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62.704,42</w:t>
                  </w:r>
                </w:p>
              </w:tc>
              <w:tc>
                <w:tcPr>
                  <w:tcW w:w="970" w:type="dxa"/>
                  <w:tcBorders>
                    <w:top w:val="nil"/>
                    <w:left w:val="nil"/>
                    <w:bottom w:val="single" w:sz="4" w:space="0" w:color="auto"/>
                    <w:right w:val="single" w:sz="4" w:space="0" w:color="auto"/>
                  </w:tcBorders>
                  <w:shd w:val="clear" w:color="auto" w:fill="auto"/>
                  <w:noWrap/>
                  <w:vAlign w:val="center"/>
                  <w:hideMark/>
                </w:tcPr>
                <w:p w14:paraId="4F5BAFC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0B7329B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7,43</w:t>
                  </w:r>
                </w:p>
              </w:tc>
              <w:tc>
                <w:tcPr>
                  <w:tcW w:w="1135" w:type="dxa"/>
                  <w:tcBorders>
                    <w:top w:val="nil"/>
                    <w:left w:val="nil"/>
                    <w:bottom w:val="single" w:sz="4" w:space="0" w:color="auto"/>
                    <w:right w:val="single" w:sz="4" w:space="0" w:color="auto"/>
                  </w:tcBorders>
                  <w:shd w:val="clear" w:color="auto" w:fill="auto"/>
                  <w:noWrap/>
                  <w:vAlign w:val="center"/>
                  <w:hideMark/>
                </w:tcPr>
                <w:p w14:paraId="5C13B20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-52,57</w:t>
                  </w:r>
                </w:p>
              </w:tc>
            </w:tr>
            <w:tr w:rsidR="00F56356" w:rsidRPr="00F56356" w14:paraId="56146E1F"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0A846D4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194</w:t>
                  </w:r>
                </w:p>
              </w:tc>
              <w:tc>
                <w:tcPr>
                  <w:tcW w:w="1624" w:type="dxa"/>
                  <w:tcBorders>
                    <w:top w:val="nil"/>
                    <w:left w:val="nil"/>
                    <w:bottom w:val="single" w:sz="4" w:space="0" w:color="auto"/>
                    <w:right w:val="single" w:sz="4" w:space="0" w:color="auto"/>
                  </w:tcBorders>
                  <w:shd w:val="clear" w:color="auto" w:fill="auto"/>
                  <w:noWrap/>
                  <w:vAlign w:val="center"/>
                  <w:hideMark/>
                </w:tcPr>
                <w:p w14:paraId="1560EC1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741,76</w:t>
                  </w:r>
                </w:p>
              </w:tc>
              <w:tc>
                <w:tcPr>
                  <w:tcW w:w="1476" w:type="dxa"/>
                  <w:tcBorders>
                    <w:top w:val="nil"/>
                    <w:left w:val="nil"/>
                    <w:bottom w:val="single" w:sz="4" w:space="0" w:color="auto"/>
                    <w:right w:val="single" w:sz="4" w:space="0" w:color="auto"/>
                  </w:tcBorders>
                  <w:shd w:val="clear" w:color="auto" w:fill="auto"/>
                  <w:noWrap/>
                  <w:vAlign w:val="center"/>
                  <w:hideMark/>
                </w:tcPr>
                <w:p w14:paraId="424D5FF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0" w:type="dxa"/>
                  <w:tcBorders>
                    <w:top w:val="nil"/>
                    <w:left w:val="nil"/>
                    <w:bottom w:val="single" w:sz="4" w:space="0" w:color="auto"/>
                    <w:right w:val="single" w:sz="4" w:space="0" w:color="auto"/>
                  </w:tcBorders>
                  <w:shd w:val="clear" w:color="auto" w:fill="auto"/>
                  <w:noWrap/>
                  <w:vAlign w:val="center"/>
                  <w:hideMark/>
                </w:tcPr>
                <w:p w14:paraId="2D67FA2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85" w:type="dxa"/>
                  <w:tcBorders>
                    <w:top w:val="nil"/>
                    <w:left w:val="nil"/>
                    <w:bottom w:val="single" w:sz="4" w:space="0" w:color="auto"/>
                    <w:right w:val="single" w:sz="4" w:space="0" w:color="auto"/>
                  </w:tcBorders>
                  <w:shd w:val="clear" w:color="auto" w:fill="auto"/>
                  <w:noWrap/>
                  <w:vAlign w:val="center"/>
                  <w:hideMark/>
                </w:tcPr>
                <w:p w14:paraId="08F5499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45151D5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3A933B4F"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68D1865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198</w:t>
                  </w:r>
                </w:p>
              </w:tc>
              <w:tc>
                <w:tcPr>
                  <w:tcW w:w="1624" w:type="dxa"/>
                  <w:tcBorders>
                    <w:top w:val="nil"/>
                    <w:left w:val="nil"/>
                    <w:bottom w:val="single" w:sz="4" w:space="0" w:color="auto"/>
                    <w:right w:val="single" w:sz="4" w:space="0" w:color="auto"/>
                  </w:tcBorders>
                  <w:shd w:val="clear" w:color="auto" w:fill="auto"/>
                  <w:noWrap/>
                  <w:vAlign w:val="center"/>
                  <w:hideMark/>
                </w:tcPr>
                <w:p w14:paraId="491B5A5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237.737,33</w:t>
                  </w:r>
                </w:p>
              </w:tc>
              <w:tc>
                <w:tcPr>
                  <w:tcW w:w="1476" w:type="dxa"/>
                  <w:tcBorders>
                    <w:top w:val="nil"/>
                    <w:left w:val="nil"/>
                    <w:bottom w:val="single" w:sz="4" w:space="0" w:color="auto"/>
                    <w:right w:val="single" w:sz="4" w:space="0" w:color="auto"/>
                  </w:tcBorders>
                  <w:shd w:val="clear" w:color="auto" w:fill="auto"/>
                  <w:noWrap/>
                  <w:vAlign w:val="center"/>
                  <w:hideMark/>
                </w:tcPr>
                <w:p w14:paraId="3966D32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32.398,51</w:t>
                  </w:r>
                </w:p>
              </w:tc>
              <w:tc>
                <w:tcPr>
                  <w:tcW w:w="970" w:type="dxa"/>
                  <w:tcBorders>
                    <w:top w:val="nil"/>
                    <w:left w:val="nil"/>
                    <w:bottom w:val="single" w:sz="4" w:space="0" w:color="auto"/>
                    <w:right w:val="single" w:sz="4" w:space="0" w:color="auto"/>
                  </w:tcBorders>
                  <w:shd w:val="clear" w:color="auto" w:fill="auto"/>
                  <w:noWrap/>
                  <w:vAlign w:val="center"/>
                  <w:hideMark/>
                </w:tcPr>
                <w:p w14:paraId="38BEE3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0E33DDC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86,37</w:t>
                  </w:r>
                </w:p>
              </w:tc>
              <w:tc>
                <w:tcPr>
                  <w:tcW w:w="1135" w:type="dxa"/>
                  <w:tcBorders>
                    <w:top w:val="nil"/>
                    <w:left w:val="nil"/>
                    <w:bottom w:val="single" w:sz="4" w:space="0" w:color="auto"/>
                    <w:right w:val="single" w:sz="4" w:space="0" w:color="auto"/>
                  </w:tcBorders>
                  <w:shd w:val="clear" w:color="auto" w:fill="auto"/>
                  <w:noWrap/>
                  <w:vAlign w:val="center"/>
                  <w:hideMark/>
                </w:tcPr>
                <w:p w14:paraId="76D0928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26,37</w:t>
                  </w:r>
                </w:p>
              </w:tc>
            </w:tr>
            <w:tr w:rsidR="00F56356" w:rsidRPr="00F56356" w14:paraId="61F95433"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3D572AE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199</w:t>
                  </w:r>
                </w:p>
              </w:tc>
              <w:tc>
                <w:tcPr>
                  <w:tcW w:w="1624" w:type="dxa"/>
                  <w:tcBorders>
                    <w:top w:val="nil"/>
                    <w:left w:val="nil"/>
                    <w:bottom w:val="single" w:sz="4" w:space="0" w:color="auto"/>
                    <w:right w:val="single" w:sz="4" w:space="0" w:color="auto"/>
                  </w:tcBorders>
                  <w:shd w:val="clear" w:color="auto" w:fill="auto"/>
                  <w:noWrap/>
                  <w:vAlign w:val="center"/>
                  <w:hideMark/>
                </w:tcPr>
                <w:p w14:paraId="5416AF2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26.318,76</w:t>
                  </w:r>
                </w:p>
              </w:tc>
              <w:tc>
                <w:tcPr>
                  <w:tcW w:w="1476" w:type="dxa"/>
                  <w:tcBorders>
                    <w:top w:val="nil"/>
                    <w:left w:val="nil"/>
                    <w:bottom w:val="single" w:sz="4" w:space="0" w:color="auto"/>
                    <w:right w:val="single" w:sz="4" w:space="0" w:color="auto"/>
                  </w:tcBorders>
                  <w:shd w:val="clear" w:color="auto" w:fill="auto"/>
                  <w:noWrap/>
                  <w:vAlign w:val="center"/>
                  <w:hideMark/>
                </w:tcPr>
                <w:p w14:paraId="054A119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0" w:type="dxa"/>
                  <w:tcBorders>
                    <w:top w:val="nil"/>
                    <w:left w:val="nil"/>
                    <w:bottom w:val="single" w:sz="4" w:space="0" w:color="auto"/>
                    <w:right w:val="single" w:sz="4" w:space="0" w:color="auto"/>
                  </w:tcBorders>
                  <w:shd w:val="clear" w:color="auto" w:fill="auto"/>
                  <w:noWrap/>
                  <w:vAlign w:val="center"/>
                  <w:hideMark/>
                </w:tcPr>
                <w:p w14:paraId="0592481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57E5747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18B1398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0FAE6B12"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3520060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200</w:t>
                  </w:r>
                </w:p>
              </w:tc>
              <w:tc>
                <w:tcPr>
                  <w:tcW w:w="1624" w:type="dxa"/>
                  <w:tcBorders>
                    <w:top w:val="nil"/>
                    <w:left w:val="nil"/>
                    <w:bottom w:val="single" w:sz="4" w:space="0" w:color="auto"/>
                    <w:right w:val="single" w:sz="4" w:space="0" w:color="auto"/>
                  </w:tcBorders>
                  <w:shd w:val="clear" w:color="auto" w:fill="auto"/>
                  <w:noWrap/>
                  <w:vAlign w:val="center"/>
                  <w:hideMark/>
                </w:tcPr>
                <w:p w14:paraId="28947B7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0,37</w:t>
                  </w:r>
                </w:p>
              </w:tc>
              <w:tc>
                <w:tcPr>
                  <w:tcW w:w="1476" w:type="dxa"/>
                  <w:tcBorders>
                    <w:top w:val="nil"/>
                    <w:left w:val="nil"/>
                    <w:bottom w:val="single" w:sz="4" w:space="0" w:color="auto"/>
                    <w:right w:val="single" w:sz="4" w:space="0" w:color="auto"/>
                  </w:tcBorders>
                  <w:shd w:val="clear" w:color="auto" w:fill="auto"/>
                  <w:noWrap/>
                  <w:vAlign w:val="center"/>
                  <w:hideMark/>
                </w:tcPr>
                <w:p w14:paraId="6352135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0" w:type="dxa"/>
                  <w:tcBorders>
                    <w:top w:val="nil"/>
                    <w:left w:val="nil"/>
                    <w:bottom w:val="single" w:sz="4" w:space="0" w:color="auto"/>
                    <w:right w:val="single" w:sz="4" w:space="0" w:color="auto"/>
                  </w:tcBorders>
                  <w:shd w:val="clear" w:color="auto" w:fill="auto"/>
                  <w:noWrap/>
                  <w:vAlign w:val="center"/>
                  <w:hideMark/>
                </w:tcPr>
                <w:p w14:paraId="5EBC115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6FF3488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6331FC7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2F8F7159"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314E5A3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201</w:t>
                  </w:r>
                </w:p>
              </w:tc>
              <w:tc>
                <w:tcPr>
                  <w:tcW w:w="1624" w:type="dxa"/>
                  <w:tcBorders>
                    <w:top w:val="nil"/>
                    <w:left w:val="nil"/>
                    <w:bottom w:val="single" w:sz="4" w:space="0" w:color="auto"/>
                    <w:right w:val="single" w:sz="4" w:space="0" w:color="auto"/>
                  </w:tcBorders>
                  <w:shd w:val="clear" w:color="auto" w:fill="auto"/>
                  <w:noWrap/>
                  <w:vAlign w:val="center"/>
                  <w:hideMark/>
                </w:tcPr>
                <w:p w14:paraId="25E7F78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7.853,60</w:t>
                  </w:r>
                </w:p>
              </w:tc>
              <w:tc>
                <w:tcPr>
                  <w:tcW w:w="1476" w:type="dxa"/>
                  <w:tcBorders>
                    <w:top w:val="nil"/>
                    <w:left w:val="nil"/>
                    <w:bottom w:val="single" w:sz="4" w:space="0" w:color="auto"/>
                    <w:right w:val="single" w:sz="4" w:space="0" w:color="auto"/>
                  </w:tcBorders>
                  <w:shd w:val="clear" w:color="auto" w:fill="auto"/>
                  <w:noWrap/>
                  <w:vAlign w:val="center"/>
                  <w:hideMark/>
                </w:tcPr>
                <w:p w14:paraId="4F0FC01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0" w:type="dxa"/>
                  <w:tcBorders>
                    <w:top w:val="nil"/>
                    <w:left w:val="nil"/>
                    <w:bottom w:val="single" w:sz="4" w:space="0" w:color="auto"/>
                    <w:right w:val="single" w:sz="4" w:space="0" w:color="auto"/>
                  </w:tcBorders>
                  <w:shd w:val="clear" w:color="auto" w:fill="auto"/>
                  <w:noWrap/>
                  <w:vAlign w:val="center"/>
                  <w:hideMark/>
                </w:tcPr>
                <w:p w14:paraId="2A485E1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354D586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7344C03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28B8BF13"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2CFC3BF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207</w:t>
                  </w:r>
                </w:p>
              </w:tc>
              <w:tc>
                <w:tcPr>
                  <w:tcW w:w="1624" w:type="dxa"/>
                  <w:tcBorders>
                    <w:top w:val="nil"/>
                    <w:left w:val="nil"/>
                    <w:bottom w:val="single" w:sz="4" w:space="0" w:color="auto"/>
                    <w:right w:val="single" w:sz="4" w:space="0" w:color="auto"/>
                  </w:tcBorders>
                  <w:shd w:val="clear" w:color="auto" w:fill="auto"/>
                  <w:noWrap/>
                  <w:vAlign w:val="center"/>
                  <w:hideMark/>
                </w:tcPr>
                <w:p w14:paraId="639594B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1,80</w:t>
                  </w:r>
                </w:p>
              </w:tc>
              <w:tc>
                <w:tcPr>
                  <w:tcW w:w="1476" w:type="dxa"/>
                  <w:tcBorders>
                    <w:top w:val="nil"/>
                    <w:left w:val="nil"/>
                    <w:bottom w:val="single" w:sz="4" w:space="0" w:color="auto"/>
                    <w:right w:val="single" w:sz="4" w:space="0" w:color="auto"/>
                  </w:tcBorders>
                  <w:shd w:val="clear" w:color="auto" w:fill="auto"/>
                  <w:noWrap/>
                  <w:vAlign w:val="center"/>
                  <w:hideMark/>
                </w:tcPr>
                <w:p w14:paraId="7C77722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0" w:type="dxa"/>
                  <w:tcBorders>
                    <w:top w:val="nil"/>
                    <w:left w:val="nil"/>
                    <w:bottom w:val="single" w:sz="4" w:space="0" w:color="auto"/>
                    <w:right w:val="single" w:sz="4" w:space="0" w:color="auto"/>
                  </w:tcBorders>
                  <w:shd w:val="clear" w:color="auto" w:fill="auto"/>
                  <w:noWrap/>
                  <w:vAlign w:val="center"/>
                  <w:hideMark/>
                </w:tcPr>
                <w:p w14:paraId="0D63CA3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48517DB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5" w:type="dxa"/>
                  <w:tcBorders>
                    <w:top w:val="nil"/>
                    <w:left w:val="nil"/>
                    <w:bottom w:val="single" w:sz="4" w:space="0" w:color="auto"/>
                    <w:right w:val="single" w:sz="4" w:space="0" w:color="auto"/>
                  </w:tcBorders>
                  <w:shd w:val="clear" w:color="auto" w:fill="auto"/>
                  <w:noWrap/>
                  <w:vAlign w:val="center"/>
                  <w:hideMark/>
                </w:tcPr>
                <w:p w14:paraId="7950B83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7D7BC916"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5286F75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213</w:t>
                  </w:r>
                </w:p>
              </w:tc>
              <w:tc>
                <w:tcPr>
                  <w:tcW w:w="1624" w:type="dxa"/>
                  <w:tcBorders>
                    <w:top w:val="nil"/>
                    <w:left w:val="nil"/>
                    <w:bottom w:val="single" w:sz="4" w:space="0" w:color="auto"/>
                    <w:right w:val="single" w:sz="4" w:space="0" w:color="auto"/>
                  </w:tcBorders>
                  <w:shd w:val="clear" w:color="auto" w:fill="auto"/>
                  <w:noWrap/>
                  <w:vAlign w:val="center"/>
                  <w:hideMark/>
                </w:tcPr>
                <w:p w14:paraId="1ECAE03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3.462.865,92</w:t>
                  </w:r>
                </w:p>
              </w:tc>
              <w:tc>
                <w:tcPr>
                  <w:tcW w:w="1476" w:type="dxa"/>
                  <w:tcBorders>
                    <w:top w:val="nil"/>
                    <w:left w:val="nil"/>
                    <w:bottom w:val="single" w:sz="4" w:space="0" w:color="auto"/>
                    <w:right w:val="single" w:sz="4" w:space="0" w:color="auto"/>
                  </w:tcBorders>
                  <w:shd w:val="clear" w:color="auto" w:fill="auto"/>
                  <w:noWrap/>
                  <w:vAlign w:val="center"/>
                  <w:hideMark/>
                </w:tcPr>
                <w:p w14:paraId="6807F57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613.621,70</w:t>
                  </w:r>
                </w:p>
              </w:tc>
              <w:tc>
                <w:tcPr>
                  <w:tcW w:w="970" w:type="dxa"/>
                  <w:tcBorders>
                    <w:top w:val="nil"/>
                    <w:left w:val="nil"/>
                    <w:bottom w:val="single" w:sz="4" w:space="0" w:color="auto"/>
                    <w:right w:val="single" w:sz="4" w:space="0" w:color="auto"/>
                  </w:tcBorders>
                  <w:shd w:val="clear" w:color="auto" w:fill="auto"/>
                  <w:noWrap/>
                  <w:vAlign w:val="center"/>
                  <w:hideMark/>
                </w:tcPr>
                <w:p w14:paraId="145FE5F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3E06F10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82,28</w:t>
                  </w:r>
                </w:p>
              </w:tc>
              <w:tc>
                <w:tcPr>
                  <w:tcW w:w="1135" w:type="dxa"/>
                  <w:tcBorders>
                    <w:top w:val="nil"/>
                    <w:left w:val="nil"/>
                    <w:bottom w:val="single" w:sz="4" w:space="0" w:color="auto"/>
                    <w:right w:val="single" w:sz="4" w:space="0" w:color="auto"/>
                  </w:tcBorders>
                  <w:shd w:val="clear" w:color="auto" w:fill="auto"/>
                  <w:noWrap/>
                  <w:vAlign w:val="center"/>
                  <w:hideMark/>
                </w:tcPr>
                <w:p w14:paraId="2B5881E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22,28</w:t>
                  </w:r>
                </w:p>
              </w:tc>
            </w:tr>
            <w:tr w:rsidR="00F56356" w:rsidRPr="00F56356" w14:paraId="7CF46C77"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10DE593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219</w:t>
                  </w:r>
                </w:p>
              </w:tc>
              <w:tc>
                <w:tcPr>
                  <w:tcW w:w="1624" w:type="dxa"/>
                  <w:tcBorders>
                    <w:top w:val="nil"/>
                    <w:left w:val="nil"/>
                    <w:bottom w:val="single" w:sz="4" w:space="0" w:color="auto"/>
                    <w:right w:val="single" w:sz="4" w:space="0" w:color="auto"/>
                  </w:tcBorders>
                  <w:shd w:val="clear" w:color="auto" w:fill="auto"/>
                  <w:noWrap/>
                  <w:vAlign w:val="center"/>
                  <w:hideMark/>
                </w:tcPr>
                <w:p w14:paraId="3D114F2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12.156,65</w:t>
                  </w:r>
                </w:p>
              </w:tc>
              <w:tc>
                <w:tcPr>
                  <w:tcW w:w="1476" w:type="dxa"/>
                  <w:tcBorders>
                    <w:top w:val="nil"/>
                    <w:left w:val="nil"/>
                    <w:bottom w:val="single" w:sz="4" w:space="0" w:color="auto"/>
                    <w:right w:val="single" w:sz="4" w:space="0" w:color="auto"/>
                  </w:tcBorders>
                  <w:shd w:val="clear" w:color="auto" w:fill="auto"/>
                  <w:noWrap/>
                  <w:vAlign w:val="center"/>
                  <w:hideMark/>
                </w:tcPr>
                <w:p w14:paraId="5C16392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9.239,81</w:t>
                  </w:r>
                </w:p>
              </w:tc>
              <w:tc>
                <w:tcPr>
                  <w:tcW w:w="970" w:type="dxa"/>
                  <w:tcBorders>
                    <w:top w:val="nil"/>
                    <w:left w:val="nil"/>
                    <w:bottom w:val="single" w:sz="4" w:space="0" w:color="auto"/>
                    <w:right w:val="single" w:sz="4" w:space="0" w:color="auto"/>
                  </w:tcBorders>
                  <w:shd w:val="clear" w:color="auto" w:fill="auto"/>
                  <w:noWrap/>
                  <w:vAlign w:val="center"/>
                  <w:hideMark/>
                </w:tcPr>
                <w:p w14:paraId="5B9C3B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13925B6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23,99</w:t>
                  </w:r>
                </w:p>
              </w:tc>
              <w:tc>
                <w:tcPr>
                  <w:tcW w:w="1135" w:type="dxa"/>
                  <w:tcBorders>
                    <w:top w:val="nil"/>
                    <w:left w:val="nil"/>
                    <w:bottom w:val="single" w:sz="4" w:space="0" w:color="auto"/>
                    <w:right w:val="single" w:sz="4" w:space="0" w:color="auto"/>
                  </w:tcBorders>
                  <w:shd w:val="clear" w:color="auto" w:fill="auto"/>
                  <w:noWrap/>
                  <w:vAlign w:val="center"/>
                  <w:hideMark/>
                </w:tcPr>
                <w:p w14:paraId="70C97E0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-36,01</w:t>
                  </w:r>
                </w:p>
              </w:tc>
            </w:tr>
            <w:tr w:rsidR="00F56356" w:rsidRPr="00F56356" w14:paraId="0FCF8D26" w14:textId="77777777" w:rsidTr="00F56356">
              <w:trPr>
                <w:trHeight w:val="240"/>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47F20BB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239</w:t>
                  </w:r>
                </w:p>
              </w:tc>
              <w:tc>
                <w:tcPr>
                  <w:tcW w:w="1624" w:type="dxa"/>
                  <w:tcBorders>
                    <w:top w:val="nil"/>
                    <w:left w:val="nil"/>
                    <w:bottom w:val="single" w:sz="4" w:space="0" w:color="auto"/>
                    <w:right w:val="single" w:sz="4" w:space="0" w:color="auto"/>
                  </w:tcBorders>
                  <w:shd w:val="clear" w:color="auto" w:fill="auto"/>
                  <w:noWrap/>
                  <w:vAlign w:val="center"/>
                  <w:hideMark/>
                </w:tcPr>
                <w:p w14:paraId="2BB92AE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3.947,73</w:t>
                  </w:r>
                </w:p>
              </w:tc>
              <w:tc>
                <w:tcPr>
                  <w:tcW w:w="1476" w:type="dxa"/>
                  <w:tcBorders>
                    <w:top w:val="nil"/>
                    <w:left w:val="nil"/>
                    <w:bottom w:val="single" w:sz="4" w:space="0" w:color="auto"/>
                    <w:right w:val="single" w:sz="4" w:space="0" w:color="auto"/>
                  </w:tcBorders>
                  <w:shd w:val="clear" w:color="auto" w:fill="auto"/>
                  <w:noWrap/>
                  <w:vAlign w:val="center"/>
                  <w:hideMark/>
                </w:tcPr>
                <w:p w14:paraId="79AFA03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648,20</w:t>
                  </w:r>
                </w:p>
              </w:tc>
              <w:tc>
                <w:tcPr>
                  <w:tcW w:w="970" w:type="dxa"/>
                  <w:tcBorders>
                    <w:top w:val="nil"/>
                    <w:left w:val="nil"/>
                    <w:bottom w:val="single" w:sz="4" w:space="0" w:color="auto"/>
                    <w:right w:val="single" w:sz="4" w:space="0" w:color="auto"/>
                  </w:tcBorders>
                  <w:shd w:val="clear" w:color="auto" w:fill="auto"/>
                  <w:noWrap/>
                  <w:vAlign w:val="center"/>
                  <w:hideMark/>
                </w:tcPr>
                <w:p w14:paraId="61A1E53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5" w:type="dxa"/>
                  <w:tcBorders>
                    <w:top w:val="nil"/>
                    <w:left w:val="nil"/>
                    <w:bottom w:val="single" w:sz="4" w:space="0" w:color="auto"/>
                    <w:right w:val="single" w:sz="4" w:space="0" w:color="auto"/>
                  </w:tcBorders>
                  <w:shd w:val="clear" w:color="auto" w:fill="auto"/>
                  <w:noWrap/>
                  <w:vAlign w:val="center"/>
                  <w:hideMark/>
                </w:tcPr>
                <w:p w14:paraId="1AE4938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83,58</w:t>
                  </w:r>
                </w:p>
              </w:tc>
              <w:tc>
                <w:tcPr>
                  <w:tcW w:w="1135" w:type="dxa"/>
                  <w:tcBorders>
                    <w:top w:val="nil"/>
                    <w:left w:val="nil"/>
                    <w:bottom w:val="single" w:sz="4" w:space="0" w:color="auto"/>
                    <w:right w:val="single" w:sz="4" w:space="0" w:color="auto"/>
                  </w:tcBorders>
                  <w:shd w:val="clear" w:color="auto" w:fill="auto"/>
                  <w:noWrap/>
                  <w:vAlign w:val="center"/>
                  <w:hideMark/>
                </w:tcPr>
                <w:p w14:paraId="4DFD771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23,58</w:t>
                  </w:r>
                </w:p>
              </w:tc>
            </w:tr>
            <w:tr w:rsidR="00F56356" w:rsidRPr="00F56356" w14:paraId="491C2A1C" w14:textId="77777777" w:rsidTr="00F56356">
              <w:trPr>
                <w:trHeight w:val="315"/>
                <w:jc w:val="center"/>
              </w:trPr>
              <w:tc>
                <w:tcPr>
                  <w:tcW w:w="470" w:type="dxa"/>
                  <w:tcBorders>
                    <w:top w:val="nil"/>
                    <w:left w:val="single" w:sz="4" w:space="0" w:color="auto"/>
                    <w:bottom w:val="single" w:sz="4" w:space="0" w:color="auto"/>
                    <w:right w:val="single" w:sz="4" w:space="0" w:color="auto"/>
                  </w:tcBorders>
                  <w:shd w:val="clear" w:color="auto" w:fill="auto"/>
                  <w:noWrap/>
                  <w:vAlign w:val="center"/>
                  <w:hideMark/>
                </w:tcPr>
                <w:p w14:paraId="286696B7"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24" w:type="dxa"/>
                  <w:tcBorders>
                    <w:top w:val="nil"/>
                    <w:left w:val="nil"/>
                    <w:bottom w:val="single" w:sz="4" w:space="0" w:color="auto"/>
                    <w:right w:val="single" w:sz="4" w:space="0" w:color="auto"/>
                  </w:tcBorders>
                  <w:shd w:val="clear" w:color="auto" w:fill="auto"/>
                  <w:noWrap/>
                  <w:vAlign w:val="center"/>
                  <w:hideMark/>
                </w:tcPr>
                <w:p w14:paraId="02B0AEE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4.100.744,56</w:t>
                  </w:r>
                </w:p>
              </w:tc>
              <w:tc>
                <w:tcPr>
                  <w:tcW w:w="1476" w:type="dxa"/>
                  <w:tcBorders>
                    <w:top w:val="nil"/>
                    <w:left w:val="nil"/>
                    <w:bottom w:val="single" w:sz="4" w:space="0" w:color="auto"/>
                    <w:right w:val="single" w:sz="4" w:space="0" w:color="auto"/>
                  </w:tcBorders>
                  <w:shd w:val="clear" w:color="auto" w:fill="auto"/>
                  <w:noWrap/>
                  <w:vAlign w:val="center"/>
                  <w:hideMark/>
                </w:tcPr>
                <w:p w14:paraId="4F32347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761.366,85</w:t>
                  </w:r>
                </w:p>
              </w:tc>
              <w:tc>
                <w:tcPr>
                  <w:tcW w:w="970" w:type="dxa"/>
                  <w:tcBorders>
                    <w:top w:val="nil"/>
                    <w:left w:val="nil"/>
                    <w:bottom w:val="nil"/>
                    <w:right w:val="nil"/>
                  </w:tcBorders>
                  <w:shd w:val="clear" w:color="auto" w:fill="auto"/>
                  <w:noWrap/>
                  <w:vAlign w:val="center"/>
                  <w:hideMark/>
                </w:tcPr>
                <w:p w14:paraId="5412EE87"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85" w:type="dxa"/>
                  <w:tcBorders>
                    <w:top w:val="nil"/>
                    <w:left w:val="nil"/>
                    <w:bottom w:val="nil"/>
                    <w:right w:val="nil"/>
                  </w:tcBorders>
                  <w:shd w:val="clear" w:color="auto" w:fill="auto"/>
                  <w:noWrap/>
                  <w:vAlign w:val="center"/>
                  <w:hideMark/>
                </w:tcPr>
                <w:p w14:paraId="75559E36"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35" w:type="dxa"/>
                  <w:tcBorders>
                    <w:top w:val="nil"/>
                    <w:left w:val="nil"/>
                    <w:bottom w:val="nil"/>
                    <w:right w:val="nil"/>
                  </w:tcBorders>
                  <w:shd w:val="clear" w:color="auto" w:fill="auto"/>
                  <w:noWrap/>
                  <w:vAlign w:val="center"/>
                  <w:hideMark/>
                </w:tcPr>
                <w:p w14:paraId="70A37068"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58885667" w14:textId="77777777" w:rsidR="00F56356" w:rsidRPr="00F56356" w:rsidRDefault="00F56356" w:rsidP="00F56356">
            <w:pPr>
              <w:spacing w:after="0" w:line="360" w:lineRule="auto"/>
              <w:jc w:val="center"/>
              <w:rPr>
                <w:rFonts w:ascii="Times New Roman" w:eastAsia="Times New Roman" w:hAnsi="Times New Roman" w:cs="Times New Roman"/>
                <w:sz w:val="14"/>
                <w:szCs w:val="24"/>
                <w:lang w:eastAsia="it-IT"/>
              </w:rPr>
            </w:pPr>
          </w:p>
          <w:tbl>
            <w:tblPr>
              <w:tblW w:w="6861" w:type="dxa"/>
              <w:jc w:val="center"/>
              <w:tblCellMar>
                <w:left w:w="70" w:type="dxa"/>
                <w:right w:w="70" w:type="dxa"/>
              </w:tblCellMar>
              <w:tblLook w:val="04A0" w:firstRow="1" w:lastRow="0" w:firstColumn="1" w:lastColumn="0" w:noHBand="0" w:noVBand="1"/>
            </w:tblPr>
            <w:tblGrid>
              <w:gridCol w:w="471"/>
              <w:gridCol w:w="1627"/>
              <w:gridCol w:w="1479"/>
              <w:gridCol w:w="972"/>
              <w:gridCol w:w="1187"/>
              <w:gridCol w:w="1125"/>
            </w:tblGrid>
            <w:tr w:rsidR="00F56356" w:rsidRPr="00F56356" w14:paraId="7C7D57FB" w14:textId="77777777" w:rsidTr="00F56356">
              <w:trPr>
                <w:trHeight w:val="420"/>
                <w:jc w:val="center"/>
              </w:trPr>
              <w:tc>
                <w:tcPr>
                  <w:tcW w:w="6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78C48"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6ABBD127" w14:textId="77777777" w:rsidTr="00F56356">
              <w:trPr>
                <w:trHeight w:val="465"/>
                <w:jc w:val="center"/>
              </w:trPr>
              <w:tc>
                <w:tcPr>
                  <w:tcW w:w="4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5305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27" w:type="dxa"/>
                  <w:vMerge w:val="restart"/>
                  <w:tcBorders>
                    <w:top w:val="nil"/>
                    <w:left w:val="single" w:sz="4" w:space="0" w:color="auto"/>
                    <w:bottom w:val="single" w:sz="4" w:space="0" w:color="auto"/>
                    <w:right w:val="single" w:sz="4" w:space="0" w:color="auto"/>
                  </w:tcBorders>
                  <w:shd w:val="clear" w:color="auto" w:fill="auto"/>
                  <w:vAlign w:val="center"/>
                  <w:hideMark/>
                </w:tcPr>
                <w:p w14:paraId="2F3D7904"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accertati all’01/01/2022</w:t>
                  </w:r>
                </w:p>
              </w:tc>
              <w:tc>
                <w:tcPr>
                  <w:tcW w:w="1479" w:type="dxa"/>
                  <w:vMerge w:val="restart"/>
                  <w:tcBorders>
                    <w:top w:val="nil"/>
                    <w:left w:val="single" w:sz="4" w:space="0" w:color="auto"/>
                    <w:bottom w:val="single" w:sz="4" w:space="0" w:color="auto"/>
                    <w:right w:val="single" w:sz="4" w:space="0" w:color="auto"/>
                  </w:tcBorders>
                  <w:shd w:val="clear" w:color="auto" w:fill="auto"/>
                  <w:vAlign w:val="center"/>
                  <w:hideMark/>
                </w:tcPr>
                <w:p w14:paraId="64585376"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correnti al 31/12/2022</w:t>
                  </w:r>
                </w:p>
              </w:tc>
              <w:tc>
                <w:tcPr>
                  <w:tcW w:w="3284" w:type="dxa"/>
                  <w:gridSpan w:val="3"/>
                  <w:tcBorders>
                    <w:top w:val="single" w:sz="4" w:space="0" w:color="auto"/>
                    <w:left w:val="nil"/>
                    <w:bottom w:val="single" w:sz="4" w:space="0" w:color="auto"/>
                    <w:right w:val="single" w:sz="4" w:space="0" w:color="000000"/>
                  </w:tcBorders>
                  <w:shd w:val="clear" w:color="auto" w:fill="auto"/>
                  <w:vAlign w:val="center"/>
                  <w:hideMark/>
                </w:tcPr>
                <w:p w14:paraId="2B86BADF"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0F452707" w14:textId="77777777" w:rsidTr="00F56356">
              <w:trPr>
                <w:trHeight w:val="405"/>
                <w:jc w:val="center"/>
              </w:trPr>
              <w:tc>
                <w:tcPr>
                  <w:tcW w:w="471" w:type="dxa"/>
                  <w:vMerge/>
                  <w:tcBorders>
                    <w:top w:val="nil"/>
                    <w:left w:val="single" w:sz="4" w:space="0" w:color="auto"/>
                    <w:bottom w:val="single" w:sz="4" w:space="0" w:color="auto"/>
                    <w:right w:val="single" w:sz="4" w:space="0" w:color="auto"/>
                  </w:tcBorders>
                  <w:vAlign w:val="center"/>
                  <w:hideMark/>
                </w:tcPr>
                <w:p w14:paraId="4253C4B2"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27" w:type="dxa"/>
                  <w:vMerge/>
                  <w:tcBorders>
                    <w:top w:val="nil"/>
                    <w:left w:val="single" w:sz="4" w:space="0" w:color="auto"/>
                    <w:bottom w:val="single" w:sz="4" w:space="0" w:color="auto"/>
                    <w:right w:val="single" w:sz="4" w:space="0" w:color="auto"/>
                  </w:tcBorders>
                  <w:vAlign w:val="center"/>
                  <w:hideMark/>
                </w:tcPr>
                <w:p w14:paraId="22ADC059"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479" w:type="dxa"/>
                  <w:vMerge/>
                  <w:tcBorders>
                    <w:top w:val="nil"/>
                    <w:left w:val="single" w:sz="4" w:space="0" w:color="auto"/>
                    <w:bottom w:val="single" w:sz="4" w:space="0" w:color="auto"/>
                    <w:right w:val="single" w:sz="4" w:space="0" w:color="auto"/>
                  </w:tcBorders>
                  <w:vAlign w:val="center"/>
                  <w:hideMark/>
                </w:tcPr>
                <w:p w14:paraId="7EB8EE72"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972" w:type="dxa"/>
                  <w:tcBorders>
                    <w:top w:val="nil"/>
                    <w:left w:val="nil"/>
                    <w:bottom w:val="single" w:sz="4" w:space="0" w:color="auto"/>
                    <w:right w:val="single" w:sz="4" w:space="0" w:color="auto"/>
                  </w:tcBorders>
                  <w:shd w:val="clear" w:color="auto" w:fill="auto"/>
                  <w:vAlign w:val="center"/>
                  <w:hideMark/>
                </w:tcPr>
                <w:p w14:paraId="17A07CA2"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attesa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87" w:type="dxa"/>
                  <w:tcBorders>
                    <w:top w:val="nil"/>
                    <w:left w:val="nil"/>
                    <w:bottom w:val="single" w:sz="4" w:space="0" w:color="auto"/>
                    <w:right w:val="single" w:sz="4" w:space="0" w:color="auto"/>
                  </w:tcBorders>
                  <w:shd w:val="clear" w:color="auto" w:fill="auto"/>
                  <w:vAlign w:val="center"/>
                  <w:hideMark/>
                </w:tcPr>
                <w:p w14:paraId="02DA1804"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realizzata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25" w:type="dxa"/>
                  <w:tcBorders>
                    <w:top w:val="nil"/>
                    <w:left w:val="nil"/>
                    <w:bottom w:val="single" w:sz="4" w:space="0" w:color="auto"/>
                    <w:right w:val="single" w:sz="4" w:space="0" w:color="auto"/>
                  </w:tcBorders>
                  <w:shd w:val="clear" w:color="auto" w:fill="auto"/>
                  <w:vAlign w:val="center"/>
                  <w:hideMark/>
                </w:tcPr>
                <w:p w14:paraId="03D7F7AC"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scost.to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r>
            <w:tr w:rsidR="00F56356" w:rsidRPr="00F56356" w14:paraId="4B128E93"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AF7021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171</w:t>
                  </w:r>
                </w:p>
              </w:tc>
              <w:tc>
                <w:tcPr>
                  <w:tcW w:w="1627" w:type="dxa"/>
                  <w:tcBorders>
                    <w:top w:val="nil"/>
                    <w:left w:val="nil"/>
                    <w:bottom w:val="single" w:sz="4" w:space="0" w:color="auto"/>
                    <w:right w:val="single" w:sz="4" w:space="0" w:color="auto"/>
                  </w:tcBorders>
                  <w:shd w:val="clear" w:color="auto" w:fill="auto"/>
                  <w:noWrap/>
                  <w:vAlign w:val="center"/>
                  <w:hideMark/>
                </w:tcPr>
                <w:p w14:paraId="2117ECA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111.369,91</w:t>
                  </w:r>
                </w:p>
              </w:tc>
              <w:tc>
                <w:tcPr>
                  <w:tcW w:w="1479" w:type="dxa"/>
                  <w:tcBorders>
                    <w:top w:val="nil"/>
                    <w:left w:val="nil"/>
                    <w:bottom w:val="single" w:sz="4" w:space="0" w:color="auto"/>
                    <w:right w:val="single" w:sz="4" w:space="0" w:color="auto"/>
                  </w:tcBorders>
                  <w:shd w:val="clear" w:color="auto" w:fill="auto"/>
                  <w:noWrap/>
                  <w:vAlign w:val="center"/>
                  <w:hideMark/>
                </w:tcPr>
                <w:p w14:paraId="2DDFB9F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2" w:type="dxa"/>
                  <w:tcBorders>
                    <w:top w:val="nil"/>
                    <w:left w:val="nil"/>
                    <w:bottom w:val="single" w:sz="4" w:space="0" w:color="auto"/>
                    <w:right w:val="single" w:sz="4" w:space="0" w:color="auto"/>
                  </w:tcBorders>
                  <w:shd w:val="clear" w:color="auto" w:fill="auto"/>
                  <w:noWrap/>
                  <w:vAlign w:val="center"/>
                  <w:hideMark/>
                </w:tcPr>
                <w:p w14:paraId="7AEECC2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87" w:type="dxa"/>
                  <w:tcBorders>
                    <w:top w:val="nil"/>
                    <w:left w:val="nil"/>
                    <w:bottom w:val="single" w:sz="4" w:space="0" w:color="auto"/>
                    <w:right w:val="single" w:sz="4" w:space="0" w:color="auto"/>
                  </w:tcBorders>
                  <w:shd w:val="clear" w:color="auto" w:fill="auto"/>
                  <w:noWrap/>
                  <w:vAlign w:val="center"/>
                  <w:hideMark/>
                </w:tcPr>
                <w:p w14:paraId="361B5C5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5" w:type="dxa"/>
                  <w:tcBorders>
                    <w:top w:val="nil"/>
                    <w:left w:val="nil"/>
                    <w:bottom w:val="single" w:sz="4" w:space="0" w:color="auto"/>
                    <w:right w:val="single" w:sz="4" w:space="0" w:color="auto"/>
                  </w:tcBorders>
                  <w:shd w:val="clear" w:color="auto" w:fill="auto"/>
                  <w:noWrap/>
                  <w:vAlign w:val="center"/>
                  <w:hideMark/>
                </w:tcPr>
                <w:p w14:paraId="52B37EC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0CCA98BC" w14:textId="77777777" w:rsidTr="00F56356">
              <w:trPr>
                <w:trHeight w:val="31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1F47CCA"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27" w:type="dxa"/>
                  <w:tcBorders>
                    <w:top w:val="nil"/>
                    <w:left w:val="nil"/>
                    <w:bottom w:val="single" w:sz="4" w:space="0" w:color="auto"/>
                    <w:right w:val="single" w:sz="4" w:space="0" w:color="auto"/>
                  </w:tcBorders>
                  <w:shd w:val="clear" w:color="auto" w:fill="auto"/>
                  <w:noWrap/>
                  <w:vAlign w:val="center"/>
                  <w:hideMark/>
                </w:tcPr>
                <w:p w14:paraId="3B640DA0"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111.369,91</w:t>
                  </w:r>
                </w:p>
              </w:tc>
              <w:tc>
                <w:tcPr>
                  <w:tcW w:w="1479" w:type="dxa"/>
                  <w:tcBorders>
                    <w:top w:val="nil"/>
                    <w:left w:val="nil"/>
                    <w:bottom w:val="single" w:sz="4" w:space="0" w:color="auto"/>
                    <w:right w:val="single" w:sz="4" w:space="0" w:color="auto"/>
                  </w:tcBorders>
                  <w:shd w:val="clear" w:color="auto" w:fill="auto"/>
                  <w:noWrap/>
                  <w:vAlign w:val="center"/>
                  <w:hideMark/>
                </w:tcPr>
                <w:p w14:paraId="086B8E7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72" w:type="dxa"/>
                  <w:tcBorders>
                    <w:top w:val="nil"/>
                    <w:left w:val="nil"/>
                    <w:bottom w:val="nil"/>
                    <w:right w:val="nil"/>
                  </w:tcBorders>
                  <w:shd w:val="clear" w:color="auto" w:fill="auto"/>
                  <w:noWrap/>
                  <w:vAlign w:val="center"/>
                  <w:hideMark/>
                </w:tcPr>
                <w:p w14:paraId="21452ED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87" w:type="dxa"/>
                  <w:tcBorders>
                    <w:top w:val="nil"/>
                    <w:left w:val="nil"/>
                    <w:bottom w:val="nil"/>
                    <w:right w:val="nil"/>
                  </w:tcBorders>
                  <w:shd w:val="clear" w:color="auto" w:fill="auto"/>
                  <w:noWrap/>
                  <w:vAlign w:val="center"/>
                  <w:hideMark/>
                </w:tcPr>
                <w:p w14:paraId="7621DB9E"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25" w:type="dxa"/>
                  <w:tcBorders>
                    <w:top w:val="nil"/>
                    <w:left w:val="nil"/>
                    <w:bottom w:val="nil"/>
                    <w:right w:val="nil"/>
                  </w:tcBorders>
                  <w:shd w:val="clear" w:color="auto" w:fill="auto"/>
                  <w:noWrap/>
                  <w:vAlign w:val="center"/>
                  <w:hideMark/>
                </w:tcPr>
                <w:p w14:paraId="0BF3387C"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535213CD" w14:textId="77777777" w:rsidR="00F56356" w:rsidRPr="00F56356" w:rsidRDefault="00F56356" w:rsidP="00F56356">
            <w:pPr>
              <w:spacing w:after="0" w:line="360" w:lineRule="auto"/>
              <w:jc w:val="center"/>
              <w:rPr>
                <w:rFonts w:ascii="Times New Roman" w:eastAsia="Times New Roman" w:hAnsi="Times New Roman" w:cs="Times New Roman"/>
                <w:sz w:val="14"/>
                <w:szCs w:val="24"/>
                <w:lang w:eastAsia="it-IT"/>
              </w:rPr>
            </w:pPr>
          </w:p>
          <w:tbl>
            <w:tblPr>
              <w:tblW w:w="6861" w:type="dxa"/>
              <w:jc w:val="center"/>
              <w:tblCellMar>
                <w:left w:w="70" w:type="dxa"/>
                <w:right w:w="70" w:type="dxa"/>
              </w:tblCellMar>
              <w:tblLook w:val="04A0" w:firstRow="1" w:lastRow="0" w:firstColumn="1" w:lastColumn="0" w:noHBand="0" w:noVBand="1"/>
            </w:tblPr>
            <w:tblGrid>
              <w:gridCol w:w="469"/>
              <w:gridCol w:w="1612"/>
              <w:gridCol w:w="1516"/>
              <w:gridCol w:w="963"/>
              <w:gridCol w:w="1177"/>
              <w:gridCol w:w="1127"/>
            </w:tblGrid>
            <w:tr w:rsidR="00F56356" w:rsidRPr="00F56356" w14:paraId="22FC7922" w14:textId="77777777" w:rsidTr="00F56356">
              <w:trPr>
                <w:trHeight w:val="420"/>
                <w:jc w:val="center"/>
              </w:trPr>
              <w:tc>
                <w:tcPr>
                  <w:tcW w:w="6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7F76"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IN CONTO CAPITALE</w:t>
                  </w:r>
                </w:p>
              </w:tc>
            </w:tr>
            <w:tr w:rsidR="00F56356" w:rsidRPr="00F56356" w14:paraId="13C36DBA" w14:textId="77777777" w:rsidTr="00F56356">
              <w:trPr>
                <w:trHeight w:val="465"/>
                <w:jc w:val="center"/>
              </w:trPr>
              <w:tc>
                <w:tcPr>
                  <w:tcW w:w="4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BFC7B8"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14:paraId="3A5DCACA"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accertati all’01/01/2022</w:t>
                  </w:r>
                </w:p>
              </w:tc>
              <w:tc>
                <w:tcPr>
                  <w:tcW w:w="1516" w:type="dxa"/>
                  <w:vMerge w:val="restart"/>
                  <w:tcBorders>
                    <w:top w:val="nil"/>
                    <w:left w:val="single" w:sz="4" w:space="0" w:color="auto"/>
                    <w:bottom w:val="single" w:sz="4" w:space="0" w:color="auto"/>
                    <w:right w:val="single" w:sz="4" w:space="0" w:color="auto"/>
                  </w:tcBorders>
                  <w:shd w:val="clear" w:color="auto" w:fill="auto"/>
                  <w:vAlign w:val="center"/>
                  <w:hideMark/>
                </w:tcPr>
                <w:p w14:paraId="3B398545" w14:textId="77777777" w:rsidR="00F56356" w:rsidRPr="00F56356" w:rsidRDefault="00F56356" w:rsidP="00F56356">
                  <w:pPr>
                    <w:spacing w:after="0" w:line="240" w:lineRule="auto"/>
                    <w:jc w:val="center"/>
                    <w:rPr>
                      <w:rFonts w:ascii="Calibri" w:eastAsia="Times New Roman" w:hAnsi="Calibri" w:cs="Calibri"/>
                      <w:b/>
                      <w:bCs/>
                      <w:i/>
                      <w:iCs/>
                      <w:color w:val="000000"/>
                      <w:sz w:val="18"/>
                      <w:szCs w:val="18"/>
                      <w:lang w:eastAsia="it-IT"/>
                    </w:rPr>
                  </w:pPr>
                  <w:r w:rsidRPr="00F56356">
                    <w:rPr>
                      <w:rFonts w:ascii="Calibri" w:eastAsia="Times New Roman" w:hAnsi="Calibri" w:cs="Calibri"/>
                      <w:b/>
                      <w:bCs/>
                      <w:i/>
                      <w:iCs/>
                      <w:color w:val="000000"/>
                      <w:sz w:val="18"/>
                      <w:szCs w:val="18"/>
                      <w:lang w:eastAsia="it-IT"/>
                    </w:rPr>
                    <w:t>Residui correnti al 31/12/2022</w:t>
                  </w:r>
                </w:p>
              </w:tc>
              <w:tc>
                <w:tcPr>
                  <w:tcW w:w="3267" w:type="dxa"/>
                  <w:gridSpan w:val="3"/>
                  <w:tcBorders>
                    <w:top w:val="single" w:sz="4" w:space="0" w:color="auto"/>
                    <w:left w:val="nil"/>
                    <w:bottom w:val="single" w:sz="4" w:space="0" w:color="auto"/>
                    <w:right w:val="single" w:sz="4" w:space="0" w:color="000000"/>
                  </w:tcBorders>
                  <w:shd w:val="clear" w:color="auto" w:fill="auto"/>
                  <w:vAlign w:val="center"/>
                  <w:hideMark/>
                </w:tcPr>
                <w:p w14:paraId="28BA7266"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65C2D112" w14:textId="77777777" w:rsidTr="00F56356">
              <w:trPr>
                <w:trHeight w:val="405"/>
                <w:jc w:val="center"/>
              </w:trPr>
              <w:tc>
                <w:tcPr>
                  <w:tcW w:w="466" w:type="dxa"/>
                  <w:vMerge/>
                  <w:tcBorders>
                    <w:top w:val="nil"/>
                    <w:left w:val="single" w:sz="4" w:space="0" w:color="auto"/>
                    <w:bottom w:val="single" w:sz="4" w:space="0" w:color="auto"/>
                    <w:right w:val="single" w:sz="4" w:space="0" w:color="auto"/>
                  </w:tcBorders>
                  <w:vAlign w:val="center"/>
                  <w:hideMark/>
                </w:tcPr>
                <w:p w14:paraId="4B5534AA"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12" w:type="dxa"/>
                  <w:vMerge/>
                  <w:tcBorders>
                    <w:top w:val="nil"/>
                    <w:left w:val="single" w:sz="4" w:space="0" w:color="auto"/>
                    <w:bottom w:val="single" w:sz="4" w:space="0" w:color="auto"/>
                    <w:right w:val="single" w:sz="4" w:space="0" w:color="auto"/>
                  </w:tcBorders>
                  <w:vAlign w:val="center"/>
                  <w:hideMark/>
                </w:tcPr>
                <w:p w14:paraId="1ED22B29"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1516" w:type="dxa"/>
                  <w:vMerge/>
                  <w:tcBorders>
                    <w:top w:val="nil"/>
                    <w:left w:val="single" w:sz="4" w:space="0" w:color="auto"/>
                    <w:bottom w:val="single" w:sz="4" w:space="0" w:color="auto"/>
                    <w:right w:val="single" w:sz="4" w:space="0" w:color="auto"/>
                  </w:tcBorders>
                  <w:vAlign w:val="center"/>
                  <w:hideMark/>
                </w:tcPr>
                <w:p w14:paraId="7FCE8FB8" w14:textId="77777777" w:rsidR="00F56356" w:rsidRPr="00F56356" w:rsidRDefault="00F56356" w:rsidP="00F56356">
                  <w:pPr>
                    <w:spacing w:after="0" w:line="240" w:lineRule="auto"/>
                    <w:rPr>
                      <w:rFonts w:ascii="Calibri" w:eastAsia="Times New Roman" w:hAnsi="Calibri" w:cs="Calibri"/>
                      <w:b/>
                      <w:bCs/>
                      <w:i/>
                      <w:iCs/>
                      <w:color w:val="000000"/>
                      <w:sz w:val="18"/>
                      <w:szCs w:val="18"/>
                      <w:lang w:eastAsia="it-IT"/>
                    </w:rPr>
                  </w:pPr>
                </w:p>
              </w:tc>
              <w:tc>
                <w:tcPr>
                  <w:tcW w:w="963" w:type="dxa"/>
                  <w:tcBorders>
                    <w:top w:val="nil"/>
                    <w:left w:val="nil"/>
                    <w:bottom w:val="single" w:sz="4" w:space="0" w:color="auto"/>
                    <w:right w:val="single" w:sz="4" w:space="0" w:color="auto"/>
                  </w:tcBorders>
                  <w:shd w:val="clear" w:color="auto" w:fill="auto"/>
                  <w:vAlign w:val="center"/>
                  <w:hideMark/>
                </w:tcPr>
                <w:p w14:paraId="326C7F27"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attesa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77" w:type="dxa"/>
                  <w:tcBorders>
                    <w:top w:val="nil"/>
                    <w:left w:val="nil"/>
                    <w:bottom w:val="single" w:sz="4" w:space="0" w:color="auto"/>
                    <w:right w:val="single" w:sz="4" w:space="0" w:color="auto"/>
                  </w:tcBorders>
                  <w:shd w:val="clear" w:color="auto" w:fill="auto"/>
                  <w:vAlign w:val="center"/>
                  <w:hideMark/>
                </w:tcPr>
                <w:p w14:paraId="0756D802"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realizzata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c>
                <w:tcPr>
                  <w:tcW w:w="1127" w:type="dxa"/>
                  <w:tcBorders>
                    <w:top w:val="nil"/>
                    <w:left w:val="nil"/>
                    <w:bottom w:val="single" w:sz="4" w:space="0" w:color="auto"/>
                    <w:right w:val="single" w:sz="4" w:space="0" w:color="auto"/>
                  </w:tcBorders>
                  <w:shd w:val="clear" w:color="auto" w:fill="auto"/>
                  <w:vAlign w:val="center"/>
                  <w:hideMark/>
                </w:tcPr>
                <w:p w14:paraId="29A97A3A" w14:textId="77777777" w:rsidR="00F56356" w:rsidRPr="00F56356" w:rsidRDefault="00F56356" w:rsidP="00F56356">
                  <w:pPr>
                    <w:spacing w:after="0" w:line="240" w:lineRule="auto"/>
                    <w:jc w:val="center"/>
                    <w:rPr>
                      <w:rFonts w:ascii="Calibri" w:eastAsia="Times New Roman" w:hAnsi="Calibri" w:cs="Calibri"/>
                      <w:color w:val="000000"/>
                      <w:sz w:val="14"/>
                      <w:szCs w:val="14"/>
                      <w:lang w:eastAsia="it-IT"/>
                    </w:rPr>
                  </w:pPr>
                  <w:r w:rsidRPr="00F56356">
                    <w:rPr>
                      <w:rFonts w:ascii="Calibri" w:eastAsia="Times New Roman" w:hAnsi="Calibri" w:cs="Calibri"/>
                      <w:color w:val="000000"/>
                      <w:sz w:val="14"/>
                      <w:szCs w:val="14"/>
                      <w:lang w:eastAsia="it-IT"/>
                    </w:rPr>
                    <w:t xml:space="preserve">scost.to  </w:t>
                  </w:r>
                  <w:proofErr w:type="gramStart"/>
                  <w:r w:rsidRPr="00F56356">
                    <w:rPr>
                      <w:rFonts w:ascii="Calibri" w:eastAsia="Times New Roman" w:hAnsi="Calibri" w:cs="Calibri"/>
                      <w:color w:val="000000"/>
                      <w:sz w:val="14"/>
                      <w:szCs w:val="14"/>
                      <w:lang w:eastAsia="it-IT"/>
                    </w:rPr>
                    <w:t xml:space="preserve">   (</w:t>
                  </w:r>
                  <w:proofErr w:type="gramEnd"/>
                  <w:r w:rsidRPr="00F56356">
                    <w:rPr>
                      <w:rFonts w:ascii="Calibri" w:eastAsia="Times New Roman" w:hAnsi="Calibri" w:cs="Calibri"/>
                      <w:color w:val="000000"/>
                      <w:sz w:val="14"/>
                      <w:szCs w:val="14"/>
                      <w:lang w:eastAsia="it-IT"/>
                    </w:rPr>
                    <w:t>%)</w:t>
                  </w:r>
                </w:p>
              </w:tc>
            </w:tr>
            <w:tr w:rsidR="00F56356" w:rsidRPr="00F56356" w14:paraId="4D8F30E8" w14:textId="77777777" w:rsidTr="00F56356">
              <w:trPr>
                <w:trHeight w:val="24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7DDB7CB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902</w:t>
                  </w:r>
                </w:p>
              </w:tc>
              <w:tc>
                <w:tcPr>
                  <w:tcW w:w="1612" w:type="dxa"/>
                  <w:tcBorders>
                    <w:top w:val="nil"/>
                    <w:left w:val="nil"/>
                    <w:bottom w:val="single" w:sz="4" w:space="0" w:color="auto"/>
                    <w:right w:val="single" w:sz="4" w:space="0" w:color="auto"/>
                  </w:tcBorders>
                  <w:shd w:val="clear" w:color="auto" w:fill="auto"/>
                  <w:noWrap/>
                  <w:vAlign w:val="center"/>
                  <w:hideMark/>
                </w:tcPr>
                <w:p w14:paraId="684DAA1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116.746,93</w:t>
                  </w:r>
                </w:p>
              </w:tc>
              <w:tc>
                <w:tcPr>
                  <w:tcW w:w="1516" w:type="dxa"/>
                  <w:tcBorders>
                    <w:top w:val="nil"/>
                    <w:left w:val="nil"/>
                    <w:bottom w:val="single" w:sz="4" w:space="0" w:color="auto"/>
                    <w:right w:val="single" w:sz="4" w:space="0" w:color="auto"/>
                  </w:tcBorders>
                  <w:shd w:val="clear" w:color="auto" w:fill="auto"/>
                  <w:noWrap/>
                  <w:vAlign w:val="center"/>
                  <w:hideMark/>
                </w:tcPr>
                <w:p w14:paraId="0683143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40.966,15</w:t>
                  </w:r>
                </w:p>
              </w:tc>
              <w:tc>
                <w:tcPr>
                  <w:tcW w:w="963" w:type="dxa"/>
                  <w:tcBorders>
                    <w:top w:val="nil"/>
                    <w:left w:val="nil"/>
                    <w:bottom w:val="single" w:sz="4" w:space="0" w:color="auto"/>
                    <w:right w:val="single" w:sz="4" w:space="0" w:color="auto"/>
                  </w:tcBorders>
                  <w:shd w:val="clear" w:color="auto" w:fill="auto"/>
                  <w:noWrap/>
                  <w:vAlign w:val="center"/>
                  <w:hideMark/>
                </w:tcPr>
                <w:p w14:paraId="6DAA5B7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77" w:type="dxa"/>
                  <w:tcBorders>
                    <w:top w:val="nil"/>
                    <w:left w:val="nil"/>
                    <w:bottom w:val="single" w:sz="4" w:space="0" w:color="auto"/>
                    <w:right w:val="single" w:sz="4" w:space="0" w:color="auto"/>
                  </w:tcBorders>
                  <w:shd w:val="clear" w:color="auto" w:fill="auto"/>
                  <w:noWrap/>
                  <w:vAlign w:val="center"/>
                  <w:hideMark/>
                </w:tcPr>
                <w:p w14:paraId="3B84B3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64,91</w:t>
                  </w:r>
                </w:p>
              </w:tc>
              <w:tc>
                <w:tcPr>
                  <w:tcW w:w="1127" w:type="dxa"/>
                  <w:tcBorders>
                    <w:top w:val="nil"/>
                    <w:left w:val="nil"/>
                    <w:bottom w:val="single" w:sz="4" w:space="0" w:color="auto"/>
                    <w:right w:val="single" w:sz="4" w:space="0" w:color="auto"/>
                  </w:tcBorders>
                  <w:shd w:val="clear" w:color="auto" w:fill="auto"/>
                  <w:noWrap/>
                  <w:vAlign w:val="center"/>
                  <w:hideMark/>
                </w:tcPr>
                <w:p w14:paraId="6CE2A2D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-15,09</w:t>
                  </w:r>
                </w:p>
              </w:tc>
            </w:tr>
            <w:tr w:rsidR="00F56356" w:rsidRPr="00F56356" w14:paraId="654115F5" w14:textId="77777777" w:rsidTr="00F56356">
              <w:trPr>
                <w:trHeight w:val="24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95423B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905</w:t>
                  </w:r>
                </w:p>
              </w:tc>
              <w:tc>
                <w:tcPr>
                  <w:tcW w:w="1612" w:type="dxa"/>
                  <w:tcBorders>
                    <w:top w:val="nil"/>
                    <w:left w:val="nil"/>
                    <w:bottom w:val="single" w:sz="4" w:space="0" w:color="auto"/>
                    <w:right w:val="single" w:sz="4" w:space="0" w:color="auto"/>
                  </w:tcBorders>
                  <w:shd w:val="clear" w:color="auto" w:fill="auto"/>
                  <w:noWrap/>
                  <w:vAlign w:val="center"/>
                  <w:hideMark/>
                </w:tcPr>
                <w:p w14:paraId="7BEA67A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1.636.180,17</w:t>
                  </w:r>
                </w:p>
              </w:tc>
              <w:tc>
                <w:tcPr>
                  <w:tcW w:w="1516" w:type="dxa"/>
                  <w:tcBorders>
                    <w:top w:val="nil"/>
                    <w:left w:val="nil"/>
                    <w:bottom w:val="single" w:sz="4" w:space="0" w:color="auto"/>
                    <w:right w:val="single" w:sz="4" w:space="0" w:color="auto"/>
                  </w:tcBorders>
                  <w:shd w:val="clear" w:color="auto" w:fill="auto"/>
                  <w:noWrap/>
                  <w:vAlign w:val="center"/>
                  <w:hideMark/>
                </w:tcPr>
                <w:p w14:paraId="6A98A6B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1.444.471,28</w:t>
                  </w:r>
                </w:p>
              </w:tc>
              <w:tc>
                <w:tcPr>
                  <w:tcW w:w="963" w:type="dxa"/>
                  <w:tcBorders>
                    <w:top w:val="nil"/>
                    <w:left w:val="nil"/>
                    <w:bottom w:val="single" w:sz="4" w:space="0" w:color="auto"/>
                    <w:right w:val="single" w:sz="4" w:space="0" w:color="auto"/>
                  </w:tcBorders>
                  <w:shd w:val="clear" w:color="auto" w:fill="auto"/>
                  <w:noWrap/>
                  <w:vAlign w:val="center"/>
                  <w:hideMark/>
                </w:tcPr>
                <w:p w14:paraId="7D40F4A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7" w:type="dxa"/>
                  <w:tcBorders>
                    <w:top w:val="nil"/>
                    <w:left w:val="nil"/>
                    <w:bottom w:val="single" w:sz="4" w:space="0" w:color="auto"/>
                    <w:right w:val="single" w:sz="4" w:space="0" w:color="auto"/>
                  </w:tcBorders>
                  <w:shd w:val="clear" w:color="auto" w:fill="auto"/>
                  <w:noWrap/>
                  <w:vAlign w:val="center"/>
                  <w:hideMark/>
                </w:tcPr>
                <w:p w14:paraId="3FF7792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11,72</w:t>
                  </w:r>
                </w:p>
              </w:tc>
              <w:tc>
                <w:tcPr>
                  <w:tcW w:w="1127" w:type="dxa"/>
                  <w:tcBorders>
                    <w:top w:val="nil"/>
                    <w:left w:val="nil"/>
                    <w:bottom w:val="single" w:sz="4" w:space="0" w:color="auto"/>
                    <w:right w:val="single" w:sz="4" w:space="0" w:color="auto"/>
                  </w:tcBorders>
                  <w:shd w:val="clear" w:color="auto" w:fill="auto"/>
                  <w:noWrap/>
                  <w:vAlign w:val="center"/>
                  <w:hideMark/>
                </w:tcPr>
                <w:p w14:paraId="13EF7AA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-48,28</w:t>
                  </w:r>
                </w:p>
              </w:tc>
            </w:tr>
            <w:tr w:rsidR="00F56356" w:rsidRPr="00F56356" w14:paraId="238B145F" w14:textId="77777777" w:rsidTr="00F56356">
              <w:trPr>
                <w:trHeight w:val="24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0CF4482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909</w:t>
                  </w:r>
                </w:p>
              </w:tc>
              <w:tc>
                <w:tcPr>
                  <w:tcW w:w="1612" w:type="dxa"/>
                  <w:tcBorders>
                    <w:top w:val="nil"/>
                    <w:left w:val="nil"/>
                    <w:bottom w:val="single" w:sz="4" w:space="0" w:color="auto"/>
                    <w:right w:val="single" w:sz="4" w:space="0" w:color="auto"/>
                  </w:tcBorders>
                  <w:shd w:val="clear" w:color="auto" w:fill="auto"/>
                  <w:noWrap/>
                  <w:vAlign w:val="center"/>
                  <w:hideMark/>
                </w:tcPr>
                <w:p w14:paraId="1281969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2.895.408,04</w:t>
                  </w:r>
                </w:p>
              </w:tc>
              <w:tc>
                <w:tcPr>
                  <w:tcW w:w="1516" w:type="dxa"/>
                  <w:tcBorders>
                    <w:top w:val="nil"/>
                    <w:left w:val="nil"/>
                    <w:bottom w:val="single" w:sz="4" w:space="0" w:color="auto"/>
                    <w:right w:val="single" w:sz="4" w:space="0" w:color="auto"/>
                  </w:tcBorders>
                  <w:shd w:val="clear" w:color="auto" w:fill="auto"/>
                  <w:noWrap/>
                  <w:vAlign w:val="center"/>
                  <w:hideMark/>
                </w:tcPr>
                <w:p w14:paraId="107B6AE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2.263.069,27</w:t>
                  </w:r>
                </w:p>
              </w:tc>
              <w:tc>
                <w:tcPr>
                  <w:tcW w:w="963" w:type="dxa"/>
                  <w:tcBorders>
                    <w:top w:val="nil"/>
                    <w:left w:val="nil"/>
                    <w:bottom w:val="single" w:sz="4" w:space="0" w:color="auto"/>
                    <w:right w:val="single" w:sz="4" w:space="0" w:color="auto"/>
                  </w:tcBorders>
                  <w:shd w:val="clear" w:color="auto" w:fill="auto"/>
                  <w:noWrap/>
                  <w:vAlign w:val="center"/>
                  <w:hideMark/>
                </w:tcPr>
                <w:p w14:paraId="69C0513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7" w:type="dxa"/>
                  <w:tcBorders>
                    <w:top w:val="nil"/>
                    <w:left w:val="nil"/>
                    <w:bottom w:val="single" w:sz="4" w:space="0" w:color="auto"/>
                    <w:right w:val="single" w:sz="4" w:space="0" w:color="auto"/>
                  </w:tcBorders>
                  <w:shd w:val="clear" w:color="auto" w:fill="auto"/>
                  <w:noWrap/>
                  <w:vAlign w:val="center"/>
                  <w:hideMark/>
                </w:tcPr>
                <w:p w14:paraId="11F99C0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21,84</w:t>
                  </w:r>
                </w:p>
              </w:tc>
              <w:tc>
                <w:tcPr>
                  <w:tcW w:w="1127" w:type="dxa"/>
                  <w:tcBorders>
                    <w:top w:val="nil"/>
                    <w:left w:val="nil"/>
                    <w:bottom w:val="single" w:sz="4" w:space="0" w:color="auto"/>
                    <w:right w:val="single" w:sz="4" w:space="0" w:color="auto"/>
                  </w:tcBorders>
                  <w:shd w:val="clear" w:color="auto" w:fill="auto"/>
                  <w:noWrap/>
                  <w:vAlign w:val="center"/>
                  <w:hideMark/>
                </w:tcPr>
                <w:p w14:paraId="2FE29C1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-38,16</w:t>
                  </w:r>
                </w:p>
              </w:tc>
            </w:tr>
            <w:tr w:rsidR="00F56356" w:rsidRPr="00F56356" w14:paraId="00F3F299" w14:textId="77777777" w:rsidTr="00F56356">
              <w:trPr>
                <w:trHeight w:val="24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999373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910</w:t>
                  </w:r>
                </w:p>
              </w:tc>
              <w:tc>
                <w:tcPr>
                  <w:tcW w:w="1612" w:type="dxa"/>
                  <w:tcBorders>
                    <w:top w:val="nil"/>
                    <w:left w:val="nil"/>
                    <w:bottom w:val="single" w:sz="4" w:space="0" w:color="auto"/>
                    <w:right w:val="single" w:sz="4" w:space="0" w:color="auto"/>
                  </w:tcBorders>
                  <w:shd w:val="clear" w:color="auto" w:fill="auto"/>
                  <w:noWrap/>
                  <w:vAlign w:val="center"/>
                  <w:hideMark/>
                </w:tcPr>
                <w:p w14:paraId="75E7DD0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694.061,79</w:t>
                  </w:r>
                </w:p>
              </w:tc>
              <w:tc>
                <w:tcPr>
                  <w:tcW w:w="1516" w:type="dxa"/>
                  <w:tcBorders>
                    <w:top w:val="nil"/>
                    <w:left w:val="nil"/>
                    <w:bottom w:val="single" w:sz="4" w:space="0" w:color="auto"/>
                    <w:right w:val="single" w:sz="4" w:space="0" w:color="auto"/>
                  </w:tcBorders>
                  <w:shd w:val="clear" w:color="auto" w:fill="auto"/>
                  <w:noWrap/>
                  <w:vAlign w:val="center"/>
                  <w:hideMark/>
                </w:tcPr>
                <w:p w14:paraId="5B16F0D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62.183,86</w:t>
                  </w:r>
                </w:p>
              </w:tc>
              <w:tc>
                <w:tcPr>
                  <w:tcW w:w="963" w:type="dxa"/>
                  <w:tcBorders>
                    <w:top w:val="nil"/>
                    <w:left w:val="nil"/>
                    <w:bottom w:val="single" w:sz="4" w:space="0" w:color="auto"/>
                    <w:right w:val="single" w:sz="4" w:space="0" w:color="auto"/>
                  </w:tcBorders>
                  <w:shd w:val="clear" w:color="auto" w:fill="auto"/>
                  <w:noWrap/>
                  <w:vAlign w:val="center"/>
                  <w:hideMark/>
                </w:tcPr>
                <w:p w14:paraId="1A21604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7" w:type="dxa"/>
                  <w:tcBorders>
                    <w:top w:val="nil"/>
                    <w:left w:val="nil"/>
                    <w:bottom w:val="single" w:sz="4" w:space="0" w:color="auto"/>
                    <w:right w:val="single" w:sz="4" w:space="0" w:color="auto"/>
                  </w:tcBorders>
                  <w:shd w:val="clear" w:color="auto" w:fill="auto"/>
                  <w:noWrap/>
                  <w:vAlign w:val="center"/>
                  <w:hideMark/>
                </w:tcPr>
                <w:p w14:paraId="0D76B81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91,04</w:t>
                  </w:r>
                </w:p>
              </w:tc>
              <w:tc>
                <w:tcPr>
                  <w:tcW w:w="1127" w:type="dxa"/>
                  <w:tcBorders>
                    <w:top w:val="nil"/>
                    <w:left w:val="nil"/>
                    <w:bottom w:val="single" w:sz="4" w:space="0" w:color="auto"/>
                    <w:right w:val="single" w:sz="4" w:space="0" w:color="auto"/>
                  </w:tcBorders>
                  <w:shd w:val="clear" w:color="auto" w:fill="auto"/>
                  <w:noWrap/>
                  <w:vAlign w:val="center"/>
                  <w:hideMark/>
                </w:tcPr>
                <w:p w14:paraId="1E821F3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31,04</w:t>
                  </w:r>
                </w:p>
              </w:tc>
            </w:tr>
            <w:tr w:rsidR="00F56356" w:rsidRPr="00F56356" w14:paraId="0046F9C7" w14:textId="77777777" w:rsidTr="00F56356">
              <w:trPr>
                <w:trHeight w:val="24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29AE8FD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911</w:t>
                  </w:r>
                </w:p>
              </w:tc>
              <w:tc>
                <w:tcPr>
                  <w:tcW w:w="1612" w:type="dxa"/>
                  <w:tcBorders>
                    <w:top w:val="nil"/>
                    <w:left w:val="nil"/>
                    <w:bottom w:val="single" w:sz="4" w:space="0" w:color="auto"/>
                    <w:right w:val="single" w:sz="4" w:space="0" w:color="auto"/>
                  </w:tcBorders>
                  <w:shd w:val="clear" w:color="auto" w:fill="auto"/>
                  <w:noWrap/>
                  <w:vAlign w:val="center"/>
                  <w:hideMark/>
                </w:tcPr>
                <w:p w14:paraId="28D187D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37.890,00</w:t>
                  </w:r>
                </w:p>
              </w:tc>
              <w:tc>
                <w:tcPr>
                  <w:tcW w:w="1516" w:type="dxa"/>
                  <w:tcBorders>
                    <w:top w:val="nil"/>
                    <w:left w:val="nil"/>
                    <w:bottom w:val="single" w:sz="4" w:space="0" w:color="auto"/>
                    <w:right w:val="single" w:sz="4" w:space="0" w:color="auto"/>
                  </w:tcBorders>
                  <w:shd w:val="clear" w:color="auto" w:fill="auto"/>
                  <w:noWrap/>
                  <w:vAlign w:val="center"/>
                  <w:hideMark/>
                </w:tcPr>
                <w:p w14:paraId="0955532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3" w:type="dxa"/>
                  <w:tcBorders>
                    <w:top w:val="nil"/>
                    <w:left w:val="nil"/>
                    <w:bottom w:val="single" w:sz="4" w:space="0" w:color="auto"/>
                    <w:right w:val="single" w:sz="4" w:space="0" w:color="auto"/>
                  </w:tcBorders>
                  <w:shd w:val="clear" w:color="auto" w:fill="auto"/>
                  <w:noWrap/>
                  <w:vAlign w:val="center"/>
                  <w:hideMark/>
                </w:tcPr>
                <w:p w14:paraId="2963F40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7" w:type="dxa"/>
                  <w:tcBorders>
                    <w:top w:val="nil"/>
                    <w:left w:val="nil"/>
                    <w:bottom w:val="single" w:sz="4" w:space="0" w:color="auto"/>
                    <w:right w:val="single" w:sz="4" w:space="0" w:color="auto"/>
                  </w:tcBorders>
                  <w:shd w:val="clear" w:color="auto" w:fill="auto"/>
                  <w:noWrap/>
                  <w:vAlign w:val="center"/>
                  <w:hideMark/>
                </w:tcPr>
                <w:p w14:paraId="7A9534C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7" w:type="dxa"/>
                  <w:tcBorders>
                    <w:top w:val="nil"/>
                    <w:left w:val="nil"/>
                    <w:bottom w:val="single" w:sz="4" w:space="0" w:color="auto"/>
                    <w:right w:val="single" w:sz="4" w:space="0" w:color="auto"/>
                  </w:tcBorders>
                  <w:shd w:val="clear" w:color="auto" w:fill="auto"/>
                  <w:noWrap/>
                  <w:vAlign w:val="center"/>
                  <w:hideMark/>
                </w:tcPr>
                <w:p w14:paraId="4916870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76BC66AD" w14:textId="77777777" w:rsidTr="00F56356">
              <w:trPr>
                <w:trHeight w:val="240"/>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3DE8FFC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989</w:t>
                  </w:r>
                </w:p>
              </w:tc>
              <w:tc>
                <w:tcPr>
                  <w:tcW w:w="1612" w:type="dxa"/>
                  <w:tcBorders>
                    <w:top w:val="nil"/>
                    <w:left w:val="nil"/>
                    <w:bottom w:val="single" w:sz="4" w:space="0" w:color="auto"/>
                    <w:right w:val="single" w:sz="4" w:space="0" w:color="auto"/>
                  </w:tcBorders>
                  <w:shd w:val="clear" w:color="auto" w:fill="auto"/>
                  <w:noWrap/>
                  <w:vAlign w:val="center"/>
                  <w:hideMark/>
                </w:tcPr>
                <w:p w14:paraId="2EA9C09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586.386,07</w:t>
                  </w:r>
                </w:p>
              </w:tc>
              <w:tc>
                <w:tcPr>
                  <w:tcW w:w="1516" w:type="dxa"/>
                  <w:tcBorders>
                    <w:top w:val="nil"/>
                    <w:left w:val="nil"/>
                    <w:bottom w:val="single" w:sz="4" w:space="0" w:color="auto"/>
                    <w:right w:val="single" w:sz="4" w:space="0" w:color="auto"/>
                  </w:tcBorders>
                  <w:shd w:val="clear" w:color="auto" w:fill="auto"/>
                  <w:noWrap/>
                  <w:vAlign w:val="center"/>
                  <w:hideMark/>
                </w:tcPr>
                <w:p w14:paraId="414DA79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494.814,95</w:t>
                  </w:r>
                </w:p>
              </w:tc>
              <w:tc>
                <w:tcPr>
                  <w:tcW w:w="963" w:type="dxa"/>
                  <w:tcBorders>
                    <w:top w:val="nil"/>
                    <w:left w:val="nil"/>
                    <w:bottom w:val="single" w:sz="4" w:space="0" w:color="auto"/>
                    <w:right w:val="single" w:sz="4" w:space="0" w:color="auto"/>
                  </w:tcBorders>
                  <w:shd w:val="clear" w:color="auto" w:fill="auto"/>
                  <w:noWrap/>
                  <w:vAlign w:val="center"/>
                  <w:hideMark/>
                </w:tcPr>
                <w:p w14:paraId="5B23EE3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7" w:type="dxa"/>
                  <w:tcBorders>
                    <w:top w:val="nil"/>
                    <w:left w:val="nil"/>
                    <w:bottom w:val="single" w:sz="4" w:space="0" w:color="auto"/>
                    <w:right w:val="single" w:sz="4" w:space="0" w:color="auto"/>
                  </w:tcBorders>
                  <w:shd w:val="clear" w:color="auto" w:fill="auto"/>
                  <w:noWrap/>
                  <w:vAlign w:val="center"/>
                  <w:hideMark/>
                </w:tcPr>
                <w:p w14:paraId="0C76154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15,62</w:t>
                  </w:r>
                </w:p>
              </w:tc>
              <w:tc>
                <w:tcPr>
                  <w:tcW w:w="1127" w:type="dxa"/>
                  <w:tcBorders>
                    <w:top w:val="nil"/>
                    <w:left w:val="nil"/>
                    <w:bottom w:val="single" w:sz="4" w:space="0" w:color="auto"/>
                    <w:right w:val="single" w:sz="4" w:space="0" w:color="auto"/>
                  </w:tcBorders>
                  <w:shd w:val="clear" w:color="auto" w:fill="auto"/>
                  <w:noWrap/>
                  <w:vAlign w:val="center"/>
                  <w:hideMark/>
                </w:tcPr>
                <w:p w14:paraId="291A730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-44,38</w:t>
                  </w:r>
                </w:p>
              </w:tc>
            </w:tr>
            <w:tr w:rsidR="00F56356" w:rsidRPr="00F56356" w14:paraId="47AA5E30" w14:textId="77777777" w:rsidTr="00F56356">
              <w:trPr>
                <w:trHeight w:val="315"/>
                <w:jc w:val="center"/>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14:paraId="34BBFA7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12" w:type="dxa"/>
                  <w:tcBorders>
                    <w:top w:val="nil"/>
                    <w:left w:val="nil"/>
                    <w:bottom w:val="single" w:sz="4" w:space="0" w:color="auto"/>
                    <w:right w:val="single" w:sz="4" w:space="0" w:color="auto"/>
                  </w:tcBorders>
                  <w:shd w:val="clear" w:color="auto" w:fill="auto"/>
                  <w:noWrap/>
                  <w:vAlign w:val="center"/>
                  <w:hideMark/>
                </w:tcPr>
                <w:p w14:paraId="2A83F48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5.966.673,00</w:t>
                  </w:r>
                </w:p>
              </w:tc>
              <w:tc>
                <w:tcPr>
                  <w:tcW w:w="1516" w:type="dxa"/>
                  <w:tcBorders>
                    <w:top w:val="nil"/>
                    <w:left w:val="nil"/>
                    <w:bottom w:val="single" w:sz="4" w:space="0" w:color="auto"/>
                    <w:right w:val="single" w:sz="4" w:space="0" w:color="auto"/>
                  </w:tcBorders>
                  <w:shd w:val="clear" w:color="auto" w:fill="auto"/>
                  <w:noWrap/>
                  <w:vAlign w:val="center"/>
                  <w:hideMark/>
                </w:tcPr>
                <w:p w14:paraId="2347D3D4"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4.305.505,51</w:t>
                  </w:r>
                </w:p>
              </w:tc>
              <w:tc>
                <w:tcPr>
                  <w:tcW w:w="963" w:type="dxa"/>
                  <w:tcBorders>
                    <w:top w:val="nil"/>
                    <w:left w:val="nil"/>
                    <w:bottom w:val="nil"/>
                    <w:right w:val="nil"/>
                  </w:tcBorders>
                  <w:shd w:val="clear" w:color="auto" w:fill="auto"/>
                  <w:noWrap/>
                  <w:vAlign w:val="center"/>
                  <w:hideMark/>
                </w:tcPr>
                <w:p w14:paraId="1596332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77" w:type="dxa"/>
                  <w:tcBorders>
                    <w:top w:val="nil"/>
                    <w:left w:val="nil"/>
                    <w:bottom w:val="nil"/>
                    <w:right w:val="nil"/>
                  </w:tcBorders>
                  <w:shd w:val="clear" w:color="auto" w:fill="auto"/>
                  <w:noWrap/>
                  <w:vAlign w:val="center"/>
                  <w:hideMark/>
                </w:tcPr>
                <w:p w14:paraId="3E34149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27" w:type="dxa"/>
                  <w:tcBorders>
                    <w:top w:val="nil"/>
                    <w:left w:val="nil"/>
                    <w:bottom w:val="nil"/>
                    <w:right w:val="nil"/>
                  </w:tcBorders>
                  <w:shd w:val="clear" w:color="auto" w:fill="auto"/>
                  <w:noWrap/>
                  <w:vAlign w:val="center"/>
                  <w:hideMark/>
                </w:tcPr>
                <w:p w14:paraId="6F05AC28"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640887FA" w14:textId="77777777" w:rsidR="00F506D7" w:rsidRDefault="00F506D7" w:rsidP="00F56356">
            <w:pPr>
              <w:spacing w:after="0" w:line="360" w:lineRule="auto"/>
              <w:ind w:left="284"/>
              <w:jc w:val="both"/>
              <w:rPr>
                <w:rFonts w:ascii="Times New Roman" w:eastAsiaTheme="minorEastAsia" w:hAnsi="Times New Roman" w:cs="Times New Roman"/>
                <w:b/>
                <w:sz w:val="24"/>
                <w:szCs w:val="24"/>
                <w:lang w:eastAsia="it-IT"/>
              </w:rPr>
            </w:pPr>
          </w:p>
          <w:p w14:paraId="6DEC2164" w14:textId="1FFA652F"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lastRenderedPageBreak/>
              <w:t>2.2</w:t>
            </w:r>
            <w:r w:rsidRPr="00F56356">
              <w:rPr>
                <w:rFonts w:ascii="Times New Roman" w:eastAsiaTheme="minorEastAsia" w:hAnsi="Times New Roman" w:cs="Times New Roman"/>
                <w:sz w:val="24"/>
                <w:szCs w:val="24"/>
                <w:lang w:eastAsia="it-IT"/>
              </w:rPr>
              <w:t xml:space="preserve"> Le risorse impegnate di euro 45.823.498,57 sono state destinate per euro 35.744.739,60 al funzionamento, per euro 629.019,64 agli interventi e per euro 9.449.739,33 alle spese in conto capitale.</w:t>
            </w:r>
          </w:p>
          <w:p w14:paraId="16C9DDE2" w14:textId="36555BBC" w:rsidR="00F56356" w:rsidRDefault="00F56356" w:rsidP="00F56356">
            <w:pPr>
              <w:spacing w:after="0" w:line="360" w:lineRule="auto"/>
              <w:ind w:left="284"/>
              <w:jc w:val="both"/>
              <w:rPr>
                <w:rFonts w:ascii="Times New Roman" w:eastAsiaTheme="minorEastAsia" w:hAnsi="Times New Roman" w:cs="Times New Roman"/>
                <w:sz w:val="24"/>
                <w:szCs w:val="24"/>
                <w:lang w:eastAsia="it-IT"/>
              </w:rPr>
            </w:pPr>
          </w:p>
          <w:p w14:paraId="03AD13F1" w14:textId="77777777" w:rsidR="00F506D7" w:rsidRPr="00F56356" w:rsidRDefault="00F506D7" w:rsidP="00F56356">
            <w:pPr>
              <w:spacing w:after="0" w:line="360" w:lineRule="auto"/>
              <w:ind w:left="284"/>
              <w:jc w:val="both"/>
              <w:rPr>
                <w:rFonts w:ascii="Times New Roman" w:eastAsiaTheme="minorEastAsia" w:hAnsi="Times New Roman" w:cs="Times New Roman"/>
                <w:sz w:val="24"/>
                <w:szCs w:val="24"/>
                <w:lang w:eastAsia="it-IT"/>
              </w:rPr>
            </w:pPr>
          </w:p>
          <w:p w14:paraId="5951F7F3"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2.2.1</w:t>
            </w:r>
            <w:r w:rsidRPr="00F56356">
              <w:rPr>
                <w:rFonts w:ascii="Times New Roman" w:eastAsia="Times New Roman" w:hAnsi="Times New Roman" w:cs="Times New Roman"/>
                <w:sz w:val="24"/>
                <w:szCs w:val="24"/>
                <w:lang w:eastAsia="it-IT"/>
              </w:rPr>
              <w:t xml:space="preserve"> Le risorse impegnate per il funzionamento pari a euro 35.744.739,60, di cui euro 8.339,05 riferiti a reiscrizioni di residui passivi perenti, sono state destinate:</w:t>
            </w:r>
          </w:p>
          <w:p w14:paraId="38A1FEBE"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32.577,44 all’acquisto di quotidiani e periodici per le esigenze dell’Ufficio stampa e del portavoce del Presidente del Consiglio dei ministri (cap. 128);</w:t>
            </w:r>
          </w:p>
          <w:p w14:paraId="39B69438"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983.904,16, di cui euro 6.094,65 riferiti a reiscrizioni di residui passivi perenti, all’attività contrattualistica amministrativo-contabile posta in essere per l’acquisto di beni e servizi strumentali al funzionamento degli Uffici e alle esigenze istituzionali e di decoro delle Autorità politiche presenti presso le sedi della Presidenza del Consiglio dei ministri (cap. 187);</w:t>
            </w:r>
          </w:p>
          <w:p w14:paraId="2C60EFFA"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167.500,99 a interventi relativi alla sicurezza dei luoghi di lavoro (cap. 188);</w:t>
            </w:r>
          </w:p>
          <w:p w14:paraId="1DE3162D"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124.165,63 alle forniture e lavori tipografici e stampati speciali (cap. 190);</w:t>
            </w:r>
          </w:p>
          <w:p w14:paraId="2BD67359"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5.280.421,00</w:t>
            </w:r>
            <w:r w:rsidRPr="00F56356">
              <w:rPr>
                <w:rFonts w:ascii="Times New Roman" w:eastAsia="Times New Roman" w:hAnsi="Times New Roman" w:cs="Times New Roman"/>
                <w:bCs/>
                <w:color w:val="FF0000"/>
                <w:sz w:val="24"/>
                <w:szCs w:val="24"/>
                <w:lang w:eastAsia="it-IT"/>
              </w:rPr>
              <w:t xml:space="preserve"> </w:t>
            </w:r>
            <w:r w:rsidRPr="00F56356">
              <w:rPr>
                <w:rFonts w:ascii="Times New Roman" w:eastAsia="Times New Roman" w:hAnsi="Times New Roman" w:cs="Times New Roman"/>
                <w:bCs/>
                <w:color w:val="000000" w:themeColor="text1"/>
                <w:sz w:val="24"/>
                <w:szCs w:val="24"/>
                <w:lang w:eastAsia="it-IT"/>
              </w:rPr>
              <w:t>a interventi di manutenzione ordinaria edile, impiantistica e dei giardini (cap. 191);</w:t>
            </w:r>
          </w:p>
          <w:p w14:paraId="5D13DD3F"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118.106,34 al noleggio ed esercizio delle autovetture di servizio per assicurare le finalità istituzionali (cap.192);</w:t>
            </w:r>
          </w:p>
          <w:p w14:paraId="5E1B9167"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27.865,92 alle spese postali e telegrafiche (cap. 193);</w:t>
            </w:r>
          </w:p>
          <w:p w14:paraId="62A5FC40"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85.868,39 ai consumi e alla manutenzione delle autovetture di servizio per il servizio di tutela e per assicurare le finalità istituzionali (cap. 194);</w:t>
            </w:r>
          </w:p>
          <w:p w14:paraId="14CB094E"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euro 7.892.548,73 agli oneri di locazione ed oneri accessori degli immobili in uso alla Presidenza del Consiglio dei ministri (cap. 195);  </w:t>
            </w:r>
          </w:p>
          <w:p w14:paraId="4C30B7F2"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6.987.421,41 alle spese per utenze di acqua, energia elettrica, gas, per il canone RAI e ai tributi dovuti per legge (cap. 198);</w:t>
            </w:r>
          </w:p>
          <w:p w14:paraId="040DAB1D"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4.105.908,98 alle spese per pulizie e igiene ambientale (disinfestazione, derattizzazione e smaltimento rifiuti speciali) (cap. 199);</w:t>
            </w:r>
          </w:p>
          <w:p w14:paraId="1B6A361A"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122.754,06 al servizio di manutenzione delle piante da interno (cap. 200);</w:t>
            </w:r>
          </w:p>
          <w:p w14:paraId="54AA509F"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1.001.997,83 al servizio di facchinaggio interno agli immobili e all’esterno, compresi i trasporti (cap. 201);</w:t>
            </w:r>
          </w:p>
          <w:p w14:paraId="24E3C10D"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131.633,53 al servizio di anagrafica delle postazioni di lavoro e arredi (cap. 207);</w:t>
            </w:r>
          </w:p>
          <w:p w14:paraId="5071C8AB"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7.689.271,79 alla manutenzione e gestione degli apparati tecnologici delle reti informatiche e di telecomunicazione (cap. 213);</w:t>
            </w:r>
          </w:p>
          <w:p w14:paraId="382C23C2"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lastRenderedPageBreak/>
              <w:t>- euro 512.015,99, di cui euro 2.244,40 riferiti a reiscrizioni di residui passivi perenti, ai canoni per telefonia fissa e mobile, satellitare e di telecomunicazione (cap. 219);</w:t>
            </w:r>
          </w:p>
          <w:p w14:paraId="1064A8F0"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10.128,00 per premi assicurativi ed oneri di mobilità (cap. 221);</w:t>
            </w:r>
          </w:p>
          <w:p w14:paraId="00B1C267" w14:textId="77777777" w:rsidR="00F56356" w:rsidRPr="00F56356" w:rsidRDefault="00F56356" w:rsidP="00F56356">
            <w:pPr>
              <w:tabs>
                <w:tab w:val="left" w:pos="2093"/>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euro 470.649,41 a interventi di manutenzione ordinaria dell’immobile di Largo Pietro </w:t>
            </w:r>
            <w:proofErr w:type="spellStart"/>
            <w:r w:rsidRPr="00F56356">
              <w:rPr>
                <w:rFonts w:ascii="Times New Roman" w:eastAsia="Times New Roman" w:hAnsi="Times New Roman" w:cs="Times New Roman"/>
                <w:bCs/>
                <w:color w:val="000000" w:themeColor="text1"/>
                <w:sz w:val="24"/>
                <w:szCs w:val="24"/>
                <w:lang w:eastAsia="it-IT"/>
              </w:rPr>
              <w:t>Brazzà</w:t>
            </w:r>
            <w:proofErr w:type="spellEnd"/>
            <w:r w:rsidRPr="00F56356">
              <w:rPr>
                <w:rFonts w:ascii="Times New Roman" w:eastAsia="Times New Roman" w:hAnsi="Times New Roman" w:cs="Times New Roman"/>
                <w:bCs/>
                <w:color w:val="000000" w:themeColor="text1"/>
                <w:sz w:val="24"/>
                <w:szCs w:val="24"/>
                <w:lang w:eastAsia="it-IT"/>
              </w:rPr>
              <w:t>, 86 (cap. 239).</w:t>
            </w:r>
          </w:p>
          <w:p w14:paraId="3E7B9A46" w14:textId="77777777" w:rsidR="00F56356" w:rsidRPr="00F56356" w:rsidRDefault="00F56356" w:rsidP="00F56356">
            <w:pPr>
              <w:autoSpaceDE w:val="0"/>
              <w:autoSpaceDN w:val="0"/>
              <w:adjustRightInd w:val="0"/>
              <w:spacing w:after="0" w:line="240" w:lineRule="auto"/>
              <w:ind w:righ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Indicatori di bilancio</w:t>
            </w:r>
          </w:p>
          <w:p w14:paraId="26DA3365" w14:textId="77777777" w:rsidR="00F56356" w:rsidRPr="00F56356" w:rsidRDefault="00F56356" w:rsidP="00F56356">
            <w:pPr>
              <w:spacing w:after="0" w:line="360" w:lineRule="auto"/>
              <w:jc w:val="both"/>
              <w:rPr>
                <w:rFonts w:eastAsiaTheme="minorEastAsia" w:cs="Times New Roman"/>
                <w:lang w:eastAsia="it-IT"/>
              </w:rPr>
            </w:pPr>
            <w:r w:rsidRPr="00F56356">
              <w:rPr>
                <w:rFonts w:eastAsiaTheme="minorEastAsia" w:cs="Times New Roman"/>
                <w:noProof/>
                <w:lang w:eastAsia="it-IT"/>
              </w:rPr>
              <w:drawing>
                <wp:anchor distT="0" distB="0" distL="114300" distR="114300" simplePos="0" relativeHeight="251672576" behindDoc="1" locked="0" layoutInCell="1" allowOverlap="1" wp14:anchorId="6EC1168D" wp14:editId="008B20A1">
                  <wp:simplePos x="0" y="0"/>
                  <wp:positionH relativeFrom="column">
                    <wp:posOffset>232410</wp:posOffset>
                  </wp:positionH>
                  <wp:positionV relativeFrom="paragraph">
                    <wp:posOffset>260350</wp:posOffset>
                  </wp:positionV>
                  <wp:extent cx="5890895" cy="3803015"/>
                  <wp:effectExtent l="0" t="0" r="0" b="6985"/>
                  <wp:wrapTight wrapText="bothSides">
                    <wp:wrapPolygon edited="0">
                      <wp:start x="0" y="0"/>
                      <wp:lineTo x="0" y="21531"/>
                      <wp:lineTo x="11665" y="21531"/>
                      <wp:lineTo x="11665" y="20774"/>
                      <wp:lineTo x="21514" y="20449"/>
                      <wp:lineTo x="21514" y="19584"/>
                      <wp:lineTo x="20885" y="19043"/>
                      <wp:lineTo x="21514" y="18827"/>
                      <wp:lineTo x="21514" y="3030"/>
                      <wp:lineTo x="21165" y="1731"/>
                      <wp:lineTo x="21444" y="1731"/>
                      <wp:lineTo x="21514" y="1298"/>
                      <wp:lineTo x="21514" y="0"/>
                      <wp:lineTo x="0" y="0"/>
                    </wp:wrapPolygon>
                  </wp:wrapTight>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90895" cy="3803015"/>
                          </a:xfrm>
                          <a:prstGeom prst="rect">
                            <a:avLst/>
                          </a:prstGeom>
                          <a:noFill/>
                          <a:ln>
                            <a:noFill/>
                          </a:ln>
                        </pic:spPr>
                      </pic:pic>
                    </a:graphicData>
                  </a:graphic>
                  <wp14:sizeRelH relativeFrom="margin">
                    <wp14:pctWidth>0</wp14:pctWidth>
                  </wp14:sizeRelH>
                </wp:anchor>
              </w:drawing>
            </w:r>
          </w:p>
          <w:p w14:paraId="1BF25EF8" w14:textId="77777777" w:rsidR="00F56356" w:rsidRPr="00F56356" w:rsidRDefault="00F56356" w:rsidP="00F56356">
            <w:pPr>
              <w:spacing w:after="0" w:line="360" w:lineRule="auto"/>
              <w:jc w:val="both"/>
              <w:rPr>
                <w:rFonts w:eastAsiaTheme="minorEastAsia" w:cs="Times New Roman"/>
                <w:lang w:eastAsia="it-IT"/>
              </w:rPr>
            </w:pPr>
          </w:p>
          <w:p w14:paraId="3C320931"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p>
          <w:p w14:paraId="66976002"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2.2.2 </w:t>
            </w:r>
            <w:r w:rsidRPr="00F56356">
              <w:rPr>
                <w:rFonts w:ascii="Times New Roman" w:eastAsiaTheme="minorEastAsia" w:hAnsi="Times New Roman" w:cs="Times New Roman"/>
                <w:sz w:val="24"/>
                <w:szCs w:val="24"/>
                <w:lang w:eastAsia="it-IT"/>
              </w:rPr>
              <w:t xml:space="preserve">Le risorse impegnate per gli interventi di euro 629.019,64 sono state destinate: </w:t>
            </w:r>
          </w:p>
          <w:p w14:paraId="584B2A4E"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a) </w:t>
            </w:r>
            <w:r w:rsidRPr="00F56356">
              <w:rPr>
                <w:rFonts w:ascii="Times New Roman" w:eastAsiaTheme="minorEastAsia" w:hAnsi="Times New Roman" w:cs="Times New Roman"/>
                <w:i/>
                <w:sz w:val="24"/>
                <w:szCs w:val="24"/>
                <w:lang w:eastAsia="it-IT"/>
              </w:rPr>
              <w:t>“Copertura assicurativa integrativa per il personale ex art.99 CCNL</w:t>
            </w:r>
            <w:r w:rsidRPr="00F56356">
              <w:rPr>
                <w:rFonts w:ascii="Times New Roman" w:eastAsiaTheme="minorEastAsia" w:hAnsi="Times New Roman" w:cs="Times New Roman"/>
                <w:sz w:val="24"/>
                <w:szCs w:val="24"/>
                <w:lang w:eastAsia="it-IT"/>
              </w:rPr>
              <w:t>” (cap. 171)</w:t>
            </w:r>
          </w:p>
          <w:p w14:paraId="56A2DCA8"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 euro 629.019,64 all’acquisizione del servizio di copertura assicurativa integrativa per il personale ex art. 99 CCNL. </w:t>
            </w:r>
          </w:p>
          <w:p w14:paraId="40F80F91"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eastAsiaTheme="minorEastAsia" w:cs="Times New Roman"/>
                <w:noProof/>
                <w:lang w:eastAsia="it-IT"/>
              </w:rPr>
              <w:drawing>
                <wp:anchor distT="0" distB="0" distL="114300" distR="114300" simplePos="0" relativeHeight="251673600" behindDoc="1" locked="0" layoutInCell="1" allowOverlap="1" wp14:anchorId="746F6846" wp14:editId="71003093">
                  <wp:simplePos x="0" y="0"/>
                  <wp:positionH relativeFrom="margin">
                    <wp:align>right</wp:align>
                  </wp:positionH>
                  <wp:positionV relativeFrom="paragraph">
                    <wp:posOffset>263525</wp:posOffset>
                  </wp:positionV>
                  <wp:extent cx="5924550" cy="1144270"/>
                  <wp:effectExtent l="0" t="0" r="0" b="0"/>
                  <wp:wrapTight wrapText="bothSides">
                    <wp:wrapPolygon edited="0">
                      <wp:start x="0" y="0"/>
                      <wp:lineTo x="0" y="21216"/>
                      <wp:lineTo x="11668" y="21216"/>
                      <wp:lineTo x="21531" y="17980"/>
                      <wp:lineTo x="21531" y="0"/>
                      <wp:lineTo x="0" y="0"/>
                    </wp:wrapPolygon>
                  </wp:wrapTight>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24550" cy="1144270"/>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sz w:val="24"/>
                <w:szCs w:val="24"/>
                <w:lang w:eastAsia="it-IT"/>
              </w:rPr>
              <w:t xml:space="preserve">                                                           Indicatori di bilancio</w:t>
            </w:r>
          </w:p>
          <w:p w14:paraId="077A1528"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p>
          <w:p w14:paraId="718A4D16"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p>
          <w:p w14:paraId="61BC2F9D"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lastRenderedPageBreak/>
              <w:t>2.2.3</w:t>
            </w:r>
            <w:r w:rsidRPr="00F56356">
              <w:rPr>
                <w:rFonts w:ascii="Times New Roman" w:eastAsiaTheme="minorEastAsia" w:hAnsi="Times New Roman" w:cs="Times New Roman"/>
                <w:sz w:val="24"/>
                <w:szCs w:val="24"/>
                <w:lang w:eastAsia="it-IT"/>
              </w:rPr>
              <w:t xml:space="preserve"> Le risorse impegnate per le spese in conto capitale pari a euro 9.449.739,33, di cui euro 79.572,96 riferiti a reiscrizioni di residui passivi perenti, sono state destinate:</w:t>
            </w:r>
          </w:p>
          <w:p w14:paraId="0B7B8629" w14:textId="77777777" w:rsidR="00F56356" w:rsidRPr="00F56356" w:rsidRDefault="00F56356" w:rsidP="00F56356">
            <w:pPr>
              <w:spacing w:after="0" w:line="360" w:lineRule="auto"/>
              <w:ind w:left="284"/>
              <w:jc w:val="both"/>
              <w:rPr>
                <w:rFonts w:ascii="Times New Roman" w:eastAsiaTheme="minorEastAsia" w:hAnsi="Times New Roman" w:cs="Times New Roman"/>
                <w:i/>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a) “</w:t>
            </w:r>
            <w:r w:rsidRPr="00F56356">
              <w:rPr>
                <w:rFonts w:ascii="Times New Roman" w:eastAsiaTheme="minorEastAsia" w:hAnsi="Times New Roman" w:cs="Times New Roman"/>
                <w:i/>
                <w:color w:val="000000" w:themeColor="text1"/>
                <w:sz w:val="24"/>
                <w:szCs w:val="24"/>
                <w:lang w:eastAsia="it-IT"/>
              </w:rPr>
              <w:t>Acquisto di arredi di ufficio, di rappresentanza, di apparecchiature nonché restauro arredi</w:t>
            </w:r>
            <w:r w:rsidRPr="00F56356">
              <w:rPr>
                <w:rFonts w:ascii="Times New Roman" w:eastAsiaTheme="minorEastAsia" w:hAnsi="Times New Roman" w:cs="Times New Roman"/>
                <w:color w:val="000000" w:themeColor="text1"/>
                <w:sz w:val="24"/>
                <w:szCs w:val="24"/>
                <w:lang w:eastAsia="it-IT"/>
              </w:rPr>
              <w:t xml:space="preserve">” (cap. 902) </w:t>
            </w:r>
          </w:p>
          <w:p w14:paraId="1CD68A7E"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134.565,67 all’acquisto di postazioni di lavoro, di complementi di arredo, di apparecchiature per ufficio, di </w:t>
            </w:r>
            <w:proofErr w:type="spellStart"/>
            <w:r w:rsidRPr="00F56356">
              <w:rPr>
                <w:rFonts w:ascii="Times New Roman" w:eastAsiaTheme="minorEastAsia" w:hAnsi="Times New Roman" w:cs="Times New Roman"/>
                <w:i/>
                <w:color w:val="000000" w:themeColor="text1"/>
                <w:sz w:val="24"/>
                <w:szCs w:val="24"/>
                <w:lang w:eastAsia="it-IT"/>
              </w:rPr>
              <w:t>termoscanner</w:t>
            </w:r>
            <w:proofErr w:type="spellEnd"/>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ed elementi accessori, nonché per i servizi di adeguamento della Sala Polifunzionale; </w:t>
            </w:r>
          </w:p>
          <w:p w14:paraId="6D8BD511" w14:textId="77777777" w:rsidR="00F56356" w:rsidRPr="00F56356" w:rsidRDefault="00F56356" w:rsidP="00F56356">
            <w:pPr>
              <w:spacing w:after="0" w:line="360" w:lineRule="auto"/>
              <w:ind w:left="284"/>
              <w:jc w:val="both"/>
              <w:rPr>
                <w:rFonts w:ascii="Times New Roman" w:eastAsiaTheme="minorEastAsia" w:hAnsi="Times New Roman" w:cs="Times New Roman"/>
                <w:i/>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b) “</w:t>
            </w:r>
            <w:r w:rsidRPr="00F56356">
              <w:rPr>
                <w:rFonts w:ascii="Times New Roman" w:eastAsiaTheme="minorEastAsia" w:hAnsi="Times New Roman" w:cs="Times New Roman"/>
                <w:i/>
                <w:color w:val="000000" w:themeColor="text1"/>
                <w:sz w:val="24"/>
                <w:szCs w:val="24"/>
                <w:lang w:eastAsia="it-IT"/>
              </w:rPr>
              <w:t>Spese di manutenzione straordinaria degli immobili”</w:t>
            </w:r>
            <w:r w:rsidRPr="00F56356">
              <w:rPr>
                <w:rFonts w:ascii="Times New Roman" w:eastAsiaTheme="minorEastAsia" w:hAnsi="Times New Roman" w:cs="Times New Roman"/>
                <w:color w:val="000000" w:themeColor="text1"/>
                <w:sz w:val="24"/>
                <w:szCs w:val="24"/>
                <w:lang w:eastAsia="it-IT"/>
              </w:rPr>
              <w:t xml:space="preserve"> (cap. 905)</w:t>
            </w:r>
          </w:p>
          <w:p w14:paraId="2879F074" w14:textId="77777777" w:rsidR="00F56356" w:rsidRPr="00F56356" w:rsidRDefault="00F56356" w:rsidP="00F56356">
            <w:pPr>
              <w:spacing w:after="0" w:line="360" w:lineRule="auto"/>
              <w:ind w:left="284"/>
              <w:jc w:val="both"/>
              <w:rPr>
                <w:rFonts w:ascii="Times New Roman" w:eastAsiaTheme="minorEastAsia" w:hAnsi="Times New Roman" w:cs="Times New Roman"/>
                <w:i/>
                <w:color w:val="FF0000"/>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4.361.851,08 a investimenti realizzati su immobili demaniali in uso alla Presidenza del Consiglio dei ministri che coprono prevalentemente il pagamento di lavori eseguiti dal Ministero delle infrastrutture e della mobilità sostenibili, in misura inferiore gli interventi realizzati per attività extra canone del </w:t>
            </w:r>
            <w:r w:rsidRPr="00F56356">
              <w:rPr>
                <w:rFonts w:ascii="Times New Roman" w:eastAsiaTheme="minorEastAsia" w:hAnsi="Times New Roman" w:cs="Times New Roman"/>
                <w:i/>
                <w:color w:val="000000" w:themeColor="text1"/>
                <w:sz w:val="24"/>
                <w:szCs w:val="24"/>
                <w:lang w:eastAsia="it-IT"/>
              </w:rPr>
              <w:t>facility management</w:t>
            </w:r>
            <w:r w:rsidRPr="00F56356">
              <w:rPr>
                <w:rFonts w:ascii="Times New Roman" w:eastAsiaTheme="minorEastAsia" w:hAnsi="Times New Roman" w:cs="Times New Roman"/>
                <w:color w:val="000000" w:themeColor="text1"/>
                <w:sz w:val="24"/>
                <w:szCs w:val="24"/>
                <w:lang w:eastAsia="it-IT"/>
              </w:rPr>
              <w:t xml:space="preserve"> e, in misura residuale, per attività </w:t>
            </w:r>
            <w:r w:rsidRPr="00F56356">
              <w:rPr>
                <w:rFonts w:ascii="Times New Roman" w:eastAsiaTheme="minorEastAsia" w:hAnsi="Times New Roman" w:cs="Times New Roman"/>
                <w:i/>
                <w:color w:val="000000" w:themeColor="text1"/>
                <w:sz w:val="24"/>
                <w:szCs w:val="24"/>
                <w:lang w:eastAsia="it-IT"/>
              </w:rPr>
              <w:t>extra facility management;</w:t>
            </w:r>
            <w:r w:rsidRPr="00F56356">
              <w:rPr>
                <w:rFonts w:ascii="Times New Roman" w:eastAsiaTheme="minorEastAsia" w:hAnsi="Times New Roman" w:cs="Times New Roman"/>
                <w:i/>
                <w:color w:val="FF0000"/>
                <w:sz w:val="24"/>
                <w:szCs w:val="24"/>
                <w:lang w:eastAsia="it-IT"/>
              </w:rPr>
              <w:t xml:space="preserve"> </w:t>
            </w:r>
          </w:p>
          <w:p w14:paraId="690A4E9B"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c) </w:t>
            </w:r>
            <w:bookmarkStart w:id="36" w:name="_Hlk132900820"/>
            <w:r w:rsidRPr="00F56356">
              <w:rPr>
                <w:rFonts w:ascii="Times New Roman" w:eastAsiaTheme="minorEastAsia" w:hAnsi="Times New Roman" w:cs="Times New Roman"/>
                <w:color w:val="000000" w:themeColor="text1"/>
                <w:sz w:val="24"/>
                <w:szCs w:val="24"/>
                <w:lang w:eastAsia="it-IT"/>
              </w:rPr>
              <w:t>“</w:t>
            </w:r>
            <w:r w:rsidRPr="00F56356">
              <w:rPr>
                <w:rFonts w:ascii="Times New Roman" w:eastAsiaTheme="minorEastAsia" w:hAnsi="Times New Roman" w:cs="Times New Roman"/>
                <w:i/>
                <w:color w:val="000000" w:themeColor="text1"/>
                <w:sz w:val="24"/>
                <w:szCs w:val="24"/>
                <w:lang w:eastAsia="it-IT"/>
              </w:rPr>
              <w:t>Spese per lo sviluppo del sistema informativo e l’acquisto di software</w:t>
            </w:r>
            <w:bookmarkEnd w:id="36"/>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(cap. 909)</w:t>
            </w:r>
          </w:p>
          <w:p w14:paraId="4B76808D"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3.029.388,52, di cui euro 79.572,96 riferiti a reiscrizioni di residui passivi perenti, all’acquisizione di licenze, di software antispam e firewall, di potenziamento dei sistemi di sicurezza, di certificati web server, di sistemi di storage, nonché per la conduzione di sistemi ICT;</w:t>
            </w:r>
          </w:p>
          <w:p w14:paraId="1C2E7ED0"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d) “</w:t>
            </w:r>
            <w:r w:rsidRPr="00F56356">
              <w:rPr>
                <w:rFonts w:ascii="Times New Roman" w:eastAsiaTheme="minorEastAsia" w:hAnsi="Times New Roman" w:cs="Times New Roman"/>
                <w:i/>
                <w:color w:val="000000" w:themeColor="text1"/>
                <w:sz w:val="24"/>
                <w:szCs w:val="24"/>
                <w:lang w:eastAsia="it-IT"/>
              </w:rPr>
              <w:t>Spese per lo sviluppo delle infrastrutture di reti informatiche, di telecomunicazione e radiotelevisione; per l’acquisto dei relativi apparati, inclusi le centrali telefoniche, terminali e apparati multimediali”</w:t>
            </w:r>
            <w:r w:rsidRPr="00F56356">
              <w:rPr>
                <w:rFonts w:ascii="Times New Roman" w:eastAsiaTheme="minorEastAsia" w:hAnsi="Times New Roman" w:cs="Times New Roman"/>
                <w:color w:val="000000" w:themeColor="text1"/>
                <w:sz w:val="24"/>
                <w:szCs w:val="24"/>
                <w:lang w:eastAsia="it-IT"/>
              </w:rPr>
              <w:t xml:space="preserve"> (cap. 910)</w:t>
            </w:r>
          </w:p>
          <w:p w14:paraId="3EC3A005"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1.886.044,06, all’acquisizione di pc portatili, di monitor, di docking station e apparati di rete </w:t>
            </w:r>
            <w:proofErr w:type="spellStart"/>
            <w:r w:rsidRPr="00F56356">
              <w:rPr>
                <w:rFonts w:ascii="Times New Roman" w:eastAsiaTheme="minorEastAsia" w:hAnsi="Times New Roman" w:cs="Times New Roman"/>
                <w:color w:val="000000" w:themeColor="text1"/>
                <w:sz w:val="24"/>
                <w:szCs w:val="24"/>
                <w:lang w:eastAsia="it-IT"/>
              </w:rPr>
              <w:t>wi-fi</w:t>
            </w:r>
            <w:proofErr w:type="spellEnd"/>
            <w:r w:rsidRPr="00F56356">
              <w:rPr>
                <w:rFonts w:ascii="Times New Roman" w:eastAsiaTheme="minorEastAsia" w:hAnsi="Times New Roman" w:cs="Times New Roman"/>
                <w:color w:val="000000" w:themeColor="text1"/>
                <w:sz w:val="24"/>
                <w:szCs w:val="24"/>
                <w:lang w:eastAsia="it-IT"/>
              </w:rPr>
              <w:t>, di licenze firewall check point, e all’acquisizione di sistemi di videoconferenza</w:t>
            </w:r>
          </w:p>
          <w:p w14:paraId="71DEAAF7"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e) “</w:t>
            </w:r>
            <w:r w:rsidRPr="00F56356">
              <w:rPr>
                <w:rFonts w:ascii="Times New Roman" w:eastAsiaTheme="minorEastAsia" w:hAnsi="Times New Roman" w:cs="Times New Roman"/>
                <w:i/>
                <w:color w:val="000000" w:themeColor="text1"/>
                <w:sz w:val="24"/>
                <w:szCs w:val="24"/>
                <w:lang w:eastAsia="it-IT"/>
              </w:rPr>
              <w:t>Spese per l’adeguamento delle sedi dovuto alle esigenze funzionali delle Autorità e delle strutture della Presidenza del Consiglio dei ministri”</w:t>
            </w:r>
            <w:r w:rsidRPr="00F56356">
              <w:rPr>
                <w:rFonts w:ascii="Times New Roman" w:eastAsiaTheme="minorEastAsia" w:hAnsi="Times New Roman" w:cs="Times New Roman"/>
                <w:color w:val="000000" w:themeColor="text1"/>
                <w:sz w:val="24"/>
                <w:szCs w:val="24"/>
                <w:lang w:eastAsia="it-IT"/>
              </w:rPr>
              <w:t xml:space="preserve"> (cap. 911)</w:t>
            </w:r>
          </w:p>
          <w:p w14:paraId="0651CD0E"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 euro 37.890,00 all’adeguamento funzionale di immobili di proprietà di enti pubblici e società private, per i quali la Presidenza del Consiglio dei ministri sostiene oneri di locazione; i lavori di adeguamento strutturale sono di competenza della proprietà, mentre gli oneri della Presidenza si limitano all’adeguamento funzionale.</w:t>
            </w:r>
          </w:p>
          <w:p w14:paraId="0B34475D"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ab/>
            </w:r>
          </w:p>
          <w:p w14:paraId="6FA273E1"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46446850"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49629C5B"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671519FC"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2F92CAF7"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2D812738"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4ECA5FBE" w14:textId="77777777" w:rsidR="00F56356" w:rsidRPr="00F56356" w:rsidRDefault="00F56356" w:rsidP="00F56356">
            <w:pPr>
              <w:tabs>
                <w:tab w:val="center" w:pos="4819"/>
                <w:tab w:val="left" w:pos="6285"/>
              </w:tabs>
              <w:autoSpaceDE w:val="0"/>
              <w:autoSpaceDN w:val="0"/>
              <w:adjustRightInd w:val="0"/>
              <w:spacing w:after="0" w:line="240" w:lineRule="auto"/>
              <w:rPr>
                <w:rFonts w:ascii="Times New Roman" w:eastAsiaTheme="minorEastAsia" w:hAnsi="Times New Roman" w:cs="Times New Roman"/>
                <w:color w:val="000000" w:themeColor="text1"/>
                <w:sz w:val="24"/>
                <w:szCs w:val="24"/>
                <w:lang w:eastAsia="it-IT"/>
              </w:rPr>
            </w:pPr>
          </w:p>
          <w:p w14:paraId="44C7D20B" w14:textId="77777777" w:rsidR="00F56356" w:rsidRPr="00F56356" w:rsidRDefault="00F56356" w:rsidP="00F56356">
            <w:pPr>
              <w:tabs>
                <w:tab w:val="center" w:pos="4819"/>
                <w:tab w:val="left" w:pos="6285"/>
              </w:tabs>
              <w:autoSpaceDE w:val="0"/>
              <w:autoSpaceDN w:val="0"/>
              <w:adjustRightInd w:val="0"/>
              <w:spacing w:after="0" w:line="240" w:lineRule="auto"/>
              <w:jc w:val="center"/>
              <w:rPr>
                <w:rFonts w:ascii="Times New Roman" w:eastAsiaTheme="minorEastAsia" w:hAnsi="Times New Roman" w:cs="Times New Roman"/>
                <w:color w:val="000000" w:themeColor="text1"/>
                <w:sz w:val="24"/>
                <w:szCs w:val="24"/>
                <w:lang w:eastAsia="it-IT"/>
              </w:rPr>
            </w:pPr>
            <w:r w:rsidRPr="00F56356">
              <w:rPr>
                <w:rFonts w:eastAsiaTheme="minorEastAsia" w:cs="Times New Roman"/>
                <w:noProof/>
                <w:lang w:eastAsia="it-IT"/>
              </w:rPr>
              <w:lastRenderedPageBreak/>
              <w:drawing>
                <wp:anchor distT="0" distB="0" distL="114300" distR="114300" simplePos="0" relativeHeight="251674624" behindDoc="1" locked="0" layoutInCell="1" allowOverlap="1" wp14:anchorId="2F547967" wp14:editId="56C243F3">
                  <wp:simplePos x="0" y="0"/>
                  <wp:positionH relativeFrom="margin">
                    <wp:align>right</wp:align>
                  </wp:positionH>
                  <wp:positionV relativeFrom="paragraph">
                    <wp:posOffset>176530</wp:posOffset>
                  </wp:positionV>
                  <wp:extent cx="5924550" cy="1882775"/>
                  <wp:effectExtent l="0" t="0" r="3175" b="3175"/>
                  <wp:wrapTight wrapText="bothSides">
                    <wp:wrapPolygon edited="0">
                      <wp:start x="0" y="0"/>
                      <wp:lineTo x="0" y="21418"/>
                      <wp:lineTo x="11668" y="21418"/>
                      <wp:lineTo x="16322" y="20981"/>
                      <wp:lineTo x="21531" y="19232"/>
                      <wp:lineTo x="21531" y="10709"/>
                      <wp:lineTo x="21253" y="10272"/>
                      <wp:lineTo x="21531" y="8961"/>
                      <wp:lineTo x="21531" y="6119"/>
                      <wp:lineTo x="21183" y="3497"/>
                      <wp:lineTo x="21461" y="3497"/>
                      <wp:lineTo x="21531" y="2623"/>
                      <wp:lineTo x="21531" y="0"/>
                      <wp:lineTo x="0" y="0"/>
                    </wp:wrapPolygon>
                  </wp:wrapTight>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2455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356">
              <w:rPr>
                <w:rFonts w:ascii="Times New Roman" w:eastAsiaTheme="minorEastAsia" w:hAnsi="Times New Roman" w:cs="Times New Roman"/>
                <w:color w:val="000000" w:themeColor="text1"/>
                <w:sz w:val="24"/>
                <w:szCs w:val="24"/>
                <w:lang w:eastAsia="it-IT"/>
              </w:rPr>
              <w:t>Indicatori di bilancio</w:t>
            </w:r>
          </w:p>
          <w:p w14:paraId="40D1B78E"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487B87F8" w14:textId="77777777" w:rsidR="00F56356" w:rsidRPr="00F56356" w:rsidRDefault="00F56356" w:rsidP="00F56356">
            <w:pPr>
              <w:autoSpaceDE w:val="0"/>
              <w:autoSpaceDN w:val="0"/>
              <w:adjustRightInd w:val="0"/>
              <w:spacing w:after="0" w:line="360" w:lineRule="auto"/>
              <w:ind w:left="209"/>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Gli scostamenti tra gli indicatori di bilancio attesi e quelli realizzati sono stati determinati da una serie di variabili, in particolare:</w:t>
            </w:r>
          </w:p>
          <w:p w14:paraId="461C1693" w14:textId="77777777" w:rsidR="00F56356" w:rsidRPr="00F56356" w:rsidRDefault="00F56356" w:rsidP="00F56356">
            <w:pPr>
              <w:tabs>
                <w:tab w:val="left" w:pos="567"/>
              </w:tabs>
              <w:spacing w:line="360" w:lineRule="auto"/>
              <w:ind w:left="215"/>
              <w:contextualSpacing/>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171 - </w:t>
            </w:r>
            <w:r w:rsidRPr="00F56356">
              <w:rPr>
                <w:rFonts w:ascii="Times New Roman" w:eastAsia="Times New Roman" w:hAnsi="Times New Roman" w:cs="Times New Roman"/>
                <w:i/>
                <w:color w:val="000000" w:themeColor="text1"/>
                <w:sz w:val="24"/>
                <w:szCs w:val="24"/>
                <w:lang w:eastAsia="it-IT"/>
              </w:rPr>
              <w:t>Copertura assicurativa integrativa per il personale ex art.99 CCNL</w:t>
            </w:r>
            <w:r w:rsidRPr="00F56356">
              <w:rPr>
                <w:rFonts w:ascii="Times New Roman" w:eastAsia="Times New Roman" w:hAnsi="Times New Roman" w:cs="Times New Roman"/>
                <w:color w:val="000000" w:themeColor="text1"/>
                <w:sz w:val="24"/>
                <w:szCs w:val="24"/>
                <w:lang w:eastAsia="it-IT"/>
              </w:rPr>
              <w:t xml:space="preserve">,  relativamente alla </w:t>
            </w:r>
            <w:r w:rsidRPr="00F56356">
              <w:rPr>
                <w:rFonts w:ascii="Times New Roman" w:eastAsia="Times New Roman" w:hAnsi="Times New Roman" w:cs="Times New Roman"/>
                <w:b/>
                <w:bCs/>
                <w:color w:val="000000" w:themeColor="text1"/>
                <w:sz w:val="24"/>
                <w:szCs w:val="24"/>
                <w:lang w:eastAsia="it-IT"/>
              </w:rPr>
              <w:t xml:space="preserve"> </w:t>
            </w:r>
            <w:r w:rsidRPr="00F56356">
              <w:rPr>
                <w:rFonts w:ascii="Times New Roman" w:eastAsia="Times New Roman" w:hAnsi="Times New Roman" w:cs="Times New Roman"/>
                <w:bCs/>
                <w:color w:val="000000" w:themeColor="text1"/>
                <w:sz w:val="24"/>
                <w:szCs w:val="24"/>
                <w:lang w:eastAsia="it-IT"/>
              </w:rPr>
              <w:t>capacità di impegno,</w:t>
            </w:r>
            <w:r w:rsidRPr="00F56356">
              <w:rPr>
                <w:rFonts w:ascii="Times New Roman" w:eastAsia="Times New Roman" w:hAnsi="Times New Roman" w:cs="Times New Roman"/>
                <w:color w:val="000000" w:themeColor="text1"/>
                <w:sz w:val="24"/>
                <w:szCs w:val="24"/>
                <w:lang w:eastAsia="it-IT"/>
              </w:rPr>
              <w:t xml:space="preserve"> da variazioni di bilancio in aumento dovute al recupero delle anticipazioni operate dall’amministrazione delle quote a carico dei dipendenti che hanno richiesto </w:t>
            </w:r>
            <w:r w:rsidRPr="00F56356">
              <w:rPr>
                <w:rFonts w:ascii="Times New Roman" w:eastAsia="Times New Roman" w:hAnsi="Times New Roman" w:cs="Times New Roman"/>
                <w:sz w:val="24"/>
                <w:szCs w:val="24"/>
                <w:lang w:eastAsia="it-IT"/>
              </w:rPr>
              <w:t>e inserito nella copertura assicurativa familiari fiscalmente non a carico, nonché delle quote a carico del Dipartimento della protezione civile e dell’Ufficio per il servizio civile universale relativamente al personale in servizio presso dette strutture;</w:t>
            </w:r>
            <w:r w:rsidRPr="00F56356">
              <w:rPr>
                <w:rFonts w:ascii="Times New Roman" w:eastAsia="Times New Roman" w:hAnsi="Times New Roman" w:cs="Times New Roman"/>
                <w:color w:val="FF0000"/>
                <w:sz w:val="24"/>
                <w:szCs w:val="24"/>
                <w:lang w:eastAsia="it-IT"/>
              </w:rPr>
              <w:t xml:space="preserve"> </w:t>
            </w:r>
          </w:p>
          <w:p w14:paraId="3E9AEB4E" w14:textId="77777777" w:rsidR="00F56356" w:rsidRPr="00F56356" w:rsidRDefault="00F56356" w:rsidP="00F56356">
            <w:pPr>
              <w:tabs>
                <w:tab w:val="left" w:pos="567"/>
              </w:tabs>
              <w:spacing w:line="360" w:lineRule="auto"/>
              <w:ind w:left="209"/>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188 - </w:t>
            </w:r>
            <w:r w:rsidRPr="00F56356">
              <w:rPr>
                <w:rFonts w:ascii="Times New Roman" w:eastAsia="Times New Roman" w:hAnsi="Times New Roman" w:cs="Times New Roman"/>
                <w:i/>
                <w:color w:val="000000" w:themeColor="text1"/>
                <w:sz w:val="24"/>
                <w:szCs w:val="24"/>
                <w:lang w:eastAsia="it-IT"/>
              </w:rPr>
              <w:t>Spese per progettazioni e servizi relativi al patrimonio immobiliare ed alla sicurezza dei luoghi di lavoro</w:t>
            </w:r>
            <w:r w:rsidRPr="00F56356">
              <w:rPr>
                <w:rFonts w:ascii="Times New Roman" w:eastAsia="Times New Roman" w:hAnsi="Times New Roman" w:cs="Times New Roman"/>
                <w:color w:val="000000" w:themeColor="text1"/>
                <w:sz w:val="24"/>
                <w:szCs w:val="24"/>
                <w:lang w:eastAsia="it-IT"/>
              </w:rPr>
              <w:t>, a causa del differimento dei tempi di elaborazione dei documenti propedeutici all’attività di affidamento per l’acquisizione di servizi finalizzati alla valutazione e alla eventuale realizzazione di interventi migliorativi della salute e della sicurezza nei luoghi di lavoro;</w:t>
            </w:r>
          </w:p>
          <w:p w14:paraId="5841EA5F" w14:textId="77777777" w:rsidR="00F56356" w:rsidRPr="00F56356" w:rsidRDefault="00F56356" w:rsidP="00F56356">
            <w:pPr>
              <w:tabs>
                <w:tab w:val="left" w:pos="426"/>
                <w:tab w:val="left" w:pos="567"/>
              </w:tabs>
              <w:spacing w:line="360" w:lineRule="auto"/>
              <w:ind w:left="215"/>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193 - </w:t>
            </w:r>
            <w:r w:rsidRPr="00F56356">
              <w:rPr>
                <w:rFonts w:ascii="Times New Roman" w:eastAsia="Times New Roman" w:hAnsi="Times New Roman" w:cs="Times New Roman"/>
                <w:i/>
                <w:color w:val="000000" w:themeColor="text1"/>
                <w:sz w:val="24"/>
                <w:szCs w:val="24"/>
                <w:lang w:eastAsia="it-IT"/>
              </w:rPr>
              <w:t>Spese postali e telegrafiche,</w:t>
            </w:r>
            <w:r w:rsidRPr="00F56356">
              <w:rPr>
                <w:rFonts w:ascii="Times New Roman" w:eastAsia="Times New Roman" w:hAnsi="Times New Roman" w:cs="Times New Roman"/>
                <w:color w:val="000000" w:themeColor="text1"/>
                <w:sz w:val="24"/>
                <w:szCs w:val="24"/>
                <w:lang w:eastAsia="it-IT"/>
              </w:rPr>
              <w:t xml:space="preserve"> da una riduzione del fabbisogno effettivo di servizi postali; relativamente alla capacità di pagamento e a quella di smaltimento dei residui dalla mancata acquisizione dei documenti contabili che costituiscono il presupposto del pagamento;</w:t>
            </w:r>
          </w:p>
          <w:p w14:paraId="73C932F3" w14:textId="77777777" w:rsidR="00F56356" w:rsidRPr="00F56356" w:rsidRDefault="00F56356" w:rsidP="00F56356">
            <w:pPr>
              <w:tabs>
                <w:tab w:val="left" w:pos="426"/>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d) per il capitolo 213 - </w:t>
            </w:r>
            <w:r w:rsidRPr="00F56356">
              <w:rPr>
                <w:rFonts w:ascii="Times New Roman" w:eastAsiaTheme="minorEastAsia" w:hAnsi="Times New Roman" w:cs="Times New Roman"/>
                <w:i/>
                <w:color w:val="000000" w:themeColor="text1"/>
                <w:sz w:val="24"/>
                <w:szCs w:val="24"/>
                <w:lang w:eastAsia="it-IT"/>
              </w:rPr>
              <w:t>Spese per l’installazione, la gestione e la manutenzione degli apparati tecnologici delle reti informatiche e di telecomunicazione e del servizio call center</w:t>
            </w:r>
            <w:r w:rsidRPr="00F56356">
              <w:rPr>
                <w:rFonts w:ascii="Times New Roman" w:eastAsiaTheme="minorEastAsia" w:hAnsi="Times New Roman" w:cs="Times New Roman"/>
                <w:color w:val="000000" w:themeColor="text1"/>
                <w:sz w:val="24"/>
                <w:szCs w:val="24"/>
                <w:lang w:eastAsia="it-IT"/>
              </w:rPr>
              <w:t>, relativamente alla capacità di pagamento, dalla mancata acquisizione dei documenti contabili che costituiscono il presupposto del pagamento entro il termine fissato per la chiusura della contabilità finanziaria;</w:t>
            </w:r>
          </w:p>
          <w:p w14:paraId="08B47876" w14:textId="77777777" w:rsidR="00F56356" w:rsidRPr="00F56356" w:rsidRDefault="00F56356" w:rsidP="00F56356">
            <w:pPr>
              <w:overflowPunct w:val="0"/>
              <w:autoSpaceDE w:val="0"/>
              <w:autoSpaceDN w:val="0"/>
              <w:adjustRightInd w:val="0"/>
              <w:spacing w:after="0" w:line="360" w:lineRule="auto"/>
              <w:ind w:left="284"/>
              <w:jc w:val="both"/>
              <w:textAlignment w:val="baseline"/>
              <w:rPr>
                <w:rFonts w:ascii="Times New Roman" w:eastAsia="Times New Roman" w:hAnsi="Times New Roman" w:cs="Tahoma"/>
                <w:snapToGrid w:val="0"/>
                <w:color w:val="000000" w:themeColor="text1"/>
                <w:sz w:val="24"/>
                <w:szCs w:val="24"/>
                <w:lang w:eastAsia="it-IT"/>
              </w:rPr>
            </w:pPr>
            <w:r w:rsidRPr="00F56356">
              <w:rPr>
                <w:rFonts w:ascii="Times New Roman" w:eastAsia="Times New Roman" w:hAnsi="Times New Roman" w:cs="Tahoma"/>
                <w:snapToGrid w:val="0"/>
                <w:color w:val="000000" w:themeColor="text1"/>
                <w:sz w:val="24"/>
                <w:szCs w:val="24"/>
                <w:lang w:eastAsia="it-IT"/>
              </w:rPr>
              <w:t xml:space="preserve">e) per il capitolo 128 – </w:t>
            </w:r>
            <w:r w:rsidRPr="00F56356">
              <w:rPr>
                <w:rFonts w:ascii="Times New Roman" w:eastAsia="Times New Roman" w:hAnsi="Times New Roman" w:cs="Tahoma"/>
                <w:i/>
                <w:snapToGrid w:val="0"/>
                <w:color w:val="000000" w:themeColor="text1"/>
                <w:sz w:val="24"/>
                <w:szCs w:val="24"/>
                <w:lang w:eastAsia="it-IT"/>
              </w:rPr>
              <w:t>Spese per acquisto di quotidiani e periodici</w:t>
            </w:r>
            <w:r w:rsidRPr="00F56356">
              <w:rPr>
                <w:rFonts w:ascii="Times New Roman" w:eastAsia="Times New Roman" w:hAnsi="Times New Roman" w:cs="Tahoma"/>
                <w:snapToGrid w:val="0"/>
                <w:color w:val="000000" w:themeColor="text1"/>
                <w:sz w:val="24"/>
                <w:szCs w:val="24"/>
                <w:lang w:eastAsia="it-IT"/>
              </w:rPr>
              <w:t>, relativamente alla</w:t>
            </w:r>
            <w:r w:rsidRPr="00F56356">
              <w:rPr>
                <w:rFonts w:eastAsiaTheme="minorEastAsia" w:cs="Times New Roman"/>
                <w:lang w:eastAsia="it-IT"/>
              </w:rPr>
              <w:t xml:space="preserve"> </w:t>
            </w:r>
            <w:r w:rsidRPr="00F56356">
              <w:rPr>
                <w:rFonts w:ascii="Times New Roman" w:eastAsia="Times New Roman" w:hAnsi="Times New Roman" w:cs="Tahoma"/>
                <w:snapToGrid w:val="0"/>
                <w:color w:val="000000" w:themeColor="text1"/>
                <w:sz w:val="24"/>
                <w:szCs w:val="24"/>
                <w:lang w:eastAsia="it-IT"/>
              </w:rPr>
              <w:t>capacità di smaltimento residui, dalla mancata acquisizione dei documenti contabili che costituiscono il presupposto del pagamento;</w:t>
            </w:r>
          </w:p>
          <w:p w14:paraId="0E7DF4CD"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ahoma"/>
                <w:snapToGrid w:val="0"/>
                <w:color w:val="000000" w:themeColor="text1"/>
                <w:sz w:val="24"/>
                <w:szCs w:val="24"/>
                <w:lang w:eastAsia="it-IT"/>
              </w:rPr>
            </w:pPr>
            <w:r w:rsidRPr="00F56356">
              <w:rPr>
                <w:rFonts w:ascii="Times New Roman" w:eastAsia="Times New Roman" w:hAnsi="Times New Roman" w:cs="Tahoma"/>
                <w:snapToGrid w:val="0"/>
                <w:color w:val="000000" w:themeColor="text1"/>
                <w:sz w:val="24"/>
                <w:szCs w:val="24"/>
                <w:lang w:eastAsia="it-IT"/>
              </w:rPr>
              <w:t xml:space="preserve">f) per il capitolo 902 - </w:t>
            </w:r>
            <w:r w:rsidRPr="00F56356">
              <w:rPr>
                <w:rFonts w:ascii="Times New Roman" w:eastAsia="Times New Roman" w:hAnsi="Times New Roman" w:cs="Tahoma"/>
                <w:i/>
                <w:snapToGrid w:val="0"/>
                <w:color w:val="000000" w:themeColor="text1"/>
                <w:sz w:val="24"/>
                <w:szCs w:val="24"/>
                <w:lang w:eastAsia="it-IT"/>
              </w:rPr>
              <w:t>Acquisto di arredi di ufficio, di rappresentanza, di apparecchiature nonché restauro arredi,</w:t>
            </w:r>
            <w:r w:rsidRPr="00F56356">
              <w:rPr>
                <w:rFonts w:ascii="Times New Roman" w:eastAsia="Times New Roman" w:hAnsi="Times New Roman" w:cs="Tahoma"/>
                <w:snapToGrid w:val="0"/>
                <w:color w:val="000000" w:themeColor="text1"/>
                <w:sz w:val="24"/>
                <w:szCs w:val="24"/>
                <w:lang w:eastAsia="it-IT"/>
              </w:rPr>
              <w:t xml:space="preserve"> dalla rimodulazione del programma di acquisti di nuove postazioni di lavoro e di arredi per ufficio con previsione di completamento delle relative attività nel 2023. Relativamente </w:t>
            </w:r>
            <w:r w:rsidRPr="00F56356">
              <w:rPr>
                <w:rFonts w:ascii="Times New Roman" w:eastAsia="Times New Roman" w:hAnsi="Times New Roman" w:cs="Tahoma"/>
                <w:snapToGrid w:val="0"/>
                <w:color w:val="000000" w:themeColor="text1"/>
                <w:sz w:val="24"/>
                <w:szCs w:val="24"/>
                <w:lang w:eastAsia="it-IT"/>
              </w:rPr>
              <w:lastRenderedPageBreak/>
              <w:t>alla capacità di smaltimento residui, a causa della mancata acquisizione dei documenti contabili che costituiscono i presupposti del pagamento;</w:t>
            </w:r>
          </w:p>
          <w:p w14:paraId="11251D3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ahoma"/>
                <w:snapToGrid w:val="0"/>
                <w:color w:val="000000" w:themeColor="text1"/>
                <w:sz w:val="24"/>
                <w:szCs w:val="24"/>
                <w:lang w:eastAsia="it-IT"/>
              </w:rPr>
            </w:pPr>
            <w:r w:rsidRPr="00F56356">
              <w:rPr>
                <w:rFonts w:ascii="Times New Roman" w:eastAsia="Times New Roman" w:hAnsi="Times New Roman" w:cs="Tahoma"/>
                <w:snapToGrid w:val="0"/>
                <w:color w:val="000000" w:themeColor="text1"/>
                <w:sz w:val="24"/>
                <w:szCs w:val="24"/>
                <w:lang w:eastAsia="it-IT"/>
              </w:rPr>
              <w:t>g)</w:t>
            </w:r>
            <w:r w:rsidRPr="00F56356">
              <w:rPr>
                <w:rFonts w:ascii="Times New Roman" w:eastAsia="Times New Roman" w:hAnsi="Times New Roman" w:cs="Tahoma"/>
                <w:snapToGrid w:val="0"/>
                <w:color w:val="000000" w:themeColor="text1"/>
                <w:sz w:val="24"/>
                <w:szCs w:val="24"/>
                <w:lang w:eastAsia="it-IT"/>
              </w:rPr>
              <w:tab/>
              <w:t xml:space="preserve">per il capitolo 909 - </w:t>
            </w:r>
            <w:r w:rsidRPr="00F56356">
              <w:rPr>
                <w:rFonts w:ascii="Times New Roman" w:eastAsia="Times New Roman" w:hAnsi="Times New Roman" w:cs="Tahoma"/>
                <w:i/>
                <w:snapToGrid w:val="0"/>
                <w:color w:val="000000" w:themeColor="text1"/>
                <w:sz w:val="24"/>
                <w:szCs w:val="24"/>
                <w:lang w:eastAsia="it-IT"/>
              </w:rPr>
              <w:t>Spese per lo sviluppo del sistema informativo e l’acquisto di software</w:t>
            </w:r>
            <w:r w:rsidRPr="00F56356">
              <w:rPr>
                <w:rFonts w:ascii="Times New Roman" w:eastAsia="Times New Roman" w:hAnsi="Times New Roman" w:cs="Tahoma"/>
                <w:snapToGrid w:val="0"/>
                <w:color w:val="000000" w:themeColor="text1"/>
                <w:sz w:val="24"/>
                <w:szCs w:val="24"/>
                <w:lang w:eastAsia="it-IT"/>
              </w:rPr>
              <w:t>, relativamente alla capacità di pagamento e di smaltimento di residui, a causa della mancata acquisizione dei documenti contabili che costituiscono i presupposti del pagamento;</w:t>
            </w:r>
          </w:p>
          <w:p w14:paraId="57DE780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ahoma"/>
                <w:snapToGrid w:val="0"/>
                <w:color w:val="000000" w:themeColor="text1"/>
                <w:sz w:val="24"/>
                <w:szCs w:val="24"/>
                <w:lang w:eastAsia="it-IT"/>
              </w:rPr>
            </w:pPr>
            <w:r w:rsidRPr="00F56356">
              <w:rPr>
                <w:rFonts w:ascii="Times New Roman" w:eastAsia="Times New Roman" w:hAnsi="Times New Roman" w:cs="Tahoma"/>
                <w:snapToGrid w:val="0"/>
                <w:color w:val="000000" w:themeColor="text1"/>
                <w:sz w:val="24"/>
                <w:szCs w:val="24"/>
                <w:lang w:eastAsia="it-IT"/>
              </w:rPr>
              <w:t xml:space="preserve">h) per il capitolo 910 - </w:t>
            </w:r>
            <w:r w:rsidRPr="00F56356">
              <w:rPr>
                <w:rFonts w:ascii="Times New Roman" w:eastAsiaTheme="minorEastAsia" w:hAnsi="Times New Roman" w:cs="Times New Roman"/>
                <w:i/>
                <w:color w:val="000000" w:themeColor="text1"/>
                <w:sz w:val="24"/>
                <w:szCs w:val="24"/>
                <w:lang w:eastAsia="it-IT"/>
              </w:rPr>
              <w:t>Spese per lo sviluppo delle infrastrutture di reti informatiche, di telecomunicazione e radiotelevisione; per l’acquisto dei relativi apparati, inclusi le centrali telefoniche, terminali e apparati multimediali,</w:t>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imes New Roman" w:hAnsi="Times New Roman" w:cs="Tahoma"/>
                <w:snapToGrid w:val="0"/>
                <w:color w:val="000000" w:themeColor="text1"/>
                <w:sz w:val="24"/>
                <w:szCs w:val="24"/>
                <w:lang w:eastAsia="it-IT"/>
              </w:rPr>
              <w:t>a causa della rimodulazione temporale del progetto di revisione architetturale degli impianti di telefonia fissa e mobile della Presidenza del Consiglio dei ministri;</w:t>
            </w:r>
          </w:p>
          <w:p w14:paraId="0CB0B05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ahoma"/>
                <w:snapToGrid w:val="0"/>
                <w:color w:val="000000" w:themeColor="text1"/>
                <w:sz w:val="24"/>
                <w:szCs w:val="24"/>
                <w:lang w:eastAsia="it-IT"/>
              </w:rPr>
            </w:pPr>
            <w:r w:rsidRPr="00F56356">
              <w:rPr>
                <w:rFonts w:ascii="Times New Roman" w:eastAsia="Times New Roman" w:hAnsi="Times New Roman" w:cs="Tahoma"/>
                <w:snapToGrid w:val="0"/>
                <w:color w:val="000000" w:themeColor="text1"/>
                <w:sz w:val="24"/>
                <w:szCs w:val="24"/>
                <w:lang w:eastAsia="it-IT"/>
              </w:rPr>
              <w:t>i) per il capitolo 905 -</w:t>
            </w:r>
            <w:r w:rsidRPr="00F56356">
              <w:rPr>
                <w:rFonts w:ascii="Times New Roman" w:eastAsiaTheme="minorEastAsia" w:hAnsi="Times New Roman" w:cs="Times New Roman"/>
                <w:i/>
                <w:color w:val="000000" w:themeColor="text1"/>
                <w:sz w:val="24"/>
                <w:szCs w:val="24"/>
                <w:lang w:eastAsia="it-IT"/>
              </w:rPr>
              <w:t xml:space="preserve"> Spese di manutenzione straordinaria degli immobili</w:t>
            </w:r>
            <w:r w:rsidRPr="00F56356">
              <w:rPr>
                <w:rFonts w:ascii="Times New Roman" w:eastAsia="Times New Roman" w:hAnsi="Times New Roman" w:cs="Tahoma"/>
                <w:snapToGrid w:val="0"/>
                <w:color w:val="000000" w:themeColor="text1"/>
                <w:sz w:val="24"/>
                <w:szCs w:val="24"/>
                <w:lang w:eastAsia="it-IT"/>
              </w:rPr>
              <w:t xml:space="preserve"> e il capitolo 911 - </w:t>
            </w:r>
            <w:r w:rsidRPr="00F56356">
              <w:rPr>
                <w:rFonts w:ascii="Times New Roman" w:eastAsiaTheme="minorEastAsia" w:hAnsi="Times New Roman" w:cs="Times New Roman"/>
                <w:i/>
                <w:color w:val="000000" w:themeColor="text1"/>
                <w:sz w:val="24"/>
                <w:szCs w:val="24"/>
                <w:lang w:eastAsia="it-IT"/>
              </w:rPr>
              <w:t xml:space="preserve">Spese per l’adeguamento delle sedi dovuto alle esigenze funzionali delle Autorità e delle strutture della Presidenza del Consiglio dei ministri, </w:t>
            </w:r>
            <w:r w:rsidRPr="00F56356">
              <w:rPr>
                <w:rFonts w:ascii="Times New Roman" w:eastAsiaTheme="minorEastAsia" w:hAnsi="Times New Roman" w:cs="Times New Roman"/>
                <w:color w:val="000000" w:themeColor="text1"/>
                <w:sz w:val="24"/>
                <w:szCs w:val="24"/>
                <w:lang w:eastAsia="it-IT"/>
              </w:rPr>
              <w:t xml:space="preserve">relativamente alla capacità di pagamento </w:t>
            </w:r>
            <w:r w:rsidRPr="00F56356">
              <w:rPr>
                <w:rFonts w:ascii="Times New Roman" w:eastAsia="Times New Roman" w:hAnsi="Times New Roman" w:cs="Tahoma"/>
                <w:snapToGrid w:val="0"/>
                <w:color w:val="000000" w:themeColor="text1"/>
                <w:sz w:val="24"/>
                <w:szCs w:val="24"/>
                <w:lang w:eastAsia="it-IT"/>
              </w:rPr>
              <w:t>e alla capacità di smaltimento dei residui, alla mancata acquisizione dei documenti contabili che costituiscono i presupposti del pagamento.</w:t>
            </w:r>
          </w:p>
          <w:p w14:paraId="7168D73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ahoma"/>
                <w:snapToGrid w:val="0"/>
                <w:color w:val="000000" w:themeColor="text1"/>
                <w:sz w:val="24"/>
                <w:szCs w:val="24"/>
                <w:lang w:eastAsia="it-IT"/>
              </w:rPr>
            </w:pPr>
            <w:r w:rsidRPr="00F56356">
              <w:rPr>
                <w:rFonts w:ascii="Times New Roman" w:eastAsia="Times New Roman" w:hAnsi="Times New Roman" w:cs="Tahoma"/>
                <w:snapToGrid w:val="0"/>
                <w:color w:val="000000" w:themeColor="text1"/>
                <w:sz w:val="24"/>
                <w:szCs w:val="24"/>
                <w:lang w:eastAsia="it-IT"/>
              </w:rPr>
              <w:t xml:space="preserve"> </w:t>
            </w:r>
            <w:r w:rsidRPr="00F56356">
              <w:rPr>
                <w:rFonts w:ascii="Times New Roman" w:eastAsia="Times New Roman" w:hAnsi="Times New Roman" w:cs="Tahoma"/>
                <w:snapToGrid w:val="0"/>
                <w:color w:val="000000" w:themeColor="text1"/>
                <w:sz w:val="24"/>
                <w:szCs w:val="24"/>
                <w:lang w:eastAsia="it-IT"/>
              </w:rPr>
              <w:tab/>
            </w:r>
          </w:p>
          <w:p w14:paraId="5E160165"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color w:val="FF0000"/>
                <w:sz w:val="6"/>
                <w:szCs w:val="24"/>
                <w:lang w:eastAsia="it-IT"/>
              </w:rPr>
            </w:pPr>
          </w:p>
          <w:p w14:paraId="0D406F6A"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color w:val="FF0000"/>
                <w:sz w:val="6"/>
                <w:szCs w:val="24"/>
                <w:lang w:eastAsia="it-IT"/>
              </w:rPr>
            </w:pPr>
          </w:p>
          <w:p w14:paraId="7BFEE250"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Si evidenzia, inoltre, che:</w:t>
            </w:r>
          </w:p>
          <w:p w14:paraId="7C3D08BA"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color w:val="FF0000"/>
                <w:sz w:val="6"/>
                <w:szCs w:val="24"/>
                <w:lang w:eastAsia="it-IT"/>
              </w:rPr>
            </w:pPr>
          </w:p>
          <w:p w14:paraId="4C84B68A" w14:textId="77777777" w:rsidR="00F56356" w:rsidRPr="00F56356" w:rsidRDefault="00F56356" w:rsidP="00F56356">
            <w:pPr>
              <w:shd w:val="clear" w:color="auto" w:fill="FFFFFF" w:themeFill="background1"/>
              <w:autoSpaceDE w:val="0"/>
              <w:autoSpaceDN w:val="0"/>
              <w:adjustRightInd w:val="0"/>
              <w:spacing w:after="0" w:line="360" w:lineRule="auto"/>
              <w:ind w:left="284"/>
              <w:jc w:val="both"/>
              <w:rPr>
                <w:rFonts w:ascii="Times New Roman" w:eastAsiaTheme="minorEastAsia" w:hAnsi="Times New Roman" w:cs="Times New Roman"/>
                <w:i/>
                <w:color w:val="FF0000"/>
                <w:sz w:val="6"/>
                <w:szCs w:val="24"/>
                <w:lang w:eastAsia="it-IT"/>
              </w:rPr>
            </w:pPr>
            <w:r w:rsidRPr="00F56356">
              <w:rPr>
                <w:rFonts w:ascii="Times New Roman" w:eastAsiaTheme="minorEastAsia" w:hAnsi="Times New Roman" w:cs="Times New Roman"/>
                <w:color w:val="000000" w:themeColor="text1"/>
                <w:sz w:val="24"/>
                <w:szCs w:val="24"/>
                <w:lang w:eastAsia="it-IT"/>
              </w:rPr>
              <w:t xml:space="preserve">a) per il capitolo 189 - </w:t>
            </w:r>
            <w:r w:rsidRPr="00F56356">
              <w:rPr>
                <w:rFonts w:ascii="Times New Roman" w:eastAsiaTheme="minorEastAsia" w:hAnsi="Times New Roman" w:cs="Times New Roman"/>
                <w:i/>
                <w:color w:val="000000" w:themeColor="text1"/>
                <w:sz w:val="24"/>
                <w:szCs w:val="24"/>
                <w:lang w:eastAsia="it-IT"/>
              </w:rPr>
              <w:t xml:space="preserve">Spese relative ad eventi istituzionali anche di rilevanza internazionale, </w:t>
            </w:r>
            <w:r w:rsidRPr="00F56356">
              <w:rPr>
                <w:rFonts w:ascii="Times New Roman" w:eastAsiaTheme="minorEastAsia" w:hAnsi="Times New Roman" w:cs="Times New Roman"/>
                <w:color w:val="000000" w:themeColor="text1"/>
                <w:sz w:val="24"/>
                <w:szCs w:val="24"/>
                <w:lang w:eastAsia="it-IT"/>
              </w:rPr>
              <w:t>non sono state impegnate le risorse, in quanto la spesa è originata da specifiche esigenze delle Autorità politiche di natura contingente, che nel corso del 2022 non hanno avuto manifestazione;</w:t>
            </w:r>
          </w:p>
          <w:p w14:paraId="1A5BA66D" w14:textId="77777777" w:rsidR="00F56356" w:rsidRPr="00F56356" w:rsidRDefault="00F56356" w:rsidP="00F56356">
            <w:pPr>
              <w:shd w:val="clear" w:color="auto" w:fill="FFFFFF" w:themeFill="background1"/>
              <w:spacing w:after="0" w:line="360" w:lineRule="auto"/>
              <w:ind w:left="284"/>
              <w:jc w:val="both"/>
              <w:rPr>
                <w:rFonts w:ascii="Times New Roman" w:eastAsia="Times New Roman" w:hAnsi="Times New Roman" w:cs="Tahoma"/>
                <w:snapToGrid w:val="0"/>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b)</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imes New Roman" w:hAnsi="Times New Roman" w:cs="Tahoma"/>
                <w:snapToGrid w:val="0"/>
                <w:color w:val="000000" w:themeColor="text1"/>
                <w:sz w:val="24"/>
                <w:szCs w:val="24"/>
                <w:lang w:eastAsia="it-IT"/>
              </w:rPr>
              <w:t xml:space="preserve">per il capitolo 989 - </w:t>
            </w:r>
            <w:r w:rsidRPr="00F56356">
              <w:rPr>
                <w:rFonts w:ascii="Times New Roman" w:eastAsia="Times New Roman" w:hAnsi="Times New Roman" w:cs="Tahoma"/>
                <w:i/>
                <w:snapToGrid w:val="0"/>
                <w:color w:val="000000" w:themeColor="text1"/>
                <w:sz w:val="24"/>
                <w:szCs w:val="24"/>
                <w:lang w:eastAsia="it-IT"/>
              </w:rPr>
              <w:t xml:space="preserve">Spese di investimento dell’immobile Largo Pietro </w:t>
            </w:r>
            <w:proofErr w:type="spellStart"/>
            <w:r w:rsidRPr="00F56356">
              <w:rPr>
                <w:rFonts w:ascii="Times New Roman" w:eastAsia="Times New Roman" w:hAnsi="Times New Roman" w:cs="Tahoma"/>
                <w:i/>
                <w:snapToGrid w:val="0"/>
                <w:color w:val="000000" w:themeColor="text1"/>
                <w:sz w:val="24"/>
                <w:szCs w:val="24"/>
                <w:lang w:eastAsia="it-IT"/>
              </w:rPr>
              <w:t>Brazza</w:t>
            </w:r>
            <w:proofErr w:type="spellEnd"/>
            <w:r w:rsidRPr="00F56356">
              <w:rPr>
                <w:rFonts w:ascii="Times New Roman" w:eastAsia="Times New Roman" w:hAnsi="Times New Roman" w:cs="Tahoma"/>
                <w:i/>
                <w:snapToGrid w:val="0"/>
                <w:color w:val="000000" w:themeColor="text1"/>
                <w:sz w:val="24"/>
                <w:szCs w:val="24"/>
                <w:lang w:eastAsia="it-IT"/>
              </w:rPr>
              <w:t xml:space="preserve">’, 86, </w:t>
            </w:r>
            <w:r w:rsidRPr="00F56356">
              <w:rPr>
                <w:rFonts w:ascii="Times New Roman" w:eastAsia="Times New Roman" w:hAnsi="Times New Roman" w:cs="Tahoma"/>
                <w:snapToGrid w:val="0"/>
                <w:color w:val="000000" w:themeColor="text1"/>
                <w:sz w:val="24"/>
                <w:szCs w:val="24"/>
                <w:lang w:eastAsia="it-IT"/>
              </w:rPr>
              <w:t xml:space="preserve">le risorse non sono state impegnate data la complessità dei rapporti con i soggetti necessariamente coinvolti nella progettazione e realizzazione degli interventi di manutenzione straordinaria sugli immobili in uso alla PCM, e nello specifico quelli relativi all’immobile sito in Largo Pietro </w:t>
            </w:r>
            <w:proofErr w:type="spellStart"/>
            <w:r w:rsidRPr="00F56356">
              <w:rPr>
                <w:rFonts w:ascii="Times New Roman" w:eastAsia="Times New Roman" w:hAnsi="Times New Roman" w:cs="Tahoma"/>
                <w:snapToGrid w:val="0"/>
                <w:color w:val="000000" w:themeColor="text1"/>
                <w:sz w:val="24"/>
                <w:szCs w:val="24"/>
                <w:lang w:eastAsia="it-IT"/>
              </w:rPr>
              <w:t>Brazzà</w:t>
            </w:r>
            <w:proofErr w:type="spellEnd"/>
            <w:r w:rsidRPr="00F56356">
              <w:rPr>
                <w:rFonts w:ascii="Times New Roman" w:eastAsia="Times New Roman" w:hAnsi="Times New Roman" w:cs="Tahoma"/>
                <w:snapToGrid w:val="0"/>
                <w:color w:val="000000" w:themeColor="text1"/>
                <w:sz w:val="24"/>
                <w:szCs w:val="24"/>
                <w:lang w:eastAsia="it-IT"/>
              </w:rPr>
              <w:t>, unitamente alla oggettiva complessità degli stessi interventi da realizzare, che hanno generato lo slittamento del cronoprogramma di investimenti inizialmente previsto, con inevitabili riflessi sulle capacità di impegno e di pagamento.</w:t>
            </w:r>
          </w:p>
          <w:p w14:paraId="490C525A" w14:textId="77777777" w:rsidR="00F56356" w:rsidRPr="00F56356" w:rsidRDefault="00F56356"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p w14:paraId="78C02DB8" w14:textId="6FABBAF6" w:rsidR="00F56356" w:rsidRDefault="00F56356"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p w14:paraId="2A307305" w14:textId="77777777" w:rsidR="00B162D3" w:rsidRPr="00F56356" w:rsidRDefault="00B162D3"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p w14:paraId="7FA6E2AD" w14:textId="77777777" w:rsidR="00F56356" w:rsidRPr="00F56356" w:rsidRDefault="00F56356"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p w14:paraId="40530A59" w14:textId="77777777" w:rsidR="00F56356" w:rsidRPr="00F56356" w:rsidRDefault="00F56356"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p w14:paraId="4CC0C9C7" w14:textId="77777777" w:rsidR="00F56356" w:rsidRPr="00F56356" w:rsidRDefault="00F56356"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p w14:paraId="1B09C225" w14:textId="77777777" w:rsidR="00F56356" w:rsidRPr="00F56356" w:rsidRDefault="00F56356" w:rsidP="00F56356">
            <w:pPr>
              <w:shd w:val="clear" w:color="auto" w:fill="FFFFFF" w:themeFill="background1"/>
              <w:spacing w:after="0" w:line="360" w:lineRule="auto"/>
              <w:ind w:left="284"/>
              <w:jc w:val="both"/>
              <w:rPr>
                <w:rFonts w:ascii="Times New Roman" w:eastAsiaTheme="minorEastAsia" w:hAnsi="Times New Roman" w:cs="Times New Roman"/>
                <w:color w:val="000000" w:themeColor="text1"/>
                <w:sz w:val="24"/>
                <w:szCs w:val="24"/>
                <w:lang w:eastAsia="it-IT"/>
              </w:rPr>
            </w:pPr>
          </w:p>
          <w:tbl>
            <w:tblPr>
              <w:tblW w:w="9559" w:type="dxa"/>
              <w:tblCellMar>
                <w:left w:w="70" w:type="dxa"/>
                <w:right w:w="70" w:type="dxa"/>
              </w:tblCellMar>
              <w:tblLook w:val="04A0" w:firstRow="1" w:lastRow="0" w:firstColumn="1" w:lastColumn="0" w:noHBand="0" w:noVBand="1"/>
            </w:tblPr>
            <w:tblGrid>
              <w:gridCol w:w="325"/>
              <w:gridCol w:w="2255"/>
              <w:gridCol w:w="1259"/>
              <w:gridCol w:w="1120"/>
              <w:gridCol w:w="1120"/>
              <w:gridCol w:w="1130"/>
              <w:gridCol w:w="1244"/>
              <w:gridCol w:w="1121"/>
            </w:tblGrid>
            <w:tr w:rsidR="00F56356" w:rsidRPr="00F56356" w14:paraId="73715F4A" w14:textId="77777777" w:rsidTr="00F56356">
              <w:trPr>
                <w:trHeight w:val="510"/>
              </w:trPr>
              <w:tc>
                <w:tcPr>
                  <w:tcW w:w="325" w:type="dxa"/>
                  <w:tcBorders>
                    <w:top w:val="nil"/>
                    <w:left w:val="nil"/>
                    <w:bottom w:val="nil"/>
                    <w:right w:val="nil"/>
                  </w:tcBorders>
                  <w:shd w:val="clear" w:color="auto" w:fill="auto"/>
                  <w:noWrap/>
                  <w:vAlign w:val="bottom"/>
                  <w:hideMark/>
                </w:tcPr>
                <w:p w14:paraId="6069B9A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2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49FC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7DD85C84" w14:textId="77777777" w:rsidTr="00F56356">
              <w:trPr>
                <w:trHeight w:val="690"/>
              </w:trPr>
              <w:tc>
                <w:tcPr>
                  <w:tcW w:w="325" w:type="dxa"/>
                  <w:tcBorders>
                    <w:top w:val="nil"/>
                    <w:left w:val="nil"/>
                    <w:bottom w:val="nil"/>
                    <w:right w:val="nil"/>
                  </w:tcBorders>
                  <w:shd w:val="clear" w:color="auto" w:fill="auto"/>
                  <w:noWrap/>
                  <w:vAlign w:val="center"/>
                  <w:hideMark/>
                </w:tcPr>
                <w:p w14:paraId="5F61923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3D333D6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71C7175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7ACFC88E" w14:textId="77777777" w:rsidTr="00F56356">
              <w:trPr>
                <w:trHeight w:val="690"/>
              </w:trPr>
              <w:tc>
                <w:tcPr>
                  <w:tcW w:w="325" w:type="dxa"/>
                  <w:tcBorders>
                    <w:top w:val="nil"/>
                    <w:left w:val="nil"/>
                    <w:bottom w:val="nil"/>
                    <w:right w:val="nil"/>
                  </w:tcBorders>
                  <w:shd w:val="clear" w:color="auto" w:fill="auto"/>
                  <w:noWrap/>
                  <w:vAlign w:val="center"/>
                  <w:hideMark/>
                </w:tcPr>
                <w:p w14:paraId="70623F6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0426E0E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97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28DF3D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09078C1C" w14:textId="77777777" w:rsidTr="00F56356">
              <w:trPr>
                <w:trHeight w:val="690"/>
              </w:trPr>
              <w:tc>
                <w:tcPr>
                  <w:tcW w:w="325" w:type="dxa"/>
                  <w:tcBorders>
                    <w:top w:val="nil"/>
                    <w:left w:val="nil"/>
                    <w:bottom w:val="nil"/>
                    <w:right w:val="nil"/>
                  </w:tcBorders>
                  <w:shd w:val="clear" w:color="auto" w:fill="auto"/>
                  <w:noWrap/>
                  <w:vAlign w:val="center"/>
                  <w:hideMark/>
                </w:tcPr>
                <w:p w14:paraId="104DE6C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vAlign w:val="center"/>
                  <w:hideMark/>
                </w:tcPr>
                <w:p w14:paraId="179BF9A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97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5C5317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480FEBDC" w14:textId="77777777" w:rsidTr="00F56356">
              <w:trPr>
                <w:trHeight w:val="720"/>
              </w:trPr>
              <w:tc>
                <w:tcPr>
                  <w:tcW w:w="325" w:type="dxa"/>
                  <w:tcBorders>
                    <w:top w:val="nil"/>
                    <w:left w:val="nil"/>
                    <w:bottom w:val="nil"/>
                    <w:right w:val="nil"/>
                  </w:tcBorders>
                  <w:shd w:val="clear" w:color="auto" w:fill="auto"/>
                  <w:noWrap/>
                  <w:vAlign w:val="center"/>
                  <w:hideMark/>
                </w:tcPr>
                <w:p w14:paraId="0196B48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0D98C59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38E1C35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Progetto pilota di razionalizzazione degli spazi ad uso ufficio della Presidenza del Consiglio dei ministri</w:t>
                  </w:r>
                </w:p>
              </w:tc>
            </w:tr>
            <w:tr w:rsidR="00F56356" w:rsidRPr="00F56356" w14:paraId="55705FDF" w14:textId="77777777" w:rsidTr="00F56356">
              <w:trPr>
                <w:trHeight w:val="1200"/>
              </w:trPr>
              <w:tc>
                <w:tcPr>
                  <w:tcW w:w="325" w:type="dxa"/>
                  <w:tcBorders>
                    <w:top w:val="nil"/>
                    <w:left w:val="nil"/>
                    <w:bottom w:val="nil"/>
                    <w:right w:val="nil"/>
                  </w:tcBorders>
                  <w:shd w:val="clear" w:color="auto" w:fill="auto"/>
                  <w:noWrap/>
                  <w:vAlign w:val="center"/>
                  <w:hideMark/>
                </w:tcPr>
                <w:p w14:paraId="25D833D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7249553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0256C28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Realizzazione, con il contributo di un operatore economico specializzato nel settore, di un documento prototipale di pianificazione degli spazi di lavoro per l’applicazione di nuove soluzioni organizzative, allo scopo di conseguire una più efficiente ed efficace fruizione e gestione degli spazi di lavoro.</w:t>
                  </w:r>
                </w:p>
              </w:tc>
            </w:tr>
            <w:tr w:rsidR="00F56356" w:rsidRPr="00F56356" w14:paraId="196DB76C" w14:textId="77777777" w:rsidTr="00F56356">
              <w:trPr>
                <w:trHeight w:val="360"/>
              </w:trPr>
              <w:tc>
                <w:tcPr>
                  <w:tcW w:w="325" w:type="dxa"/>
                  <w:tcBorders>
                    <w:top w:val="nil"/>
                    <w:left w:val="nil"/>
                    <w:bottom w:val="nil"/>
                    <w:right w:val="nil"/>
                  </w:tcBorders>
                  <w:shd w:val="clear" w:color="auto" w:fill="auto"/>
                  <w:noWrap/>
                  <w:vAlign w:val="center"/>
                  <w:hideMark/>
                </w:tcPr>
                <w:p w14:paraId="531AD0C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46C7EF7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7F3B1A5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A9349F6" w14:textId="77777777" w:rsidTr="00F56356">
              <w:trPr>
                <w:trHeight w:val="360"/>
              </w:trPr>
              <w:tc>
                <w:tcPr>
                  <w:tcW w:w="325" w:type="dxa"/>
                  <w:tcBorders>
                    <w:top w:val="nil"/>
                    <w:left w:val="nil"/>
                    <w:bottom w:val="nil"/>
                    <w:right w:val="nil"/>
                  </w:tcBorders>
                  <w:shd w:val="clear" w:color="auto" w:fill="auto"/>
                  <w:noWrap/>
                  <w:vAlign w:val="center"/>
                  <w:hideMark/>
                </w:tcPr>
                <w:p w14:paraId="212278F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428831B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7DE80EF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562E398" w14:textId="77777777" w:rsidTr="00F56356">
              <w:trPr>
                <w:trHeight w:val="525"/>
              </w:trPr>
              <w:tc>
                <w:tcPr>
                  <w:tcW w:w="325" w:type="dxa"/>
                  <w:tcBorders>
                    <w:top w:val="nil"/>
                    <w:left w:val="nil"/>
                    <w:bottom w:val="nil"/>
                    <w:right w:val="nil"/>
                  </w:tcBorders>
                  <w:shd w:val="clear" w:color="auto" w:fill="auto"/>
                  <w:noWrap/>
                  <w:vAlign w:val="bottom"/>
                  <w:hideMark/>
                </w:tcPr>
                <w:p w14:paraId="0F89449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vMerge w:val="restart"/>
                  <w:tcBorders>
                    <w:top w:val="nil"/>
                    <w:left w:val="single" w:sz="4" w:space="0" w:color="auto"/>
                    <w:bottom w:val="single" w:sz="4" w:space="0" w:color="000000"/>
                    <w:right w:val="single" w:sz="4" w:space="0" w:color="auto"/>
                  </w:tcBorders>
                  <w:shd w:val="clear" w:color="auto" w:fill="auto"/>
                  <w:vAlign w:val="center"/>
                  <w:hideMark/>
                </w:tcPr>
                <w:p w14:paraId="2019807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1259" w:type="dxa"/>
                  <w:vMerge w:val="restart"/>
                  <w:tcBorders>
                    <w:top w:val="nil"/>
                    <w:left w:val="single" w:sz="4" w:space="0" w:color="auto"/>
                    <w:bottom w:val="single" w:sz="4" w:space="0" w:color="000000"/>
                    <w:right w:val="single" w:sz="4" w:space="0" w:color="auto"/>
                  </w:tcBorders>
                  <w:shd w:val="clear" w:color="auto" w:fill="auto"/>
                  <w:vAlign w:val="center"/>
                  <w:hideMark/>
                </w:tcPr>
                <w:p w14:paraId="0D61473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 188 Quota parte dello stanziamento dell’anno                   </w:t>
                  </w:r>
                  <w:proofErr w:type="gramStart"/>
                  <w:r w:rsidRPr="00F56356">
                    <w:rPr>
                      <w:rFonts w:ascii="Times New Roman" w:eastAsia="Times New Roman" w:hAnsi="Times New Roman" w:cs="Times New Roman"/>
                      <w:color w:val="000000"/>
                      <w:sz w:val="20"/>
                      <w:szCs w:val="20"/>
                      <w:lang w:eastAsia="it-IT"/>
                    </w:rPr>
                    <w:t xml:space="preserve">   (</w:t>
                  </w:r>
                  <w:proofErr w:type="gramEnd"/>
                  <w:r w:rsidRPr="00F56356">
                    <w:rPr>
                      <w:rFonts w:ascii="Times New Roman" w:eastAsia="Times New Roman" w:hAnsi="Times New Roman" w:cs="Times New Roman"/>
                      <w:color w:val="000000"/>
                      <w:sz w:val="20"/>
                      <w:szCs w:val="20"/>
                      <w:lang w:eastAsia="it-IT"/>
                    </w:rPr>
                    <w:t>270.000,00)</w:t>
                  </w:r>
                </w:p>
              </w:tc>
              <w:tc>
                <w:tcPr>
                  <w:tcW w:w="223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F6E75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49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16024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3903CFB" w14:textId="77777777" w:rsidTr="00F56356">
              <w:trPr>
                <w:trHeight w:val="1305"/>
              </w:trPr>
              <w:tc>
                <w:tcPr>
                  <w:tcW w:w="325" w:type="dxa"/>
                  <w:tcBorders>
                    <w:top w:val="nil"/>
                    <w:left w:val="nil"/>
                    <w:bottom w:val="nil"/>
                    <w:right w:val="nil"/>
                  </w:tcBorders>
                  <w:shd w:val="clear" w:color="auto" w:fill="auto"/>
                  <w:noWrap/>
                  <w:vAlign w:val="bottom"/>
                  <w:hideMark/>
                </w:tcPr>
                <w:p w14:paraId="0DC20AB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255" w:type="dxa"/>
                  <w:vMerge/>
                  <w:tcBorders>
                    <w:top w:val="nil"/>
                    <w:left w:val="single" w:sz="4" w:space="0" w:color="auto"/>
                    <w:bottom w:val="single" w:sz="4" w:space="0" w:color="000000"/>
                    <w:right w:val="single" w:sz="4" w:space="0" w:color="auto"/>
                  </w:tcBorders>
                  <w:vAlign w:val="center"/>
                  <w:hideMark/>
                </w:tcPr>
                <w:p w14:paraId="6822202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59" w:type="dxa"/>
                  <w:vMerge/>
                  <w:tcBorders>
                    <w:top w:val="nil"/>
                    <w:left w:val="single" w:sz="4" w:space="0" w:color="auto"/>
                    <w:bottom w:val="single" w:sz="4" w:space="0" w:color="000000"/>
                    <w:right w:val="single" w:sz="4" w:space="0" w:color="auto"/>
                  </w:tcBorders>
                  <w:vAlign w:val="center"/>
                  <w:hideMark/>
                </w:tcPr>
                <w:p w14:paraId="0037E31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115" w:type="dxa"/>
                  <w:tcBorders>
                    <w:top w:val="nil"/>
                    <w:left w:val="nil"/>
                    <w:bottom w:val="single" w:sz="4" w:space="0" w:color="auto"/>
                    <w:right w:val="single" w:sz="4" w:space="0" w:color="auto"/>
                  </w:tcBorders>
                  <w:shd w:val="clear" w:color="auto" w:fill="auto"/>
                  <w:vAlign w:val="center"/>
                  <w:hideMark/>
                </w:tcPr>
                <w:p w14:paraId="7B10A7C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15" w:type="dxa"/>
                  <w:tcBorders>
                    <w:top w:val="nil"/>
                    <w:left w:val="nil"/>
                    <w:bottom w:val="single" w:sz="4" w:space="0" w:color="auto"/>
                    <w:right w:val="single" w:sz="4" w:space="0" w:color="auto"/>
                  </w:tcBorders>
                  <w:shd w:val="clear" w:color="auto" w:fill="auto"/>
                  <w:vAlign w:val="center"/>
                  <w:hideMark/>
                </w:tcPr>
                <w:p w14:paraId="49023C4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25" w:type="dxa"/>
                  <w:tcBorders>
                    <w:top w:val="nil"/>
                    <w:left w:val="nil"/>
                    <w:bottom w:val="single" w:sz="4" w:space="0" w:color="auto"/>
                    <w:right w:val="single" w:sz="4" w:space="0" w:color="auto"/>
                  </w:tcBorders>
                  <w:shd w:val="clear" w:color="auto" w:fill="auto"/>
                  <w:vAlign w:val="center"/>
                  <w:hideMark/>
                </w:tcPr>
                <w:p w14:paraId="75CEC80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244" w:type="dxa"/>
                  <w:tcBorders>
                    <w:top w:val="nil"/>
                    <w:left w:val="nil"/>
                    <w:bottom w:val="single" w:sz="4" w:space="0" w:color="auto"/>
                    <w:right w:val="single" w:sz="4" w:space="0" w:color="auto"/>
                  </w:tcBorders>
                  <w:shd w:val="clear" w:color="auto" w:fill="auto"/>
                  <w:vAlign w:val="center"/>
                  <w:hideMark/>
                </w:tcPr>
                <w:p w14:paraId="18DBBD4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21" w:type="dxa"/>
                  <w:tcBorders>
                    <w:top w:val="nil"/>
                    <w:left w:val="nil"/>
                    <w:bottom w:val="single" w:sz="4" w:space="0" w:color="auto"/>
                    <w:right w:val="single" w:sz="4" w:space="0" w:color="auto"/>
                  </w:tcBorders>
                  <w:shd w:val="clear" w:color="auto" w:fill="auto"/>
                  <w:vAlign w:val="center"/>
                  <w:hideMark/>
                </w:tcPr>
                <w:p w14:paraId="40F8603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721FB1D" w14:textId="77777777" w:rsidTr="00F56356">
              <w:trPr>
                <w:trHeight w:val="720"/>
              </w:trPr>
              <w:tc>
                <w:tcPr>
                  <w:tcW w:w="325" w:type="dxa"/>
                  <w:tcBorders>
                    <w:top w:val="nil"/>
                    <w:left w:val="nil"/>
                    <w:bottom w:val="nil"/>
                    <w:right w:val="nil"/>
                  </w:tcBorders>
                  <w:shd w:val="clear" w:color="auto" w:fill="auto"/>
                  <w:noWrap/>
                  <w:vAlign w:val="bottom"/>
                  <w:hideMark/>
                </w:tcPr>
                <w:p w14:paraId="1F802D9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255" w:type="dxa"/>
                  <w:vMerge/>
                  <w:tcBorders>
                    <w:top w:val="nil"/>
                    <w:left w:val="single" w:sz="4" w:space="0" w:color="auto"/>
                    <w:bottom w:val="single" w:sz="4" w:space="0" w:color="000000"/>
                    <w:right w:val="single" w:sz="4" w:space="0" w:color="auto"/>
                  </w:tcBorders>
                  <w:vAlign w:val="center"/>
                  <w:hideMark/>
                </w:tcPr>
                <w:p w14:paraId="1361F3D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59" w:type="dxa"/>
                  <w:vMerge/>
                  <w:tcBorders>
                    <w:top w:val="nil"/>
                    <w:left w:val="single" w:sz="4" w:space="0" w:color="auto"/>
                    <w:bottom w:val="single" w:sz="4" w:space="0" w:color="000000"/>
                    <w:right w:val="single" w:sz="4" w:space="0" w:color="auto"/>
                  </w:tcBorders>
                  <w:vAlign w:val="center"/>
                  <w:hideMark/>
                </w:tcPr>
                <w:p w14:paraId="2FD44DD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115" w:type="dxa"/>
                  <w:tcBorders>
                    <w:top w:val="nil"/>
                    <w:left w:val="nil"/>
                    <w:bottom w:val="single" w:sz="4" w:space="0" w:color="auto"/>
                    <w:right w:val="single" w:sz="4" w:space="0" w:color="auto"/>
                  </w:tcBorders>
                  <w:shd w:val="clear" w:color="auto" w:fill="auto"/>
                  <w:noWrap/>
                  <w:vAlign w:val="center"/>
                  <w:hideMark/>
                </w:tcPr>
                <w:p w14:paraId="7EBBA0B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75.000,00</w:t>
                  </w:r>
                </w:p>
              </w:tc>
              <w:tc>
                <w:tcPr>
                  <w:tcW w:w="1115" w:type="dxa"/>
                  <w:tcBorders>
                    <w:top w:val="nil"/>
                    <w:left w:val="nil"/>
                    <w:bottom w:val="single" w:sz="4" w:space="0" w:color="auto"/>
                    <w:right w:val="single" w:sz="4" w:space="0" w:color="auto"/>
                  </w:tcBorders>
                  <w:shd w:val="clear" w:color="auto" w:fill="auto"/>
                  <w:noWrap/>
                  <w:vAlign w:val="center"/>
                  <w:hideMark/>
                </w:tcPr>
                <w:p w14:paraId="7F11D50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75.000,00</w:t>
                  </w:r>
                </w:p>
              </w:tc>
              <w:tc>
                <w:tcPr>
                  <w:tcW w:w="1125" w:type="dxa"/>
                  <w:tcBorders>
                    <w:top w:val="nil"/>
                    <w:left w:val="nil"/>
                    <w:bottom w:val="single" w:sz="4" w:space="0" w:color="auto"/>
                    <w:right w:val="single" w:sz="4" w:space="0" w:color="auto"/>
                  </w:tcBorders>
                  <w:shd w:val="clear" w:color="auto" w:fill="auto"/>
                  <w:noWrap/>
                  <w:vAlign w:val="center"/>
                  <w:hideMark/>
                </w:tcPr>
                <w:p w14:paraId="6A27AA6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67.327,60</w:t>
                  </w:r>
                </w:p>
              </w:tc>
              <w:tc>
                <w:tcPr>
                  <w:tcW w:w="1244" w:type="dxa"/>
                  <w:tcBorders>
                    <w:top w:val="nil"/>
                    <w:left w:val="nil"/>
                    <w:bottom w:val="single" w:sz="4" w:space="0" w:color="auto"/>
                    <w:right w:val="single" w:sz="4" w:space="0" w:color="auto"/>
                  </w:tcBorders>
                  <w:shd w:val="clear" w:color="auto" w:fill="auto"/>
                  <w:noWrap/>
                  <w:vAlign w:val="center"/>
                  <w:hideMark/>
                </w:tcPr>
                <w:p w14:paraId="0EC0A79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21" w:type="dxa"/>
                  <w:tcBorders>
                    <w:top w:val="nil"/>
                    <w:left w:val="nil"/>
                    <w:bottom w:val="single" w:sz="4" w:space="0" w:color="auto"/>
                    <w:right w:val="single" w:sz="4" w:space="0" w:color="auto"/>
                  </w:tcBorders>
                  <w:shd w:val="clear" w:color="auto" w:fill="auto"/>
                  <w:noWrap/>
                  <w:vAlign w:val="center"/>
                  <w:hideMark/>
                </w:tcPr>
                <w:p w14:paraId="0FEAA0A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67.327,60</w:t>
                  </w:r>
                </w:p>
              </w:tc>
            </w:tr>
            <w:tr w:rsidR="00F56356" w:rsidRPr="00F56356" w14:paraId="13E8A213" w14:textId="77777777" w:rsidTr="00F56356">
              <w:trPr>
                <w:trHeight w:val="330"/>
              </w:trPr>
              <w:tc>
                <w:tcPr>
                  <w:tcW w:w="325" w:type="dxa"/>
                  <w:tcBorders>
                    <w:top w:val="nil"/>
                    <w:left w:val="nil"/>
                    <w:bottom w:val="nil"/>
                    <w:right w:val="nil"/>
                  </w:tcBorders>
                  <w:shd w:val="clear" w:color="auto" w:fill="auto"/>
                  <w:noWrap/>
                  <w:vAlign w:val="bottom"/>
                  <w:hideMark/>
                </w:tcPr>
                <w:p w14:paraId="2DAB563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255" w:type="dxa"/>
                  <w:tcBorders>
                    <w:top w:val="nil"/>
                    <w:left w:val="single" w:sz="4" w:space="0" w:color="auto"/>
                    <w:bottom w:val="nil"/>
                    <w:right w:val="nil"/>
                  </w:tcBorders>
                  <w:shd w:val="clear" w:color="auto" w:fill="auto"/>
                  <w:noWrap/>
                  <w:vAlign w:val="center"/>
                  <w:hideMark/>
                </w:tcPr>
                <w:p w14:paraId="211724D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1259" w:type="dxa"/>
                  <w:tcBorders>
                    <w:top w:val="nil"/>
                    <w:left w:val="nil"/>
                    <w:bottom w:val="nil"/>
                    <w:right w:val="nil"/>
                  </w:tcBorders>
                  <w:shd w:val="clear" w:color="auto" w:fill="auto"/>
                  <w:noWrap/>
                  <w:vAlign w:val="bottom"/>
                  <w:hideMark/>
                </w:tcPr>
                <w:p w14:paraId="0FEC3F8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115" w:type="dxa"/>
                  <w:tcBorders>
                    <w:top w:val="nil"/>
                    <w:left w:val="nil"/>
                    <w:bottom w:val="nil"/>
                    <w:right w:val="nil"/>
                  </w:tcBorders>
                  <w:shd w:val="clear" w:color="auto" w:fill="auto"/>
                  <w:noWrap/>
                  <w:vAlign w:val="bottom"/>
                  <w:hideMark/>
                </w:tcPr>
                <w:p w14:paraId="754E744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15" w:type="dxa"/>
                  <w:tcBorders>
                    <w:top w:val="nil"/>
                    <w:left w:val="nil"/>
                    <w:bottom w:val="nil"/>
                    <w:right w:val="nil"/>
                  </w:tcBorders>
                  <w:shd w:val="clear" w:color="auto" w:fill="auto"/>
                  <w:noWrap/>
                  <w:vAlign w:val="bottom"/>
                  <w:hideMark/>
                </w:tcPr>
                <w:p w14:paraId="5DCF141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5" w:type="dxa"/>
                  <w:tcBorders>
                    <w:top w:val="nil"/>
                    <w:left w:val="nil"/>
                    <w:bottom w:val="nil"/>
                    <w:right w:val="nil"/>
                  </w:tcBorders>
                  <w:shd w:val="clear" w:color="auto" w:fill="auto"/>
                  <w:noWrap/>
                  <w:vAlign w:val="bottom"/>
                  <w:hideMark/>
                </w:tcPr>
                <w:p w14:paraId="6C42A9F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44" w:type="dxa"/>
                  <w:tcBorders>
                    <w:top w:val="nil"/>
                    <w:left w:val="nil"/>
                    <w:bottom w:val="nil"/>
                    <w:right w:val="nil"/>
                  </w:tcBorders>
                  <w:shd w:val="clear" w:color="auto" w:fill="auto"/>
                  <w:noWrap/>
                  <w:vAlign w:val="bottom"/>
                  <w:hideMark/>
                </w:tcPr>
                <w:p w14:paraId="547F735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1" w:type="dxa"/>
                  <w:tcBorders>
                    <w:top w:val="nil"/>
                    <w:left w:val="nil"/>
                    <w:bottom w:val="nil"/>
                    <w:right w:val="single" w:sz="4" w:space="0" w:color="auto"/>
                  </w:tcBorders>
                  <w:shd w:val="clear" w:color="auto" w:fill="auto"/>
                  <w:noWrap/>
                  <w:vAlign w:val="bottom"/>
                  <w:hideMark/>
                </w:tcPr>
                <w:p w14:paraId="3878F8A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699A101" w14:textId="77777777" w:rsidTr="00F56356">
              <w:trPr>
                <w:trHeight w:val="540"/>
              </w:trPr>
              <w:tc>
                <w:tcPr>
                  <w:tcW w:w="325" w:type="dxa"/>
                  <w:tcBorders>
                    <w:top w:val="nil"/>
                    <w:left w:val="nil"/>
                    <w:bottom w:val="nil"/>
                    <w:right w:val="nil"/>
                  </w:tcBorders>
                  <w:shd w:val="clear" w:color="auto" w:fill="auto"/>
                  <w:noWrap/>
                  <w:vAlign w:val="bottom"/>
                  <w:hideMark/>
                </w:tcPr>
                <w:p w14:paraId="5E9E603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34" w:type="dxa"/>
                  <w:gridSpan w:val="7"/>
                  <w:tcBorders>
                    <w:top w:val="nil"/>
                    <w:left w:val="single" w:sz="4" w:space="0" w:color="auto"/>
                    <w:bottom w:val="nil"/>
                    <w:right w:val="single" w:sz="4" w:space="0" w:color="000000"/>
                  </w:tcBorders>
                  <w:shd w:val="clear" w:color="auto" w:fill="auto"/>
                  <w:vAlign w:val="center"/>
                  <w:hideMark/>
                </w:tcPr>
                <w:p w14:paraId="7CDEB38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3DA2F45E" w14:textId="77777777" w:rsidTr="00F56356">
              <w:trPr>
                <w:trHeight w:val="345"/>
              </w:trPr>
              <w:tc>
                <w:tcPr>
                  <w:tcW w:w="325" w:type="dxa"/>
                  <w:tcBorders>
                    <w:top w:val="nil"/>
                    <w:left w:val="nil"/>
                    <w:bottom w:val="nil"/>
                    <w:right w:val="nil"/>
                  </w:tcBorders>
                  <w:shd w:val="clear" w:color="auto" w:fill="auto"/>
                  <w:noWrap/>
                  <w:vAlign w:val="bottom"/>
                  <w:hideMark/>
                </w:tcPr>
                <w:p w14:paraId="4EC252F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34" w:type="dxa"/>
                  <w:gridSpan w:val="7"/>
                  <w:tcBorders>
                    <w:top w:val="nil"/>
                    <w:left w:val="single" w:sz="4" w:space="0" w:color="auto"/>
                    <w:bottom w:val="nil"/>
                    <w:right w:val="single" w:sz="4" w:space="0" w:color="000000"/>
                  </w:tcBorders>
                  <w:shd w:val="clear" w:color="auto" w:fill="auto"/>
                  <w:vAlign w:val="center"/>
                  <w:hideMark/>
                </w:tcPr>
                <w:p w14:paraId="0FF4CE8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6768A6E9" w14:textId="77777777" w:rsidTr="00F56356">
              <w:trPr>
                <w:trHeight w:val="345"/>
              </w:trPr>
              <w:tc>
                <w:tcPr>
                  <w:tcW w:w="325" w:type="dxa"/>
                  <w:tcBorders>
                    <w:top w:val="nil"/>
                    <w:left w:val="nil"/>
                    <w:bottom w:val="nil"/>
                    <w:right w:val="nil"/>
                  </w:tcBorders>
                  <w:shd w:val="clear" w:color="auto" w:fill="auto"/>
                  <w:noWrap/>
                  <w:vAlign w:val="bottom"/>
                  <w:hideMark/>
                </w:tcPr>
                <w:p w14:paraId="2F859B4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34" w:type="dxa"/>
                  <w:gridSpan w:val="7"/>
                  <w:tcBorders>
                    <w:top w:val="nil"/>
                    <w:left w:val="single" w:sz="4" w:space="0" w:color="auto"/>
                    <w:bottom w:val="single" w:sz="4" w:space="0" w:color="auto"/>
                    <w:right w:val="single" w:sz="4" w:space="0" w:color="000000"/>
                  </w:tcBorders>
                  <w:shd w:val="clear" w:color="auto" w:fill="auto"/>
                  <w:vAlign w:val="center"/>
                  <w:hideMark/>
                </w:tcPr>
                <w:p w14:paraId="33A1F60A"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36691C27" w14:textId="77777777" w:rsidTr="00F56356">
              <w:trPr>
                <w:trHeight w:val="480"/>
              </w:trPr>
              <w:tc>
                <w:tcPr>
                  <w:tcW w:w="325" w:type="dxa"/>
                  <w:tcBorders>
                    <w:top w:val="nil"/>
                    <w:left w:val="nil"/>
                    <w:bottom w:val="nil"/>
                    <w:right w:val="nil"/>
                  </w:tcBorders>
                  <w:shd w:val="clear" w:color="auto" w:fill="auto"/>
                  <w:noWrap/>
                  <w:vAlign w:val="bottom"/>
                  <w:hideMark/>
                </w:tcPr>
                <w:p w14:paraId="34D82B3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23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E860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7202945" w14:textId="77777777" w:rsidTr="00F56356">
              <w:trPr>
                <w:trHeight w:val="540"/>
              </w:trPr>
              <w:tc>
                <w:tcPr>
                  <w:tcW w:w="325" w:type="dxa"/>
                  <w:tcBorders>
                    <w:top w:val="nil"/>
                    <w:left w:val="nil"/>
                    <w:bottom w:val="nil"/>
                    <w:right w:val="nil"/>
                  </w:tcBorders>
                  <w:shd w:val="clear" w:color="auto" w:fill="auto"/>
                  <w:noWrap/>
                  <w:vAlign w:val="center"/>
                  <w:hideMark/>
                </w:tcPr>
                <w:p w14:paraId="7969DAE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6D00E9B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5712610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Grado di realizzazione dei progetti/iniziative/attività previsti in un documento programmatico </w:t>
                  </w:r>
                </w:p>
              </w:tc>
            </w:tr>
            <w:tr w:rsidR="00F56356" w:rsidRPr="00F56356" w14:paraId="17A66A00" w14:textId="77777777" w:rsidTr="00F56356">
              <w:trPr>
                <w:trHeight w:val="585"/>
              </w:trPr>
              <w:tc>
                <w:tcPr>
                  <w:tcW w:w="325" w:type="dxa"/>
                  <w:tcBorders>
                    <w:top w:val="nil"/>
                    <w:left w:val="nil"/>
                    <w:bottom w:val="nil"/>
                    <w:right w:val="nil"/>
                  </w:tcBorders>
                  <w:shd w:val="clear" w:color="auto" w:fill="auto"/>
                  <w:noWrap/>
                  <w:vAlign w:val="center"/>
                  <w:hideMark/>
                </w:tcPr>
                <w:p w14:paraId="27DC27F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43F5F7C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979" w:type="dxa"/>
                  <w:gridSpan w:val="6"/>
                  <w:tcBorders>
                    <w:top w:val="single" w:sz="4" w:space="0" w:color="auto"/>
                    <w:left w:val="nil"/>
                    <w:bottom w:val="single" w:sz="4" w:space="0" w:color="auto"/>
                    <w:right w:val="single" w:sz="4" w:space="0" w:color="000000"/>
                  </w:tcBorders>
                  <w:shd w:val="clear" w:color="auto" w:fill="auto"/>
                  <w:vAlign w:val="center"/>
                  <w:hideMark/>
                </w:tcPr>
                <w:p w14:paraId="4E2FB7A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SI.CO.GE. </w:t>
                  </w:r>
                </w:p>
              </w:tc>
            </w:tr>
            <w:tr w:rsidR="00F56356" w:rsidRPr="00F56356" w14:paraId="633CC1C5" w14:textId="77777777" w:rsidTr="00F56356">
              <w:trPr>
                <w:trHeight w:val="1650"/>
              </w:trPr>
              <w:tc>
                <w:tcPr>
                  <w:tcW w:w="325" w:type="dxa"/>
                  <w:tcBorders>
                    <w:top w:val="nil"/>
                    <w:left w:val="nil"/>
                    <w:bottom w:val="nil"/>
                    <w:right w:val="nil"/>
                  </w:tcBorders>
                  <w:shd w:val="clear" w:color="auto" w:fill="auto"/>
                  <w:noWrap/>
                  <w:vAlign w:val="center"/>
                  <w:hideMark/>
                </w:tcPr>
                <w:p w14:paraId="663D490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55" w:type="dxa"/>
                  <w:tcBorders>
                    <w:top w:val="nil"/>
                    <w:left w:val="single" w:sz="4" w:space="0" w:color="auto"/>
                    <w:bottom w:val="single" w:sz="4" w:space="0" w:color="auto"/>
                    <w:right w:val="single" w:sz="4" w:space="0" w:color="auto"/>
                  </w:tcBorders>
                  <w:shd w:val="clear" w:color="auto" w:fill="auto"/>
                  <w:noWrap/>
                  <w:vAlign w:val="center"/>
                  <w:hideMark/>
                </w:tcPr>
                <w:p w14:paraId="5827993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489" w:type="dxa"/>
                  <w:gridSpan w:val="3"/>
                  <w:tcBorders>
                    <w:top w:val="single" w:sz="4" w:space="0" w:color="auto"/>
                    <w:left w:val="nil"/>
                    <w:bottom w:val="single" w:sz="4" w:space="0" w:color="auto"/>
                    <w:right w:val="single" w:sz="4" w:space="0" w:color="000000"/>
                  </w:tcBorders>
                  <w:shd w:val="clear" w:color="auto" w:fill="auto"/>
                  <w:vAlign w:val="center"/>
                  <w:hideMark/>
                </w:tcPr>
                <w:p w14:paraId="022E912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N.ro progetti/iniziative/attività realizzate nel 2022/ N.ro progetti/iniziative/attività programmate nel 2022 </w:t>
                  </w:r>
                </w:p>
              </w:tc>
              <w:tc>
                <w:tcPr>
                  <w:tcW w:w="1125" w:type="dxa"/>
                  <w:tcBorders>
                    <w:top w:val="nil"/>
                    <w:left w:val="nil"/>
                    <w:bottom w:val="single" w:sz="4" w:space="0" w:color="auto"/>
                    <w:right w:val="nil"/>
                  </w:tcBorders>
                  <w:shd w:val="clear" w:color="auto" w:fill="auto"/>
                  <w:vAlign w:val="center"/>
                  <w:hideMark/>
                </w:tcPr>
                <w:p w14:paraId="4F825BE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244" w:type="dxa"/>
                  <w:tcBorders>
                    <w:top w:val="nil"/>
                    <w:left w:val="single" w:sz="4" w:space="0" w:color="auto"/>
                    <w:bottom w:val="single" w:sz="4" w:space="0" w:color="auto"/>
                    <w:right w:val="nil"/>
                  </w:tcBorders>
                  <w:shd w:val="clear" w:color="auto" w:fill="auto"/>
                  <w:vAlign w:val="center"/>
                  <w:hideMark/>
                </w:tcPr>
                <w:p w14:paraId="570CA09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21" w:type="dxa"/>
                  <w:tcBorders>
                    <w:top w:val="nil"/>
                    <w:left w:val="single" w:sz="4" w:space="0" w:color="auto"/>
                    <w:bottom w:val="single" w:sz="4" w:space="0" w:color="auto"/>
                    <w:right w:val="single" w:sz="4" w:space="0" w:color="auto"/>
                  </w:tcBorders>
                  <w:shd w:val="clear" w:color="auto" w:fill="auto"/>
                  <w:vAlign w:val="center"/>
                  <w:hideMark/>
                </w:tcPr>
                <w:p w14:paraId="1A7A5C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37B3755A" w14:textId="77777777" w:rsidTr="00F56356">
              <w:trPr>
                <w:trHeight w:val="615"/>
              </w:trPr>
              <w:tc>
                <w:tcPr>
                  <w:tcW w:w="325" w:type="dxa"/>
                  <w:tcBorders>
                    <w:top w:val="nil"/>
                    <w:left w:val="nil"/>
                    <w:bottom w:val="nil"/>
                    <w:right w:val="nil"/>
                  </w:tcBorders>
                  <w:shd w:val="clear" w:color="auto" w:fill="auto"/>
                  <w:noWrap/>
                  <w:vAlign w:val="bottom"/>
                  <w:hideMark/>
                </w:tcPr>
                <w:p w14:paraId="2CE27FC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255" w:type="dxa"/>
                  <w:tcBorders>
                    <w:top w:val="nil"/>
                    <w:left w:val="single" w:sz="4" w:space="0" w:color="auto"/>
                    <w:bottom w:val="single" w:sz="4" w:space="0" w:color="auto"/>
                    <w:right w:val="single" w:sz="4" w:space="0" w:color="auto"/>
                  </w:tcBorders>
                  <w:shd w:val="clear" w:color="auto" w:fill="auto"/>
                  <w:vAlign w:val="center"/>
                  <w:hideMark/>
                </w:tcPr>
                <w:p w14:paraId="084CCDA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48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5799F9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25" w:type="dxa"/>
                  <w:tcBorders>
                    <w:top w:val="nil"/>
                    <w:left w:val="nil"/>
                    <w:bottom w:val="single" w:sz="4" w:space="0" w:color="auto"/>
                    <w:right w:val="single" w:sz="4" w:space="0" w:color="auto"/>
                  </w:tcBorders>
                  <w:shd w:val="clear" w:color="auto" w:fill="auto"/>
                  <w:noWrap/>
                  <w:vAlign w:val="center"/>
                  <w:hideMark/>
                </w:tcPr>
                <w:p w14:paraId="25ED02C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244" w:type="dxa"/>
                  <w:tcBorders>
                    <w:top w:val="nil"/>
                    <w:left w:val="nil"/>
                    <w:bottom w:val="single" w:sz="4" w:space="0" w:color="auto"/>
                    <w:right w:val="nil"/>
                  </w:tcBorders>
                  <w:shd w:val="clear" w:color="auto" w:fill="auto"/>
                  <w:vAlign w:val="center"/>
                  <w:hideMark/>
                </w:tcPr>
                <w:p w14:paraId="108F933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21" w:type="dxa"/>
                  <w:tcBorders>
                    <w:top w:val="nil"/>
                    <w:left w:val="single" w:sz="4" w:space="0" w:color="auto"/>
                    <w:bottom w:val="single" w:sz="4" w:space="0" w:color="auto"/>
                    <w:right w:val="single" w:sz="4" w:space="0" w:color="auto"/>
                  </w:tcBorders>
                  <w:shd w:val="clear" w:color="000000" w:fill="FFFFFF"/>
                  <w:vAlign w:val="center"/>
                  <w:hideMark/>
                </w:tcPr>
                <w:p w14:paraId="6F0F441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7AA9DFA0"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i/>
                <w:color w:val="FF0000"/>
                <w:sz w:val="28"/>
                <w:szCs w:val="24"/>
                <w:lang w:eastAsia="it-IT"/>
              </w:rPr>
            </w:pPr>
          </w:p>
          <w:p w14:paraId="61F4E679" w14:textId="77777777" w:rsidR="00F56356" w:rsidRPr="00F56356" w:rsidRDefault="00F56356" w:rsidP="00F56356">
            <w:pPr>
              <w:spacing w:after="0" w:line="240" w:lineRule="auto"/>
              <w:rPr>
                <w:rFonts w:ascii="Times New Roman" w:eastAsia="Times New Roman" w:hAnsi="Times New Roman" w:cs="Times New Roman"/>
                <w:color w:val="000000"/>
                <w:sz w:val="16"/>
                <w:szCs w:val="16"/>
                <w:lang w:eastAsia="it-IT"/>
              </w:rPr>
            </w:pPr>
          </w:p>
          <w:p w14:paraId="20D2D75A" w14:textId="77777777" w:rsidR="00B162D3" w:rsidRDefault="00B162D3" w:rsidP="00F56356">
            <w:pPr>
              <w:autoSpaceDE w:val="0"/>
              <w:autoSpaceDN w:val="0"/>
              <w:adjustRightInd w:val="0"/>
              <w:spacing w:after="0" w:line="360" w:lineRule="auto"/>
              <w:ind w:left="284"/>
              <w:jc w:val="both"/>
              <w:rPr>
                <w:rFonts w:ascii="Times New Roman" w:eastAsia="Times New Roman" w:hAnsi="Times New Roman" w:cs="Times New Roman"/>
                <w:b/>
                <w:sz w:val="24"/>
                <w:szCs w:val="24"/>
                <w:u w:val="single"/>
                <w:lang w:eastAsia="it-IT"/>
              </w:rPr>
            </w:pPr>
          </w:p>
          <w:p w14:paraId="0B3A98C9" w14:textId="1FB93FD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sz w:val="24"/>
                <w:szCs w:val="24"/>
                <w:u w:val="single"/>
                <w:lang w:eastAsia="it-IT"/>
              </w:rPr>
            </w:pPr>
            <w:r w:rsidRPr="00F56356">
              <w:rPr>
                <w:rFonts w:ascii="Times New Roman" w:eastAsia="Times New Roman" w:hAnsi="Times New Roman" w:cs="Times New Roman"/>
                <w:b/>
                <w:sz w:val="24"/>
                <w:szCs w:val="24"/>
                <w:u w:val="single"/>
                <w:lang w:eastAsia="it-IT"/>
              </w:rPr>
              <w:lastRenderedPageBreak/>
              <w:t>Dipartimento per il coordinamento amministrativo</w:t>
            </w:r>
          </w:p>
          <w:p w14:paraId="62040EEA"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sz w:val="14"/>
                <w:szCs w:val="24"/>
                <w:lang w:eastAsia="it-IT"/>
              </w:rPr>
            </w:pPr>
          </w:p>
          <w:p w14:paraId="50BD142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sz w:val="2"/>
                <w:szCs w:val="24"/>
                <w:lang w:eastAsia="it-IT"/>
              </w:rPr>
            </w:pPr>
          </w:p>
          <w:p w14:paraId="00BBF524"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bCs/>
                <w:sz w:val="24"/>
                <w:szCs w:val="24"/>
                <w:lang w:eastAsia="it-IT"/>
              </w:rPr>
              <w:t>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45B8240B"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sz w:val="6"/>
                <w:szCs w:val="24"/>
                <w:lang w:eastAsia="it-IT"/>
              </w:rPr>
            </w:pPr>
          </w:p>
          <w:p w14:paraId="444B9C27"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Dipartimento per il coordinamento amministrativo è la struttura di supporto al Presidente del Consiglio dei ministri che opera nel settore dell’attuazione, in via amministrativa, delle politiche del Governo. A tal fine, il Dipartimento effettua i necessari interventi di coordinamento, indirizzo, concertazione e monitoraggio ed esercita ogni altra attività attinente al coordinamento amministrativo demandata alla Presidenza, anche relativa a iniziative di carattere strategico. Cura, altresì, gli adempimenti riferiti alle competenze di carattere amministrativo in attuazione dell’indirizzo politico del Presidente o dei Sottosegretari delegati. Fornisce, inoltre, supporto all’attività della Commissione per l’accesso ai documenti amministrativi di cui alla legge 7 agosto 1990, n. 241 e assicura il supporto alle Commissioni e tavoli tecnici individuati con decreto del Presidente del Consiglio dei ministri.</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Garantisce, inoltre, il necessario raccordo con le strutture di missione di cui all’articolo 7, comma 4, del decreto legislativo 30 luglio 1999, n. 303 e con i commissari straordinari, nominati ai sensi dell’articolo 11 della legge 23 agosto 1988, n. 400, per far </w:t>
            </w:r>
            <w:r w:rsidRPr="00F56356">
              <w:rPr>
                <w:rFonts w:ascii="Times New Roman" w:eastAsia="Times New Roman" w:hAnsi="Times New Roman" w:cs="Times New Roman"/>
                <w:color w:val="000000" w:themeColor="text1"/>
                <w:sz w:val="24"/>
                <w:szCs w:val="24"/>
                <w:lang w:eastAsia="it-IT"/>
              </w:rPr>
              <w:t xml:space="preserve">fronte a particolari e temporanee </w:t>
            </w:r>
            <w:r w:rsidRPr="00F56356">
              <w:rPr>
                <w:rFonts w:ascii="Times New Roman" w:eastAsia="Times New Roman" w:hAnsi="Times New Roman" w:cs="Times New Roman"/>
                <w:sz w:val="24"/>
                <w:szCs w:val="24"/>
                <w:lang w:eastAsia="it-IT"/>
              </w:rPr>
              <w:t>esigenze di coordinamento operativo tra le amministrazioni statali.</w:t>
            </w:r>
          </w:p>
          <w:p w14:paraId="23B26786"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0E3A53FA" w14:textId="77777777" w:rsidR="00F56356" w:rsidRPr="00F56356" w:rsidRDefault="00F56356" w:rsidP="00F56356">
            <w:pPr>
              <w:spacing w:after="0" w:line="360" w:lineRule="auto"/>
              <w:ind w:left="284"/>
              <w:jc w:val="both"/>
              <w:rPr>
                <w:rFonts w:ascii="Times New Roman" w:eastAsia="Times New Roman" w:hAnsi="Times New Roman" w:cs="Times New Roman"/>
                <w:b/>
                <w:iCs/>
                <w:color w:val="000000" w:themeColor="text1"/>
                <w:sz w:val="24"/>
                <w:szCs w:val="24"/>
                <w:lang w:eastAsia="it-IT"/>
              </w:rPr>
            </w:pPr>
            <w:r w:rsidRPr="00F56356">
              <w:rPr>
                <w:rFonts w:ascii="Times New Roman" w:eastAsia="Times New Roman" w:hAnsi="Times New Roman" w:cs="Times New Roman"/>
                <w:b/>
                <w:sz w:val="24"/>
                <w:szCs w:val="24"/>
                <w:lang w:eastAsia="it-IT"/>
              </w:rPr>
              <w:t>2</w:t>
            </w:r>
            <w:r w:rsidRPr="00F56356">
              <w:rPr>
                <w:rFonts w:ascii="Times New Roman" w:eastAsia="Times New Roman" w:hAnsi="Times New Roman" w:cs="Times New Roman"/>
                <w:b/>
                <w:color w:val="000000" w:themeColor="text1"/>
                <w:sz w:val="24"/>
                <w:szCs w:val="24"/>
                <w:lang w:eastAsia="it-IT"/>
              </w:rPr>
              <w:t>.</w:t>
            </w:r>
            <w:r w:rsidRPr="00F56356">
              <w:rPr>
                <w:rFonts w:ascii="Times New Roman" w:eastAsia="Times New Roman" w:hAnsi="Times New Roman" w:cs="Times New Roman"/>
                <w:b/>
                <w:color w:val="FF0000"/>
                <w:sz w:val="24"/>
                <w:szCs w:val="24"/>
                <w:lang w:eastAsia="it-IT"/>
              </w:rPr>
              <w:t xml:space="preserve"> </w:t>
            </w:r>
            <w:r w:rsidRPr="00F56356">
              <w:rPr>
                <w:rFonts w:ascii="Times New Roman" w:eastAsia="Times New Roman" w:hAnsi="Times New Roman" w:cs="Times New Roman"/>
                <w:b/>
                <w:iCs/>
                <w:color w:val="000000" w:themeColor="text1"/>
                <w:sz w:val="24"/>
                <w:szCs w:val="24"/>
                <w:lang w:eastAsia="it-IT"/>
              </w:rPr>
              <w:t xml:space="preserve">Ricostruzione flussi finanziari e aspetti rilevanti della gestione </w:t>
            </w:r>
          </w:p>
          <w:p w14:paraId="6EB45E8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240.000.071,27,</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di cui euro   7.297.641,72 riferiti a reiscrizioni di residui passivi perenti ed euro 122.383.549,66 riferiti a riassegnazioni dall’avanzo d’esercizio 2021.</w:t>
            </w:r>
          </w:p>
          <w:p w14:paraId="189C6B65"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18"/>
                <w:szCs w:val="24"/>
                <w:lang w:eastAsia="it-IT"/>
              </w:rPr>
            </w:pPr>
          </w:p>
          <w:p w14:paraId="43D0B445"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70.925.137,54, con una economia di bilancio di euro 169.074.933,73. Il totale dei pagamenti riferiti alla competenza è pari a euro 46.994.863,05, con un indice di capacità di pagamento (rapporto pagato/impegnato) che si attesta al 66,26 per cento.</w:t>
            </w:r>
          </w:p>
          <w:p w14:paraId="38A085D8"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FF0000"/>
                <w:sz w:val="24"/>
                <w:szCs w:val="24"/>
                <w:lang w:eastAsia="it-IT"/>
              </w:rPr>
            </w:pPr>
          </w:p>
          <w:p w14:paraId="013B93F4"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41.520.820,56. Su questi sono stati effettuati pagamenti per euro 15.067.004,10 e realizzate economie per euro 732.322,54.</w:t>
            </w:r>
          </w:p>
          <w:p w14:paraId="65A79B01"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69F26B60"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140E2A67"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7E7D73CD"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2DD07D21"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3A87544B" w14:textId="539C4CAB" w:rsid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2E362612" w14:textId="6E5F543B" w:rsidR="00B162D3" w:rsidRDefault="00B162D3"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5A2F5783" w14:textId="653D34FF" w:rsidR="00B162D3" w:rsidRDefault="00B162D3"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782716DD" w14:textId="77777777" w:rsidR="00B162D3" w:rsidRPr="00F56356" w:rsidRDefault="00B162D3"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74B9A4F9"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10FADB99"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02C728DE"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12"/>
                <w:szCs w:val="24"/>
                <w:lang w:eastAsia="it-IT"/>
              </w:rPr>
            </w:pPr>
          </w:p>
          <w:p w14:paraId="2D778D8A"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Indicatori di bilancio</w:t>
            </w:r>
          </w:p>
          <w:tbl>
            <w:tblPr>
              <w:tblW w:w="6860" w:type="dxa"/>
              <w:jc w:val="center"/>
              <w:tblCellMar>
                <w:left w:w="70" w:type="dxa"/>
                <w:right w:w="70" w:type="dxa"/>
              </w:tblCellMar>
              <w:tblLook w:val="04A0" w:firstRow="1" w:lastRow="0" w:firstColumn="1" w:lastColumn="0" w:noHBand="0" w:noVBand="1"/>
            </w:tblPr>
            <w:tblGrid>
              <w:gridCol w:w="469"/>
              <w:gridCol w:w="1567"/>
              <w:gridCol w:w="1567"/>
              <w:gridCol w:w="964"/>
              <w:gridCol w:w="1181"/>
              <w:gridCol w:w="1116"/>
            </w:tblGrid>
            <w:tr w:rsidR="00F56356" w:rsidRPr="00F56356" w14:paraId="155BE76F"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DA626"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77522DD7" w14:textId="77777777" w:rsidTr="00F56356">
              <w:trPr>
                <w:trHeight w:val="465"/>
                <w:jc w:val="center"/>
              </w:trPr>
              <w:tc>
                <w:tcPr>
                  <w:tcW w:w="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CA48D2"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48585C4E"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00DA092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14:paraId="479D444E"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3CD8C324" w14:textId="77777777" w:rsidTr="00F56356">
              <w:trPr>
                <w:trHeight w:val="300"/>
                <w:jc w:val="center"/>
              </w:trPr>
              <w:tc>
                <w:tcPr>
                  <w:tcW w:w="465" w:type="dxa"/>
                  <w:vMerge/>
                  <w:tcBorders>
                    <w:top w:val="nil"/>
                    <w:left w:val="single" w:sz="4" w:space="0" w:color="auto"/>
                    <w:bottom w:val="single" w:sz="4" w:space="0" w:color="auto"/>
                    <w:right w:val="single" w:sz="4" w:space="0" w:color="auto"/>
                  </w:tcBorders>
                  <w:vAlign w:val="center"/>
                  <w:hideMark/>
                </w:tcPr>
                <w:p w14:paraId="26B57DAE"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1BA3375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5F8E776B"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64" w:type="dxa"/>
                  <w:tcBorders>
                    <w:top w:val="nil"/>
                    <w:left w:val="nil"/>
                    <w:bottom w:val="single" w:sz="4" w:space="0" w:color="auto"/>
                    <w:right w:val="single" w:sz="4" w:space="0" w:color="auto"/>
                  </w:tcBorders>
                  <w:shd w:val="clear" w:color="auto" w:fill="auto"/>
                  <w:vAlign w:val="center"/>
                  <w:hideMark/>
                </w:tcPr>
                <w:p w14:paraId="77881EE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81" w:type="dxa"/>
                  <w:tcBorders>
                    <w:top w:val="nil"/>
                    <w:left w:val="nil"/>
                    <w:bottom w:val="single" w:sz="4" w:space="0" w:color="auto"/>
                    <w:right w:val="single" w:sz="4" w:space="0" w:color="auto"/>
                  </w:tcBorders>
                  <w:shd w:val="clear" w:color="auto" w:fill="auto"/>
                  <w:vAlign w:val="center"/>
                  <w:hideMark/>
                </w:tcPr>
                <w:p w14:paraId="3C169EB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16" w:type="dxa"/>
                  <w:tcBorders>
                    <w:top w:val="nil"/>
                    <w:left w:val="nil"/>
                    <w:bottom w:val="single" w:sz="4" w:space="0" w:color="auto"/>
                    <w:right w:val="single" w:sz="4" w:space="0" w:color="auto"/>
                  </w:tcBorders>
                  <w:shd w:val="clear" w:color="auto" w:fill="auto"/>
                  <w:vAlign w:val="center"/>
                  <w:hideMark/>
                </w:tcPr>
                <w:p w14:paraId="4AD3DD2C"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CFCA81F" w14:textId="77777777" w:rsidTr="00F56356">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62C313F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222</w:t>
                  </w:r>
                </w:p>
              </w:tc>
              <w:tc>
                <w:tcPr>
                  <w:tcW w:w="1567" w:type="dxa"/>
                  <w:tcBorders>
                    <w:top w:val="nil"/>
                    <w:left w:val="nil"/>
                    <w:bottom w:val="single" w:sz="4" w:space="0" w:color="auto"/>
                    <w:right w:val="single" w:sz="4" w:space="0" w:color="auto"/>
                  </w:tcBorders>
                  <w:shd w:val="clear" w:color="auto" w:fill="auto"/>
                  <w:noWrap/>
                  <w:vAlign w:val="center"/>
                  <w:hideMark/>
                </w:tcPr>
                <w:p w14:paraId="70E1ED6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1.475,96</w:t>
                  </w:r>
                </w:p>
              </w:tc>
              <w:tc>
                <w:tcPr>
                  <w:tcW w:w="1567" w:type="dxa"/>
                  <w:tcBorders>
                    <w:top w:val="nil"/>
                    <w:left w:val="nil"/>
                    <w:bottom w:val="single" w:sz="4" w:space="0" w:color="auto"/>
                    <w:right w:val="single" w:sz="4" w:space="0" w:color="auto"/>
                  </w:tcBorders>
                  <w:shd w:val="clear" w:color="auto" w:fill="auto"/>
                  <w:noWrap/>
                  <w:vAlign w:val="center"/>
                  <w:hideMark/>
                </w:tcPr>
                <w:p w14:paraId="265D803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4" w:type="dxa"/>
                  <w:tcBorders>
                    <w:top w:val="nil"/>
                    <w:left w:val="nil"/>
                    <w:bottom w:val="single" w:sz="4" w:space="0" w:color="auto"/>
                    <w:right w:val="single" w:sz="4" w:space="0" w:color="auto"/>
                  </w:tcBorders>
                  <w:shd w:val="clear" w:color="auto" w:fill="auto"/>
                  <w:noWrap/>
                  <w:vAlign w:val="center"/>
                  <w:hideMark/>
                </w:tcPr>
                <w:p w14:paraId="6C0D1BF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81" w:type="dxa"/>
                  <w:tcBorders>
                    <w:top w:val="nil"/>
                    <w:left w:val="nil"/>
                    <w:bottom w:val="single" w:sz="4" w:space="0" w:color="auto"/>
                    <w:right w:val="single" w:sz="4" w:space="0" w:color="auto"/>
                  </w:tcBorders>
                  <w:shd w:val="clear" w:color="auto" w:fill="auto"/>
                  <w:noWrap/>
                  <w:vAlign w:val="center"/>
                  <w:hideMark/>
                </w:tcPr>
                <w:p w14:paraId="4DF7C0D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16" w:type="dxa"/>
                  <w:tcBorders>
                    <w:top w:val="nil"/>
                    <w:left w:val="nil"/>
                    <w:bottom w:val="single" w:sz="4" w:space="0" w:color="auto"/>
                    <w:right w:val="single" w:sz="4" w:space="0" w:color="auto"/>
                  </w:tcBorders>
                  <w:shd w:val="clear" w:color="auto" w:fill="auto"/>
                  <w:noWrap/>
                  <w:vAlign w:val="center"/>
                  <w:hideMark/>
                </w:tcPr>
                <w:p w14:paraId="34AD720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B8B434D" w14:textId="77777777" w:rsidTr="00F56356">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3CA99D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224</w:t>
                  </w:r>
                </w:p>
              </w:tc>
              <w:tc>
                <w:tcPr>
                  <w:tcW w:w="1567" w:type="dxa"/>
                  <w:tcBorders>
                    <w:top w:val="nil"/>
                    <w:left w:val="nil"/>
                    <w:bottom w:val="single" w:sz="4" w:space="0" w:color="auto"/>
                    <w:right w:val="single" w:sz="4" w:space="0" w:color="auto"/>
                  </w:tcBorders>
                  <w:shd w:val="clear" w:color="auto" w:fill="auto"/>
                  <w:noWrap/>
                  <w:vAlign w:val="center"/>
                  <w:hideMark/>
                </w:tcPr>
                <w:p w14:paraId="0E7C61D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41.485.071,47</w:t>
                  </w:r>
                </w:p>
              </w:tc>
              <w:tc>
                <w:tcPr>
                  <w:tcW w:w="1567" w:type="dxa"/>
                  <w:tcBorders>
                    <w:top w:val="nil"/>
                    <w:left w:val="nil"/>
                    <w:bottom w:val="single" w:sz="4" w:space="0" w:color="auto"/>
                    <w:right w:val="single" w:sz="4" w:space="0" w:color="auto"/>
                  </w:tcBorders>
                  <w:shd w:val="clear" w:color="auto" w:fill="auto"/>
                  <w:noWrap/>
                  <w:vAlign w:val="center"/>
                  <w:hideMark/>
                </w:tcPr>
                <w:p w14:paraId="54C31AD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25.721.493,92</w:t>
                  </w:r>
                </w:p>
              </w:tc>
              <w:tc>
                <w:tcPr>
                  <w:tcW w:w="964" w:type="dxa"/>
                  <w:tcBorders>
                    <w:top w:val="nil"/>
                    <w:left w:val="nil"/>
                    <w:bottom w:val="single" w:sz="4" w:space="0" w:color="auto"/>
                    <w:right w:val="single" w:sz="4" w:space="0" w:color="auto"/>
                  </w:tcBorders>
                  <w:shd w:val="clear" w:color="auto" w:fill="auto"/>
                  <w:noWrap/>
                  <w:vAlign w:val="center"/>
                  <w:hideMark/>
                </w:tcPr>
                <w:p w14:paraId="5BE8EBB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w:t>
                  </w:r>
                </w:p>
              </w:tc>
              <w:tc>
                <w:tcPr>
                  <w:tcW w:w="1181" w:type="dxa"/>
                  <w:tcBorders>
                    <w:top w:val="nil"/>
                    <w:left w:val="nil"/>
                    <w:bottom w:val="single" w:sz="4" w:space="0" w:color="auto"/>
                    <w:right w:val="single" w:sz="4" w:space="0" w:color="auto"/>
                  </w:tcBorders>
                  <w:shd w:val="clear" w:color="auto" w:fill="auto"/>
                  <w:noWrap/>
                  <w:vAlign w:val="center"/>
                  <w:hideMark/>
                </w:tcPr>
                <w:p w14:paraId="11A6B36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w:t>
                  </w:r>
                </w:p>
              </w:tc>
              <w:tc>
                <w:tcPr>
                  <w:tcW w:w="1116" w:type="dxa"/>
                  <w:tcBorders>
                    <w:top w:val="nil"/>
                    <w:left w:val="nil"/>
                    <w:bottom w:val="single" w:sz="4" w:space="0" w:color="auto"/>
                    <w:right w:val="single" w:sz="4" w:space="0" w:color="auto"/>
                  </w:tcBorders>
                  <w:shd w:val="clear" w:color="auto" w:fill="auto"/>
                  <w:noWrap/>
                  <w:vAlign w:val="center"/>
                  <w:hideMark/>
                </w:tcPr>
                <w:p w14:paraId="433C4E0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w:t>
                  </w:r>
                </w:p>
              </w:tc>
            </w:tr>
            <w:tr w:rsidR="00F56356" w:rsidRPr="00F56356" w14:paraId="2E2CE586" w14:textId="77777777" w:rsidTr="00F56356">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28A1E77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238</w:t>
                  </w:r>
                </w:p>
              </w:tc>
              <w:tc>
                <w:tcPr>
                  <w:tcW w:w="1567" w:type="dxa"/>
                  <w:tcBorders>
                    <w:top w:val="nil"/>
                    <w:left w:val="nil"/>
                    <w:bottom w:val="single" w:sz="4" w:space="0" w:color="auto"/>
                    <w:right w:val="single" w:sz="4" w:space="0" w:color="auto"/>
                  </w:tcBorders>
                  <w:shd w:val="clear" w:color="auto" w:fill="auto"/>
                  <w:noWrap/>
                  <w:vAlign w:val="center"/>
                  <w:hideMark/>
                </w:tcPr>
                <w:p w14:paraId="6639C23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34.273,13</w:t>
                  </w:r>
                </w:p>
              </w:tc>
              <w:tc>
                <w:tcPr>
                  <w:tcW w:w="1567" w:type="dxa"/>
                  <w:tcBorders>
                    <w:top w:val="nil"/>
                    <w:left w:val="nil"/>
                    <w:bottom w:val="single" w:sz="4" w:space="0" w:color="auto"/>
                    <w:right w:val="single" w:sz="4" w:space="0" w:color="auto"/>
                  </w:tcBorders>
                  <w:shd w:val="clear" w:color="auto" w:fill="auto"/>
                  <w:noWrap/>
                  <w:vAlign w:val="center"/>
                  <w:hideMark/>
                </w:tcPr>
                <w:p w14:paraId="50DD30E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4" w:type="dxa"/>
                  <w:tcBorders>
                    <w:top w:val="nil"/>
                    <w:left w:val="nil"/>
                    <w:bottom w:val="single" w:sz="4" w:space="0" w:color="auto"/>
                    <w:right w:val="single" w:sz="4" w:space="0" w:color="auto"/>
                  </w:tcBorders>
                  <w:shd w:val="clear" w:color="auto" w:fill="auto"/>
                  <w:noWrap/>
                  <w:vAlign w:val="center"/>
                  <w:hideMark/>
                </w:tcPr>
                <w:p w14:paraId="50A9846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w:t>
                  </w:r>
                </w:p>
              </w:tc>
              <w:tc>
                <w:tcPr>
                  <w:tcW w:w="1181" w:type="dxa"/>
                  <w:tcBorders>
                    <w:top w:val="nil"/>
                    <w:left w:val="nil"/>
                    <w:bottom w:val="single" w:sz="4" w:space="0" w:color="auto"/>
                    <w:right w:val="single" w:sz="4" w:space="0" w:color="auto"/>
                  </w:tcBorders>
                  <w:shd w:val="clear" w:color="auto" w:fill="auto"/>
                  <w:noWrap/>
                  <w:vAlign w:val="center"/>
                  <w:hideMark/>
                </w:tcPr>
                <w:p w14:paraId="12493AA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16" w:type="dxa"/>
                  <w:tcBorders>
                    <w:top w:val="nil"/>
                    <w:left w:val="nil"/>
                    <w:bottom w:val="single" w:sz="4" w:space="0" w:color="auto"/>
                    <w:right w:val="single" w:sz="4" w:space="0" w:color="auto"/>
                  </w:tcBorders>
                  <w:shd w:val="clear" w:color="auto" w:fill="auto"/>
                  <w:noWrap/>
                  <w:vAlign w:val="center"/>
                  <w:hideMark/>
                </w:tcPr>
                <w:p w14:paraId="1E5B432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r>
            <w:tr w:rsidR="00F56356" w:rsidRPr="00F56356" w14:paraId="76897943" w14:textId="77777777" w:rsidTr="00F56356">
              <w:trPr>
                <w:trHeight w:val="315"/>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0B6E06CC"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7" w:type="dxa"/>
                  <w:tcBorders>
                    <w:top w:val="nil"/>
                    <w:left w:val="nil"/>
                    <w:bottom w:val="single" w:sz="4" w:space="0" w:color="auto"/>
                    <w:right w:val="single" w:sz="4" w:space="0" w:color="auto"/>
                  </w:tcBorders>
                  <w:shd w:val="clear" w:color="auto" w:fill="auto"/>
                  <w:noWrap/>
                  <w:vAlign w:val="center"/>
                  <w:hideMark/>
                </w:tcPr>
                <w:p w14:paraId="17076DAB"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41.520.820,56</w:t>
                  </w:r>
                </w:p>
              </w:tc>
              <w:tc>
                <w:tcPr>
                  <w:tcW w:w="1567" w:type="dxa"/>
                  <w:tcBorders>
                    <w:top w:val="nil"/>
                    <w:left w:val="nil"/>
                    <w:bottom w:val="single" w:sz="4" w:space="0" w:color="auto"/>
                    <w:right w:val="single" w:sz="4" w:space="0" w:color="auto"/>
                  </w:tcBorders>
                  <w:shd w:val="clear" w:color="auto" w:fill="auto"/>
                  <w:noWrap/>
                  <w:vAlign w:val="center"/>
                  <w:hideMark/>
                </w:tcPr>
                <w:p w14:paraId="1306FD62"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25.721.493,92</w:t>
                  </w:r>
                </w:p>
              </w:tc>
              <w:tc>
                <w:tcPr>
                  <w:tcW w:w="964" w:type="dxa"/>
                  <w:tcBorders>
                    <w:top w:val="nil"/>
                    <w:left w:val="nil"/>
                    <w:bottom w:val="nil"/>
                    <w:right w:val="nil"/>
                  </w:tcBorders>
                  <w:shd w:val="clear" w:color="auto" w:fill="auto"/>
                  <w:noWrap/>
                  <w:vAlign w:val="center"/>
                  <w:hideMark/>
                </w:tcPr>
                <w:p w14:paraId="0E335E4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81" w:type="dxa"/>
                  <w:tcBorders>
                    <w:top w:val="nil"/>
                    <w:left w:val="nil"/>
                    <w:bottom w:val="nil"/>
                    <w:right w:val="nil"/>
                  </w:tcBorders>
                  <w:shd w:val="clear" w:color="auto" w:fill="auto"/>
                  <w:noWrap/>
                  <w:vAlign w:val="center"/>
                  <w:hideMark/>
                </w:tcPr>
                <w:p w14:paraId="63B4ED8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16" w:type="dxa"/>
                  <w:tcBorders>
                    <w:top w:val="nil"/>
                    <w:left w:val="nil"/>
                    <w:bottom w:val="nil"/>
                    <w:right w:val="nil"/>
                  </w:tcBorders>
                  <w:shd w:val="clear" w:color="auto" w:fill="auto"/>
                  <w:noWrap/>
                  <w:vAlign w:val="center"/>
                  <w:hideMark/>
                </w:tcPr>
                <w:p w14:paraId="2F08900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12FDE5B2"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24"/>
                <w:szCs w:val="24"/>
                <w:lang w:eastAsia="it-IT"/>
              </w:rPr>
            </w:pPr>
          </w:p>
          <w:p w14:paraId="316195F0"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07C1DB7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Le risorse impegnate di euro 70.925.137,54</w:t>
            </w:r>
            <w:r w:rsidRPr="00F56356">
              <w:rPr>
                <w:rFonts w:ascii="Times New Roman" w:eastAsia="Times New Roman" w:hAnsi="Times New Roman" w:cs="Times New Roman"/>
                <w:color w:val="000000" w:themeColor="text1"/>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 xml:space="preserve">sono state destinate per euro 371.000,00 al funzionamento e per euro 70.554.137,54 agli interventi. </w:t>
            </w:r>
          </w:p>
          <w:p w14:paraId="330D8F2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2A393E48"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371.000,00 sono state destinate alle spese di funzionamento del Nucleo di valutazione e analisi strategica in materia di esercizio di poteri speciali (cap. 289).</w:t>
            </w:r>
          </w:p>
          <w:p w14:paraId="711720B4"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75648" behindDoc="1" locked="0" layoutInCell="1" allowOverlap="1" wp14:anchorId="75B5B1D1" wp14:editId="56739862">
                  <wp:simplePos x="0" y="0"/>
                  <wp:positionH relativeFrom="margin">
                    <wp:posOffset>201930</wp:posOffset>
                  </wp:positionH>
                  <wp:positionV relativeFrom="paragraph">
                    <wp:posOffset>255270</wp:posOffset>
                  </wp:positionV>
                  <wp:extent cx="5831840" cy="1097280"/>
                  <wp:effectExtent l="0" t="0" r="0" b="7620"/>
                  <wp:wrapTight wrapText="bothSides">
                    <wp:wrapPolygon edited="0">
                      <wp:start x="0" y="0"/>
                      <wp:lineTo x="0" y="21375"/>
                      <wp:lineTo x="11783" y="21375"/>
                      <wp:lineTo x="11783" y="18000"/>
                      <wp:lineTo x="21520" y="18000"/>
                      <wp:lineTo x="21520" y="13500"/>
                      <wp:lineTo x="20109" y="12000"/>
                      <wp:lineTo x="21449" y="12000"/>
                      <wp:lineTo x="21520" y="10125"/>
                      <wp:lineTo x="21167" y="6000"/>
                      <wp:lineTo x="21449" y="6000"/>
                      <wp:lineTo x="21520" y="4500"/>
                      <wp:lineTo x="21520" y="0"/>
                      <wp:lineTo x="0" y="0"/>
                    </wp:wrapPolygon>
                  </wp:wrapTight>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184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356">
              <w:rPr>
                <w:rFonts w:ascii="Times New Roman" w:eastAsia="Times New Roman" w:hAnsi="Times New Roman" w:cs="Times New Roman"/>
                <w:color w:val="000000" w:themeColor="text1"/>
                <w:sz w:val="24"/>
                <w:szCs w:val="24"/>
                <w:lang w:eastAsia="it-IT"/>
              </w:rPr>
              <w:t xml:space="preserve">                                                       Indicatori di bilancio </w:t>
            </w:r>
          </w:p>
          <w:p w14:paraId="1F4E7D59"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12B7ECC"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1CAC2C2E"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per gli interventi di euro 70.554.137,54 sono state destinate: </w:t>
            </w:r>
          </w:p>
          <w:p w14:paraId="1427B2E9"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Somme destinate alla concessione di un riconoscimento ai congiunti delle vittime delle foibe”</w:t>
            </w:r>
            <w:r w:rsidRPr="00F56356">
              <w:rPr>
                <w:rFonts w:ascii="Times New Roman" w:eastAsia="Times New Roman" w:hAnsi="Times New Roman" w:cs="Times New Roman"/>
                <w:color w:val="000000" w:themeColor="text1"/>
                <w:sz w:val="24"/>
                <w:szCs w:val="24"/>
                <w:lang w:eastAsia="it-IT"/>
              </w:rPr>
              <w:t xml:space="preserve"> (cap. 222)</w:t>
            </w:r>
          </w:p>
          <w:p w14:paraId="52075216"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1.754,64 alle attività concernenti la concessione di un riconoscimento ai congiunti degli infoibati ai sensi della legge 30 marzo 2004, n. 92. In particolare, nel corso dell’anno 2022 sono state acquistate n. 23 medaglie e diplomi, per i quali è stato effettuato il pagamento in data 3 febbraio 2023;</w:t>
            </w:r>
          </w:p>
          <w:p w14:paraId="7DE4EDB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i/>
                <w:color w:val="000000" w:themeColor="text1"/>
                <w:sz w:val="24"/>
                <w:szCs w:val="24"/>
                <w:lang w:eastAsia="it-IT"/>
              </w:rPr>
              <w:t xml:space="preserve"> “Contributi ad enti ed associazioni diverse per assegnazioni di quota parte dell’otto per mille IRPEF di pertinenza dello Stato” </w:t>
            </w:r>
            <w:r w:rsidRPr="00F56356">
              <w:rPr>
                <w:rFonts w:ascii="Times New Roman" w:eastAsia="Times New Roman" w:hAnsi="Times New Roman" w:cs="Times New Roman"/>
                <w:color w:val="000000" w:themeColor="text1"/>
                <w:sz w:val="24"/>
                <w:szCs w:val="24"/>
                <w:lang w:eastAsia="it-IT"/>
              </w:rPr>
              <w:t>(cap. 224)</w:t>
            </w:r>
          </w:p>
          <w:p w14:paraId="528113AC"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euro 66.137.801,32 alla ripartizione della quota dell’otto per mille Irpef devoluta alla diretta gestione statale per la realizzazione di interventi straordinari per fame nel mondo, calamità naturali, assistenza ai rifugiati, conservazione dei beni culturali e edilizia scolastica;</w:t>
            </w:r>
            <w:r w:rsidRPr="00F56356">
              <w:rPr>
                <w:rFonts w:ascii="Times New Roman" w:eastAsia="Times New Roman" w:hAnsi="Times New Roman" w:cs="Times New Roman"/>
                <w:color w:val="FF0000"/>
                <w:sz w:val="24"/>
                <w:szCs w:val="24"/>
                <w:lang w:eastAsia="it-IT"/>
              </w:rPr>
              <w:t xml:space="preserve"> </w:t>
            </w:r>
          </w:p>
          <w:p w14:paraId="3CDC875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c)</w:t>
            </w:r>
            <w:r w:rsidRPr="00F56356">
              <w:rPr>
                <w:rFonts w:ascii="Times New Roman" w:eastAsia="Times New Roman" w:hAnsi="Times New Roman" w:cs="Times New Roman"/>
                <w:i/>
                <w:color w:val="000000" w:themeColor="text1"/>
                <w:sz w:val="24"/>
                <w:szCs w:val="24"/>
                <w:lang w:eastAsia="it-IT"/>
              </w:rPr>
              <w:t xml:space="preserve"> “Somme destinate alla concessione di una medaglia d’onore ai cittadini italiani militari e civili deportati e internati nei lager nazisti e ai familiari dei deceduti nonché alle spese di funzionamento del comitato (l.27/12/2006, n. 296 art.1, commi 1274-1276)” </w:t>
            </w:r>
            <w:r w:rsidRPr="00F56356">
              <w:rPr>
                <w:rFonts w:ascii="Times New Roman" w:eastAsia="Times New Roman" w:hAnsi="Times New Roman" w:cs="Times New Roman"/>
                <w:color w:val="000000" w:themeColor="text1"/>
                <w:sz w:val="24"/>
                <w:szCs w:val="24"/>
                <w:lang w:eastAsia="it-IT"/>
              </w:rPr>
              <w:t xml:space="preserve">(cap. 238) </w:t>
            </w:r>
          </w:p>
          <w:p w14:paraId="73404CD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86.141,21 alla prosecuzione delle attività concernenti la concessione di una medaglia d’onore ai cittadini italiani deportati e internati nei lager nazisti, in attuazione della legge 27 dicembre 2006, n. 296. Nel corso dell’anno 2022 sono state acquistate n. 1.752 medaglie; </w:t>
            </w:r>
          </w:p>
          <w:p w14:paraId="04D0140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w:t>
            </w:r>
            <w:r w:rsidRPr="00F56356">
              <w:rPr>
                <w:rFonts w:ascii="Times New Roman" w:eastAsia="Times New Roman" w:hAnsi="Times New Roman" w:cs="Times New Roman"/>
                <w:i/>
                <w:color w:val="000000" w:themeColor="text1"/>
                <w:sz w:val="24"/>
                <w:szCs w:val="24"/>
                <w:lang w:eastAsia="it-IT"/>
              </w:rPr>
              <w:t xml:space="preserve">“Somme destinate alla corresponsione di speciali elargizioni in favore delle vittime del disastro di </w:t>
            </w:r>
            <w:proofErr w:type="spellStart"/>
            <w:r w:rsidRPr="00F56356">
              <w:rPr>
                <w:rFonts w:ascii="Times New Roman" w:eastAsia="Times New Roman" w:hAnsi="Times New Roman" w:cs="Times New Roman"/>
                <w:i/>
                <w:color w:val="000000" w:themeColor="text1"/>
                <w:sz w:val="24"/>
                <w:szCs w:val="24"/>
                <w:lang w:eastAsia="it-IT"/>
              </w:rPr>
              <w:t>Rigopiano</w:t>
            </w:r>
            <w:proofErr w:type="spellEnd"/>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245) </w:t>
            </w:r>
          </w:p>
          <w:p w14:paraId="3D9DB84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4.200.000,00 a favore delle famiglie, quali speciali elargizioni, delle vittime del disastro di </w:t>
            </w:r>
            <w:proofErr w:type="spellStart"/>
            <w:r w:rsidRPr="00F56356">
              <w:rPr>
                <w:rFonts w:ascii="Times New Roman" w:eastAsia="Times New Roman" w:hAnsi="Times New Roman" w:cs="Times New Roman"/>
                <w:color w:val="000000" w:themeColor="text1"/>
                <w:sz w:val="24"/>
                <w:szCs w:val="24"/>
                <w:lang w:eastAsia="it-IT"/>
              </w:rPr>
              <w:t>Rigopiano</w:t>
            </w:r>
            <w:proofErr w:type="spellEnd"/>
            <w:r w:rsidRPr="00F56356">
              <w:rPr>
                <w:rFonts w:ascii="Times New Roman" w:eastAsia="Times New Roman" w:hAnsi="Times New Roman" w:cs="Times New Roman"/>
                <w:color w:val="000000" w:themeColor="text1"/>
                <w:sz w:val="24"/>
                <w:szCs w:val="24"/>
                <w:lang w:eastAsia="it-IT"/>
              </w:rPr>
              <w:t>;</w:t>
            </w:r>
          </w:p>
          <w:p w14:paraId="66B40E54"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w:t>
            </w:r>
            <w:r w:rsidRPr="00F56356">
              <w:rPr>
                <w:rFonts w:ascii="Times New Roman" w:eastAsia="Times New Roman" w:hAnsi="Times New Roman" w:cs="Times New Roman"/>
                <w:i/>
                <w:color w:val="000000" w:themeColor="text1"/>
                <w:sz w:val="24"/>
                <w:szCs w:val="24"/>
                <w:lang w:eastAsia="it-IT"/>
              </w:rPr>
              <w:t>“Somme destinate alla corresponsione di speciali elargizioni in favore delle famiglie delle vittime del disastro ferroviario di Andria-Corato del 12 luglio 2016</w:t>
            </w:r>
            <w:r w:rsidRPr="00F56356">
              <w:rPr>
                <w:rFonts w:ascii="Times New Roman" w:eastAsia="Times New Roman" w:hAnsi="Times New Roman" w:cs="Times New Roman"/>
                <w:color w:val="000000" w:themeColor="text1"/>
                <w:sz w:val="24"/>
                <w:szCs w:val="24"/>
                <w:lang w:eastAsia="it-IT"/>
              </w:rPr>
              <w:t>” (cap. 254)</w:t>
            </w:r>
          </w:p>
          <w:p w14:paraId="24969ABD"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128.440,37 a favore delle famiglie colpite dal disastro ferroviario Andria-Corato del 12 luglio 2016. </w:t>
            </w:r>
          </w:p>
          <w:p w14:paraId="40BAFF8E" w14:textId="77777777" w:rsidR="00F56356" w:rsidRPr="00F56356" w:rsidRDefault="00F56356" w:rsidP="00F56356">
            <w:pPr>
              <w:spacing w:after="0" w:line="360" w:lineRule="auto"/>
              <w:ind w:left="284"/>
              <w:jc w:val="both"/>
              <w:rPr>
                <w:rFonts w:ascii="Times New Roman" w:eastAsia="BatangChe" w:hAnsi="Times New Roman" w:cs="Times New Roman"/>
                <w:color w:val="000000"/>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60EABB95"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76672" behindDoc="1" locked="0" layoutInCell="1" allowOverlap="1" wp14:anchorId="2BA9D260" wp14:editId="2CF8807F">
                  <wp:simplePos x="0" y="0"/>
                  <wp:positionH relativeFrom="margin">
                    <wp:align>right</wp:align>
                  </wp:positionH>
                  <wp:positionV relativeFrom="paragraph">
                    <wp:posOffset>266700</wp:posOffset>
                  </wp:positionV>
                  <wp:extent cx="5743575" cy="1664335"/>
                  <wp:effectExtent l="0" t="0" r="9525" b="0"/>
                  <wp:wrapTight wrapText="bothSides">
                    <wp:wrapPolygon edited="0">
                      <wp:start x="0" y="0"/>
                      <wp:lineTo x="0" y="21262"/>
                      <wp:lineTo x="11821" y="21262"/>
                      <wp:lineTo x="11821" y="19779"/>
                      <wp:lineTo x="21564" y="19037"/>
                      <wp:lineTo x="21564" y="13103"/>
                      <wp:lineTo x="20131" y="11867"/>
                      <wp:lineTo x="21564" y="11867"/>
                      <wp:lineTo x="21564" y="0"/>
                      <wp:lineTo x="0" y="0"/>
                    </wp:wrapPolygon>
                  </wp:wrapTight>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3575" cy="1664335"/>
                          </a:xfrm>
                          <a:prstGeom prst="rect">
                            <a:avLst/>
                          </a:prstGeom>
                          <a:noFill/>
                          <a:ln>
                            <a:noFill/>
                          </a:ln>
                        </pic:spPr>
                      </pic:pic>
                    </a:graphicData>
                  </a:graphic>
                  <wp14:sizeRelH relativeFrom="margin">
                    <wp14:pctWidth>0</wp14:pctWidth>
                  </wp14:sizeRelH>
                </wp:anchor>
              </w:drawing>
            </w:r>
            <w:r w:rsidRPr="00F56356">
              <w:rPr>
                <w:rFonts w:ascii="Times New Roman" w:eastAsia="BatangChe" w:hAnsi="Times New Roman" w:cs="Times New Roman"/>
                <w:color w:val="000000"/>
                <w:sz w:val="24"/>
                <w:szCs w:val="24"/>
                <w:lang w:eastAsia="it-IT"/>
              </w:rPr>
              <w:t>Indicatori di bilancio</w:t>
            </w:r>
          </w:p>
          <w:p w14:paraId="282B2A88"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B0B705C"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16"/>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23885BD8"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2531891A"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6404B614"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166A14DD"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1DC5ECCF"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0B56DE62"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32F9B178" w14:textId="77777777" w:rsidR="00F506D7"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20E241CE" w14:textId="1E9E1E36" w:rsidR="00F56356" w:rsidRPr="00F56356" w:rsidRDefault="00F506D7" w:rsidP="00F506D7">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color w:val="000000" w:themeColor="text1"/>
                <w:sz w:val="24"/>
                <w:szCs w:val="24"/>
                <w:lang w:eastAsia="it-IT"/>
              </w:rPr>
              <w:t xml:space="preserve">Gli </w:t>
            </w:r>
            <w:r w:rsidR="00F56356" w:rsidRPr="00F56356">
              <w:rPr>
                <w:rFonts w:ascii="Times New Roman" w:eastAsia="Times New Roman" w:hAnsi="Times New Roman" w:cs="Times New Roman"/>
                <w:color w:val="000000" w:themeColor="text1"/>
                <w:sz w:val="24"/>
                <w:szCs w:val="24"/>
                <w:lang w:eastAsia="it-IT"/>
              </w:rPr>
              <w:t>scostamenti tra gli indicatori di bilancio attesi e realizzati sono stati determinati:</w:t>
            </w:r>
          </w:p>
          <w:p w14:paraId="2303412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il capitolo 222 - S</w:t>
            </w:r>
            <w:r w:rsidRPr="00F56356">
              <w:rPr>
                <w:rFonts w:ascii="Times New Roman" w:eastAsia="Times New Roman" w:hAnsi="Times New Roman" w:cs="Times New Roman"/>
                <w:i/>
                <w:color w:val="000000" w:themeColor="text1"/>
                <w:sz w:val="24"/>
                <w:szCs w:val="24"/>
                <w:lang w:eastAsia="it-IT"/>
              </w:rPr>
              <w:t>omme destinate alla concessione di un riconoscimento ai congiunti delle vittime delle foibe,</w:t>
            </w:r>
            <w:r w:rsidRPr="00F56356">
              <w:rPr>
                <w:rFonts w:ascii="Times New Roman" w:eastAsia="Times New Roman" w:hAnsi="Times New Roman" w:cs="Times New Roman"/>
                <w:color w:val="000000" w:themeColor="text1"/>
                <w:sz w:val="24"/>
                <w:szCs w:val="24"/>
                <w:lang w:eastAsia="it-IT"/>
              </w:rPr>
              <w:t xml:space="preserve"> dal numero di istanze pervenute e positivamente valutate per l’assegnazione delle medaglie e dei diplomi, non programmabile a priori né dipendente da attività preventiva dell’Ufficio. In riferimento alla capacità di pagamento e a quella di smaltimento dei residui, dalle tempistiche necessarie della procedura di acquisto delle insegne onorifiche, da consegnare in determinate occasioni dell’anno, con pubbliche cerimonie a data fissa (cerimonia del “Giorno del ricordo” fissata per il 10 febbraio di ogni anno). La procedura di acquisto e di fornitura delle suddette medaglie e diplomi deve adeguarsi a tali riferimenti temporali nell’anno, nonché ai tempi necessari all’IPZS per la realizzazione dei beni e la consegna (tempi medi di circa 60 giorni </w:t>
            </w:r>
            <w:r w:rsidRPr="00F56356">
              <w:rPr>
                <w:rFonts w:ascii="Times New Roman" w:eastAsia="Times New Roman" w:hAnsi="Times New Roman" w:cs="Times New Roman"/>
                <w:color w:val="000000" w:themeColor="text1"/>
                <w:sz w:val="24"/>
                <w:szCs w:val="24"/>
                <w:lang w:eastAsia="it-IT"/>
              </w:rPr>
              <w:lastRenderedPageBreak/>
              <w:t>dall’ordine). Pertanto, ogni anno, per la fornitura delle medaglie e dei diplomi da consegnare in occasione del “Giorno del ricordo” del 10 febbraio, si verifica, rispetto all’esercizio finanziario di riferimento dell’impegno, un disallineamento con il relativo pagamento, che avviene nell’anno successivo, dopo la consegna della fornitura;</w:t>
            </w:r>
          </w:p>
          <w:p w14:paraId="4EE702F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224 - </w:t>
            </w:r>
            <w:r w:rsidRPr="00F56356">
              <w:rPr>
                <w:rFonts w:ascii="Times New Roman" w:eastAsia="Times New Roman" w:hAnsi="Times New Roman" w:cs="Times New Roman"/>
                <w:i/>
                <w:color w:val="000000" w:themeColor="text1"/>
                <w:sz w:val="24"/>
                <w:szCs w:val="24"/>
                <w:lang w:eastAsia="it-IT"/>
              </w:rPr>
              <w:t>Contributi ad enti ed associazioni diverse per assegnazione di quota parte dell’otto per mille Irpef di pertinenza dello Stato,</w:t>
            </w:r>
            <w:r w:rsidRPr="00F56356">
              <w:rPr>
                <w:rFonts w:ascii="Times New Roman" w:eastAsia="Times New Roman" w:hAnsi="Times New Roman" w:cs="Times New Roman"/>
                <w:color w:val="000000" w:themeColor="text1"/>
                <w:sz w:val="24"/>
                <w:szCs w:val="24"/>
                <w:lang w:eastAsia="it-IT"/>
              </w:rPr>
              <w:t xml:space="preserve"> le indicazioni relative alle capacità di impegno e di pagamento non sono state oggetto di previsione, tenuto conto delle modalità di utilizzo della quota dell’otto per mille dell’IRPEF a gestione statale, in base alle disposizioni contenute nel decreto del Presidente della Repubblica del 10 marzo 1998, n. 76. Tali disposizioni, infatti, prevedono che il decreto di ripartizione dei fondi dell’8 per mille sia adottato entro febbraio dell’anno successivo all’esercizio finanziario di assegnazione dei fondi stessi (l’articolo 5, comma 4,</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del predetto d.P.R. n. 76/1998 fissa il termine di 120 giorni dalla data finale per la presentazione delle istanze, cioè il 30 settembre). L’impegno viene dunque assunto previo riparto delle somme nell’anno successivo. Ai sensi dell’articolo 8 del citato d.P.R. n. 76/1998, inoltre, il pagamento dei contributi avviene dopo la presentazione della relativa documentazione, per la quale sono previsti 6 mesi di tempo e, conseguentemente, il pagamento può essere effettuato anche nell’esercizio finanziario successivo a quello dell’impegno; </w:t>
            </w:r>
          </w:p>
          <w:p w14:paraId="0F6934AB"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238 - </w:t>
            </w:r>
            <w:r w:rsidRPr="00F56356">
              <w:rPr>
                <w:rFonts w:ascii="Times New Roman" w:eastAsia="Times New Roman" w:hAnsi="Times New Roman" w:cs="Times New Roman"/>
                <w:i/>
                <w:color w:val="000000" w:themeColor="text1"/>
                <w:sz w:val="24"/>
                <w:szCs w:val="24"/>
                <w:lang w:eastAsia="it-IT"/>
              </w:rPr>
              <w:t>Somme destinate alla concessione di una medaglia d’onore ai cittadini italiani militari e civili deportati e internati nei lager nazisti e ai familiari dei deceduti nonché alle spese di funzionamento del comitato (l.27/12/2006, n. 296 art.1, commi 1274-1276),</w:t>
            </w:r>
            <w:r w:rsidRPr="00F56356">
              <w:rPr>
                <w:rFonts w:ascii="Times New Roman" w:eastAsia="Times New Roman" w:hAnsi="Times New Roman" w:cs="Times New Roman"/>
                <w:color w:val="000000" w:themeColor="text1"/>
                <w:sz w:val="24"/>
                <w:szCs w:val="24"/>
                <w:lang w:eastAsia="it-IT"/>
              </w:rPr>
              <w:t xml:space="preserve"> relativamente alla capacità di pagamento, dalle tempistiche necessarie per la procedura di acquisto delle medaglie d’onore, che sono consegnate in occasioni determinate nell’anno, con pubbliche cerimonie a data fissa (27 gennaio e 2 giugno di ogni anno). La procedura di acquisto e di fornitura delle suddette medaglie deve adeguarsi a tali riferimenti temporali nell’anno, nonché ai tempi necessari all’IPZS per la realizzazione dei beni e la consegna (tempi medi di circa 60 giorni dall’ordine). Pertanto, ogni anno, in particolare per la fornitura da consegnare in occasione della “Giornata della Memoria” del 27 gennaio, si verifica, rispetto all’esercizio finanziario di riferimento dell’impegno, un disallineamento con il relativo pagamento, che avviene nell’anno successivo, dopo la consegna della fornitura.</w:t>
            </w:r>
          </w:p>
          <w:p w14:paraId="5216386C"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97F58D5"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657FB5CC" w14:textId="0EA522A3" w:rsid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02E6E8D" w14:textId="4053FEEC" w:rsidR="00B162D3" w:rsidRDefault="00B162D3"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1678C8E" w14:textId="2C882836" w:rsidR="00B162D3" w:rsidRDefault="00B162D3"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55F82AA" w14:textId="77777777" w:rsidR="00F56356" w:rsidRPr="00F56356" w:rsidRDefault="00F56356" w:rsidP="00F56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493" w:type="dxa"/>
              <w:tblCellMar>
                <w:left w:w="70" w:type="dxa"/>
                <w:right w:w="70" w:type="dxa"/>
              </w:tblCellMar>
              <w:tblLook w:val="04A0" w:firstRow="1" w:lastRow="0" w:firstColumn="1" w:lastColumn="0" w:noHBand="0" w:noVBand="1"/>
            </w:tblPr>
            <w:tblGrid>
              <w:gridCol w:w="337"/>
              <w:gridCol w:w="2689"/>
              <w:gridCol w:w="532"/>
              <w:gridCol w:w="1218"/>
              <w:gridCol w:w="1120"/>
              <w:gridCol w:w="1160"/>
              <w:gridCol w:w="1317"/>
              <w:gridCol w:w="1120"/>
            </w:tblGrid>
            <w:tr w:rsidR="00F56356" w:rsidRPr="00F56356" w14:paraId="54A715D6" w14:textId="77777777" w:rsidTr="00F56356">
              <w:trPr>
                <w:trHeight w:val="510"/>
              </w:trPr>
              <w:tc>
                <w:tcPr>
                  <w:tcW w:w="337" w:type="dxa"/>
                  <w:tcBorders>
                    <w:top w:val="nil"/>
                    <w:left w:val="nil"/>
                    <w:bottom w:val="nil"/>
                    <w:right w:val="nil"/>
                  </w:tcBorders>
                  <w:shd w:val="clear" w:color="auto" w:fill="auto"/>
                  <w:noWrap/>
                  <w:vAlign w:val="bottom"/>
                  <w:hideMark/>
                </w:tcPr>
                <w:p w14:paraId="6C24A9C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15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91C7B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006F808B" w14:textId="77777777" w:rsidTr="00F56356">
              <w:trPr>
                <w:trHeight w:val="690"/>
              </w:trPr>
              <w:tc>
                <w:tcPr>
                  <w:tcW w:w="337" w:type="dxa"/>
                  <w:tcBorders>
                    <w:top w:val="nil"/>
                    <w:left w:val="nil"/>
                    <w:bottom w:val="nil"/>
                    <w:right w:val="nil"/>
                  </w:tcBorders>
                  <w:shd w:val="clear" w:color="auto" w:fill="auto"/>
                  <w:noWrap/>
                  <w:vAlign w:val="center"/>
                  <w:hideMark/>
                </w:tcPr>
                <w:p w14:paraId="28FD9D9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493847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4A4CD40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2D3CD263" w14:textId="77777777" w:rsidTr="00F56356">
              <w:trPr>
                <w:trHeight w:val="690"/>
              </w:trPr>
              <w:tc>
                <w:tcPr>
                  <w:tcW w:w="337" w:type="dxa"/>
                  <w:tcBorders>
                    <w:top w:val="nil"/>
                    <w:left w:val="nil"/>
                    <w:bottom w:val="nil"/>
                    <w:right w:val="nil"/>
                  </w:tcBorders>
                  <w:shd w:val="clear" w:color="auto" w:fill="auto"/>
                  <w:noWrap/>
                  <w:vAlign w:val="center"/>
                  <w:hideMark/>
                </w:tcPr>
                <w:p w14:paraId="50A3001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847DAB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4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79E415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1FF5BB98" w14:textId="77777777" w:rsidTr="00F56356">
              <w:trPr>
                <w:trHeight w:val="690"/>
              </w:trPr>
              <w:tc>
                <w:tcPr>
                  <w:tcW w:w="337" w:type="dxa"/>
                  <w:tcBorders>
                    <w:top w:val="nil"/>
                    <w:left w:val="nil"/>
                    <w:bottom w:val="nil"/>
                    <w:right w:val="nil"/>
                  </w:tcBorders>
                  <w:shd w:val="clear" w:color="auto" w:fill="auto"/>
                  <w:noWrap/>
                  <w:vAlign w:val="center"/>
                  <w:hideMark/>
                </w:tcPr>
                <w:p w14:paraId="115FF38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90DB05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4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D3406C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28C17FC4" w14:textId="77777777" w:rsidTr="00F56356">
              <w:trPr>
                <w:trHeight w:val="720"/>
              </w:trPr>
              <w:tc>
                <w:tcPr>
                  <w:tcW w:w="337" w:type="dxa"/>
                  <w:tcBorders>
                    <w:top w:val="nil"/>
                    <w:left w:val="nil"/>
                    <w:bottom w:val="nil"/>
                    <w:right w:val="nil"/>
                  </w:tcBorders>
                  <w:shd w:val="clear" w:color="auto" w:fill="auto"/>
                  <w:noWrap/>
                  <w:vAlign w:val="center"/>
                  <w:hideMark/>
                </w:tcPr>
                <w:p w14:paraId="312A76E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51F8C9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6660C06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Somme destinate alla concessione di un riconoscimento ai congiunti delle vittime delle foibe</w:t>
                  </w:r>
                </w:p>
              </w:tc>
            </w:tr>
            <w:tr w:rsidR="00F56356" w:rsidRPr="00F56356" w14:paraId="6ECFA979" w14:textId="77777777" w:rsidTr="00F56356">
              <w:trPr>
                <w:trHeight w:val="540"/>
              </w:trPr>
              <w:tc>
                <w:tcPr>
                  <w:tcW w:w="337" w:type="dxa"/>
                  <w:tcBorders>
                    <w:top w:val="nil"/>
                    <w:left w:val="nil"/>
                    <w:bottom w:val="nil"/>
                    <w:right w:val="nil"/>
                  </w:tcBorders>
                  <w:shd w:val="clear" w:color="auto" w:fill="auto"/>
                  <w:noWrap/>
                  <w:vAlign w:val="center"/>
                  <w:hideMark/>
                </w:tcPr>
                <w:p w14:paraId="224F47F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68886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4E9615D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Conferimento della medaglia e del diploma ai congiunti delle vittime delle foibe</w:t>
                  </w:r>
                </w:p>
              </w:tc>
            </w:tr>
            <w:tr w:rsidR="00F56356" w:rsidRPr="00F56356" w14:paraId="4A3781F5" w14:textId="77777777" w:rsidTr="00F56356">
              <w:trPr>
                <w:trHeight w:val="360"/>
              </w:trPr>
              <w:tc>
                <w:tcPr>
                  <w:tcW w:w="337" w:type="dxa"/>
                  <w:tcBorders>
                    <w:top w:val="nil"/>
                    <w:left w:val="nil"/>
                    <w:bottom w:val="nil"/>
                    <w:right w:val="nil"/>
                  </w:tcBorders>
                  <w:shd w:val="clear" w:color="auto" w:fill="auto"/>
                  <w:noWrap/>
                  <w:vAlign w:val="center"/>
                  <w:hideMark/>
                </w:tcPr>
                <w:p w14:paraId="2FA569C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7D8345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3C5CABC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50F8FCF" w14:textId="77777777" w:rsidTr="00F56356">
              <w:trPr>
                <w:trHeight w:val="360"/>
              </w:trPr>
              <w:tc>
                <w:tcPr>
                  <w:tcW w:w="337" w:type="dxa"/>
                  <w:tcBorders>
                    <w:top w:val="nil"/>
                    <w:left w:val="nil"/>
                    <w:bottom w:val="nil"/>
                    <w:right w:val="nil"/>
                  </w:tcBorders>
                  <w:shd w:val="clear" w:color="auto" w:fill="auto"/>
                  <w:noWrap/>
                  <w:vAlign w:val="center"/>
                  <w:hideMark/>
                </w:tcPr>
                <w:p w14:paraId="4E816D7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65169C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0C54320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B8638C4" w14:textId="77777777" w:rsidTr="00F56356">
              <w:trPr>
                <w:trHeight w:val="525"/>
              </w:trPr>
              <w:tc>
                <w:tcPr>
                  <w:tcW w:w="337" w:type="dxa"/>
                  <w:tcBorders>
                    <w:top w:val="nil"/>
                    <w:left w:val="nil"/>
                    <w:bottom w:val="nil"/>
                    <w:right w:val="nil"/>
                  </w:tcBorders>
                  <w:shd w:val="clear" w:color="auto" w:fill="auto"/>
                  <w:noWrap/>
                  <w:vAlign w:val="bottom"/>
                  <w:hideMark/>
                </w:tcPr>
                <w:p w14:paraId="110CAF3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vMerge w:val="restart"/>
                  <w:tcBorders>
                    <w:top w:val="nil"/>
                    <w:left w:val="single" w:sz="4" w:space="0" w:color="auto"/>
                    <w:bottom w:val="single" w:sz="4" w:space="0" w:color="000000"/>
                    <w:right w:val="single" w:sz="4" w:space="0" w:color="auto"/>
                  </w:tcBorders>
                  <w:shd w:val="clear" w:color="auto" w:fill="auto"/>
                  <w:vAlign w:val="center"/>
                  <w:hideMark/>
                </w:tcPr>
                <w:p w14:paraId="2EA9F7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32" w:type="dxa"/>
                  <w:vMerge w:val="restart"/>
                  <w:tcBorders>
                    <w:top w:val="nil"/>
                    <w:left w:val="single" w:sz="4" w:space="0" w:color="auto"/>
                    <w:bottom w:val="single" w:sz="4" w:space="0" w:color="000000"/>
                    <w:right w:val="single" w:sz="4" w:space="0" w:color="auto"/>
                  </w:tcBorders>
                  <w:shd w:val="clear" w:color="auto" w:fill="auto"/>
                  <w:vAlign w:val="center"/>
                  <w:hideMark/>
                </w:tcPr>
                <w:p w14:paraId="4986819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222</w:t>
                  </w:r>
                </w:p>
              </w:tc>
              <w:tc>
                <w:tcPr>
                  <w:tcW w:w="23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25778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9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669C4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7FAB8DFD" w14:textId="77777777" w:rsidTr="00F56356">
              <w:trPr>
                <w:trHeight w:val="1305"/>
              </w:trPr>
              <w:tc>
                <w:tcPr>
                  <w:tcW w:w="337" w:type="dxa"/>
                  <w:tcBorders>
                    <w:top w:val="nil"/>
                    <w:left w:val="nil"/>
                    <w:bottom w:val="nil"/>
                    <w:right w:val="nil"/>
                  </w:tcBorders>
                  <w:shd w:val="clear" w:color="auto" w:fill="auto"/>
                  <w:noWrap/>
                  <w:vAlign w:val="bottom"/>
                  <w:hideMark/>
                </w:tcPr>
                <w:p w14:paraId="473CA36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689" w:type="dxa"/>
                  <w:vMerge/>
                  <w:tcBorders>
                    <w:top w:val="nil"/>
                    <w:left w:val="single" w:sz="4" w:space="0" w:color="auto"/>
                    <w:bottom w:val="single" w:sz="4" w:space="0" w:color="000000"/>
                    <w:right w:val="single" w:sz="4" w:space="0" w:color="auto"/>
                  </w:tcBorders>
                  <w:vAlign w:val="center"/>
                  <w:hideMark/>
                </w:tcPr>
                <w:p w14:paraId="7C5564F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32" w:type="dxa"/>
                  <w:vMerge/>
                  <w:tcBorders>
                    <w:top w:val="nil"/>
                    <w:left w:val="single" w:sz="4" w:space="0" w:color="auto"/>
                    <w:bottom w:val="single" w:sz="4" w:space="0" w:color="000000"/>
                    <w:right w:val="single" w:sz="4" w:space="0" w:color="auto"/>
                  </w:tcBorders>
                  <w:vAlign w:val="center"/>
                  <w:hideMark/>
                </w:tcPr>
                <w:p w14:paraId="730FE4B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18" w:type="dxa"/>
                  <w:tcBorders>
                    <w:top w:val="nil"/>
                    <w:left w:val="nil"/>
                    <w:bottom w:val="single" w:sz="4" w:space="0" w:color="auto"/>
                    <w:right w:val="single" w:sz="4" w:space="0" w:color="auto"/>
                  </w:tcBorders>
                  <w:shd w:val="clear" w:color="auto" w:fill="auto"/>
                  <w:vAlign w:val="center"/>
                  <w:hideMark/>
                </w:tcPr>
                <w:p w14:paraId="43C66AA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20" w:type="dxa"/>
                  <w:tcBorders>
                    <w:top w:val="nil"/>
                    <w:left w:val="nil"/>
                    <w:bottom w:val="single" w:sz="4" w:space="0" w:color="auto"/>
                    <w:right w:val="single" w:sz="4" w:space="0" w:color="auto"/>
                  </w:tcBorders>
                  <w:shd w:val="clear" w:color="auto" w:fill="auto"/>
                  <w:vAlign w:val="center"/>
                  <w:hideMark/>
                </w:tcPr>
                <w:p w14:paraId="2DF602E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60" w:type="dxa"/>
                  <w:tcBorders>
                    <w:top w:val="nil"/>
                    <w:left w:val="nil"/>
                    <w:bottom w:val="single" w:sz="4" w:space="0" w:color="auto"/>
                    <w:right w:val="single" w:sz="4" w:space="0" w:color="auto"/>
                  </w:tcBorders>
                  <w:shd w:val="clear" w:color="auto" w:fill="auto"/>
                  <w:vAlign w:val="center"/>
                  <w:hideMark/>
                </w:tcPr>
                <w:p w14:paraId="51DA0BE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17" w:type="dxa"/>
                  <w:tcBorders>
                    <w:top w:val="nil"/>
                    <w:left w:val="nil"/>
                    <w:bottom w:val="single" w:sz="4" w:space="0" w:color="auto"/>
                    <w:right w:val="single" w:sz="4" w:space="0" w:color="auto"/>
                  </w:tcBorders>
                  <w:shd w:val="clear" w:color="auto" w:fill="auto"/>
                  <w:vAlign w:val="center"/>
                  <w:hideMark/>
                </w:tcPr>
                <w:p w14:paraId="3508127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20" w:type="dxa"/>
                  <w:tcBorders>
                    <w:top w:val="nil"/>
                    <w:left w:val="nil"/>
                    <w:bottom w:val="single" w:sz="4" w:space="0" w:color="auto"/>
                    <w:right w:val="single" w:sz="4" w:space="0" w:color="auto"/>
                  </w:tcBorders>
                  <w:shd w:val="clear" w:color="auto" w:fill="auto"/>
                  <w:vAlign w:val="center"/>
                  <w:hideMark/>
                </w:tcPr>
                <w:p w14:paraId="11B8F56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E8CEEAC" w14:textId="77777777" w:rsidTr="00F56356">
              <w:trPr>
                <w:trHeight w:val="720"/>
              </w:trPr>
              <w:tc>
                <w:tcPr>
                  <w:tcW w:w="337" w:type="dxa"/>
                  <w:tcBorders>
                    <w:top w:val="nil"/>
                    <w:left w:val="nil"/>
                    <w:bottom w:val="nil"/>
                    <w:right w:val="nil"/>
                  </w:tcBorders>
                  <w:shd w:val="clear" w:color="auto" w:fill="auto"/>
                  <w:noWrap/>
                  <w:vAlign w:val="bottom"/>
                  <w:hideMark/>
                </w:tcPr>
                <w:p w14:paraId="737322B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689" w:type="dxa"/>
                  <w:vMerge/>
                  <w:tcBorders>
                    <w:top w:val="nil"/>
                    <w:left w:val="single" w:sz="4" w:space="0" w:color="auto"/>
                    <w:bottom w:val="single" w:sz="4" w:space="0" w:color="000000"/>
                    <w:right w:val="single" w:sz="4" w:space="0" w:color="auto"/>
                  </w:tcBorders>
                  <w:vAlign w:val="center"/>
                  <w:hideMark/>
                </w:tcPr>
                <w:p w14:paraId="2308820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32" w:type="dxa"/>
                  <w:vMerge/>
                  <w:tcBorders>
                    <w:top w:val="nil"/>
                    <w:left w:val="single" w:sz="4" w:space="0" w:color="auto"/>
                    <w:bottom w:val="single" w:sz="4" w:space="0" w:color="000000"/>
                    <w:right w:val="single" w:sz="4" w:space="0" w:color="auto"/>
                  </w:tcBorders>
                  <w:vAlign w:val="center"/>
                  <w:hideMark/>
                </w:tcPr>
                <w:p w14:paraId="1870360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18" w:type="dxa"/>
                  <w:tcBorders>
                    <w:top w:val="nil"/>
                    <w:left w:val="nil"/>
                    <w:bottom w:val="single" w:sz="4" w:space="0" w:color="auto"/>
                    <w:right w:val="single" w:sz="4" w:space="0" w:color="auto"/>
                  </w:tcBorders>
                  <w:shd w:val="clear" w:color="auto" w:fill="auto"/>
                  <w:noWrap/>
                  <w:vAlign w:val="center"/>
                  <w:hideMark/>
                </w:tcPr>
                <w:p w14:paraId="23D4B5C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6.000,00</w:t>
                  </w:r>
                </w:p>
              </w:tc>
              <w:tc>
                <w:tcPr>
                  <w:tcW w:w="1120" w:type="dxa"/>
                  <w:tcBorders>
                    <w:top w:val="nil"/>
                    <w:left w:val="nil"/>
                    <w:bottom w:val="single" w:sz="4" w:space="0" w:color="auto"/>
                    <w:right w:val="single" w:sz="4" w:space="0" w:color="auto"/>
                  </w:tcBorders>
                  <w:shd w:val="clear" w:color="auto" w:fill="auto"/>
                  <w:noWrap/>
                  <w:vAlign w:val="center"/>
                  <w:hideMark/>
                </w:tcPr>
                <w:p w14:paraId="324F79D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6.000,00</w:t>
                  </w:r>
                </w:p>
              </w:tc>
              <w:tc>
                <w:tcPr>
                  <w:tcW w:w="1160" w:type="dxa"/>
                  <w:tcBorders>
                    <w:top w:val="nil"/>
                    <w:left w:val="nil"/>
                    <w:bottom w:val="single" w:sz="4" w:space="0" w:color="auto"/>
                    <w:right w:val="single" w:sz="4" w:space="0" w:color="auto"/>
                  </w:tcBorders>
                  <w:shd w:val="clear" w:color="auto" w:fill="auto"/>
                  <w:noWrap/>
                  <w:vAlign w:val="center"/>
                  <w:hideMark/>
                </w:tcPr>
                <w:p w14:paraId="2E01734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17" w:type="dxa"/>
                  <w:tcBorders>
                    <w:top w:val="nil"/>
                    <w:left w:val="nil"/>
                    <w:bottom w:val="single" w:sz="4" w:space="0" w:color="auto"/>
                    <w:right w:val="single" w:sz="4" w:space="0" w:color="auto"/>
                  </w:tcBorders>
                  <w:shd w:val="clear" w:color="auto" w:fill="auto"/>
                  <w:noWrap/>
                  <w:vAlign w:val="center"/>
                  <w:hideMark/>
                </w:tcPr>
                <w:p w14:paraId="08AFA27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1.754,64</w:t>
                  </w:r>
                </w:p>
              </w:tc>
              <w:tc>
                <w:tcPr>
                  <w:tcW w:w="1120" w:type="dxa"/>
                  <w:tcBorders>
                    <w:top w:val="nil"/>
                    <w:left w:val="nil"/>
                    <w:bottom w:val="single" w:sz="4" w:space="0" w:color="auto"/>
                    <w:right w:val="single" w:sz="4" w:space="0" w:color="auto"/>
                  </w:tcBorders>
                  <w:shd w:val="clear" w:color="auto" w:fill="auto"/>
                  <w:noWrap/>
                  <w:vAlign w:val="center"/>
                  <w:hideMark/>
                </w:tcPr>
                <w:p w14:paraId="54F9646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1.754,64</w:t>
                  </w:r>
                </w:p>
              </w:tc>
            </w:tr>
            <w:tr w:rsidR="00F56356" w:rsidRPr="00F56356" w14:paraId="108B0281" w14:textId="77777777" w:rsidTr="00F56356">
              <w:trPr>
                <w:trHeight w:val="330"/>
              </w:trPr>
              <w:tc>
                <w:tcPr>
                  <w:tcW w:w="337" w:type="dxa"/>
                  <w:tcBorders>
                    <w:top w:val="nil"/>
                    <w:left w:val="nil"/>
                    <w:bottom w:val="nil"/>
                    <w:right w:val="nil"/>
                  </w:tcBorders>
                  <w:shd w:val="clear" w:color="auto" w:fill="auto"/>
                  <w:noWrap/>
                  <w:vAlign w:val="bottom"/>
                  <w:hideMark/>
                </w:tcPr>
                <w:p w14:paraId="7FAD2BF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689" w:type="dxa"/>
                  <w:tcBorders>
                    <w:top w:val="nil"/>
                    <w:left w:val="single" w:sz="4" w:space="0" w:color="auto"/>
                    <w:bottom w:val="nil"/>
                    <w:right w:val="nil"/>
                  </w:tcBorders>
                  <w:shd w:val="clear" w:color="auto" w:fill="auto"/>
                  <w:noWrap/>
                  <w:vAlign w:val="center"/>
                  <w:hideMark/>
                </w:tcPr>
                <w:p w14:paraId="317CFA7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32" w:type="dxa"/>
                  <w:tcBorders>
                    <w:top w:val="nil"/>
                    <w:left w:val="nil"/>
                    <w:bottom w:val="nil"/>
                    <w:right w:val="nil"/>
                  </w:tcBorders>
                  <w:shd w:val="clear" w:color="auto" w:fill="auto"/>
                  <w:noWrap/>
                  <w:vAlign w:val="bottom"/>
                  <w:hideMark/>
                </w:tcPr>
                <w:p w14:paraId="22A0E58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18" w:type="dxa"/>
                  <w:tcBorders>
                    <w:top w:val="nil"/>
                    <w:left w:val="nil"/>
                    <w:bottom w:val="nil"/>
                    <w:right w:val="nil"/>
                  </w:tcBorders>
                  <w:shd w:val="clear" w:color="auto" w:fill="auto"/>
                  <w:noWrap/>
                  <w:vAlign w:val="bottom"/>
                  <w:hideMark/>
                </w:tcPr>
                <w:p w14:paraId="1191EDB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nil"/>
                  </w:tcBorders>
                  <w:shd w:val="clear" w:color="auto" w:fill="auto"/>
                  <w:noWrap/>
                  <w:vAlign w:val="bottom"/>
                  <w:hideMark/>
                </w:tcPr>
                <w:p w14:paraId="265878F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60" w:type="dxa"/>
                  <w:tcBorders>
                    <w:top w:val="nil"/>
                    <w:left w:val="nil"/>
                    <w:bottom w:val="nil"/>
                    <w:right w:val="nil"/>
                  </w:tcBorders>
                  <w:shd w:val="clear" w:color="auto" w:fill="auto"/>
                  <w:noWrap/>
                  <w:vAlign w:val="bottom"/>
                  <w:hideMark/>
                </w:tcPr>
                <w:p w14:paraId="2B266C0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17" w:type="dxa"/>
                  <w:tcBorders>
                    <w:top w:val="nil"/>
                    <w:left w:val="nil"/>
                    <w:bottom w:val="nil"/>
                    <w:right w:val="nil"/>
                  </w:tcBorders>
                  <w:shd w:val="clear" w:color="auto" w:fill="auto"/>
                  <w:noWrap/>
                  <w:vAlign w:val="bottom"/>
                  <w:hideMark/>
                </w:tcPr>
                <w:p w14:paraId="7C0A6A5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single" w:sz="4" w:space="0" w:color="auto"/>
                  </w:tcBorders>
                  <w:shd w:val="clear" w:color="auto" w:fill="auto"/>
                  <w:noWrap/>
                  <w:vAlign w:val="bottom"/>
                  <w:hideMark/>
                </w:tcPr>
                <w:p w14:paraId="369F18E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30D7FEC" w14:textId="77777777" w:rsidTr="00F56356">
              <w:trPr>
                <w:trHeight w:val="345"/>
              </w:trPr>
              <w:tc>
                <w:tcPr>
                  <w:tcW w:w="337" w:type="dxa"/>
                  <w:tcBorders>
                    <w:top w:val="nil"/>
                    <w:left w:val="nil"/>
                    <w:bottom w:val="nil"/>
                    <w:right w:val="nil"/>
                  </w:tcBorders>
                  <w:shd w:val="clear" w:color="auto" w:fill="auto"/>
                  <w:noWrap/>
                  <w:vAlign w:val="bottom"/>
                  <w:hideMark/>
                </w:tcPr>
                <w:p w14:paraId="3FEBC54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56" w:type="dxa"/>
                  <w:gridSpan w:val="7"/>
                  <w:tcBorders>
                    <w:top w:val="nil"/>
                    <w:left w:val="single" w:sz="4" w:space="0" w:color="auto"/>
                    <w:bottom w:val="nil"/>
                    <w:right w:val="single" w:sz="4" w:space="0" w:color="000000"/>
                  </w:tcBorders>
                  <w:shd w:val="clear" w:color="auto" w:fill="auto"/>
                  <w:vAlign w:val="center"/>
                  <w:hideMark/>
                </w:tcPr>
                <w:p w14:paraId="52FB703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30CF4E6" w14:textId="77777777" w:rsidTr="00F56356">
              <w:trPr>
                <w:trHeight w:val="345"/>
              </w:trPr>
              <w:tc>
                <w:tcPr>
                  <w:tcW w:w="337" w:type="dxa"/>
                  <w:tcBorders>
                    <w:top w:val="nil"/>
                    <w:left w:val="nil"/>
                    <w:bottom w:val="nil"/>
                    <w:right w:val="nil"/>
                  </w:tcBorders>
                  <w:shd w:val="clear" w:color="auto" w:fill="auto"/>
                  <w:noWrap/>
                  <w:vAlign w:val="bottom"/>
                  <w:hideMark/>
                </w:tcPr>
                <w:p w14:paraId="07F1373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156" w:type="dxa"/>
                  <w:gridSpan w:val="7"/>
                  <w:tcBorders>
                    <w:top w:val="nil"/>
                    <w:left w:val="single" w:sz="4" w:space="0" w:color="auto"/>
                    <w:bottom w:val="nil"/>
                    <w:right w:val="single" w:sz="4" w:space="0" w:color="000000"/>
                  </w:tcBorders>
                  <w:shd w:val="clear" w:color="auto" w:fill="auto"/>
                  <w:vAlign w:val="center"/>
                  <w:hideMark/>
                </w:tcPr>
                <w:p w14:paraId="4BDFC81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5CAF6741" w14:textId="77777777" w:rsidTr="00F56356">
              <w:trPr>
                <w:trHeight w:val="345"/>
              </w:trPr>
              <w:tc>
                <w:tcPr>
                  <w:tcW w:w="337" w:type="dxa"/>
                  <w:tcBorders>
                    <w:top w:val="nil"/>
                    <w:left w:val="nil"/>
                    <w:bottom w:val="nil"/>
                    <w:right w:val="nil"/>
                  </w:tcBorders>
                  <w:shd w:val="clear" w:color="auto" w:fill="auto"/>
                  <w:noWrap/>
                  <w:vAlign w:val="bottom"/>
                  <w:hideMark/>
                </w:tcPr>
                <w:p w14:paraId="031BF8C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156" w:type="dxa"/>
                  <w:gridSpan w:val="7"/>
                  <w:tcBorders>
                    <w:top w:val="nil"/>
                    <w:left w:val="single" w:sz="4" w:space="0" w:color="auto"/>
                    <w:bottom w:val="single" w:sz="4" w:space="0" w:color="auto"/>
                    <w:right w:val="single" w:sz="4" w:space="0" w:color="000000"/>
                  </w:tcBorders>
                  <w:shd w:val="clear" w:color="auto" w:fill="auto"/>
                  <w:vAlign w:val="center"/>
                  <w:hideMark/>
                </w:tcPr>
                <w:p w14:paraId="63234F8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2E850EBC" w14:textId="77777777" w:rsidTr="00F56356">
              <w:trPr>
                <w:trHeight w:val="480"/>
              </w:trPr>
              <w:tc>
                <w:tcPr>
                  <w:tcW w:w="337" w:type="dxa"/>
                  <w:tcBorders>
                    <w:top w:val="nil"/>
                    <w:left w:val="nil"/>
                    <w:bottom w:val="nil"/>
                    <w:right w:val="nil"/>
                  </w:tcBorders>
                  <w:shd w:val="clear" w:color="auto" w:fill="auto"/>
                  <w:noWrap/>
                  <w:vAlign w:val="bottom"/>
                  <w:hideMark/>
                </w:tcPr>
                <w:p w14:paraId="50191EB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15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B9D0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EAE2035" w14:textId="77777777" w:rsidTr="00F56356">
              <w:trPr>
                <w:trHeight w:val="540"/>
              </w:trPr>
              <w:tc>
                <w:tcPr>
                  <w:tcW w:w="337" w:type="dxa"/>
                  <w:tcBorders>
                    <w:top w:val="nil"/>
                    <w:left w:val="nil"/>
                    <w:bottom w:val="nil"/>
                    <w:right w:val="nil"/>
                  </w:tcBorders>
                  <w:shd w:val="clear" w:color="auto" w:fill="auto"/>
                  <w:noWrap/>
                  <w:vAlign w:val="center"/>
                  <w:hideMark/>
                </w:tcPr>
                <w:p w14:paraId="4193047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01EE54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7C4DC5E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istruttoria delle domande</w:t>
                  </w:r>
                </w:p>
              </w:tc>
            </w:tr>
            <w:tr w:rsidR="00F56356" w:rsidRPr="00F56356" w14:paraId="25D6D594" w14:textId="77777777" w:rsidTr="00F56356">
              <w:trPr>
                <w:trHeight w:val="795"/>
              </w:trPr>
              <w:tc>
                <w:tcPr>
                  <w:tcW w:w="337" w:type="dxa"/>
                  <w:tcBorders>
                    <w:top w:val="nil"/>
                    <w:left w:val="nil"/>
                    <w:bottom w:val="nil"/>
                    <w:right w:val="nil"/>
                  </w:tcBorders>
                  <w:shd w:val="clear" w:color="auto" w:fill="auto"/>
                  <w:noWrap/>
                  <w:vAlign w:val="center"/>
                  <w:hideMark/>
                </w:tcPr>
                <w:p w14:paraId="091683A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FC61E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2E9F06D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Banca dati DICA per la gestione delle domande, sistema di protocollo informatico, PEC</w:t>
                  </w:r>
                </w:p>
              </w:tc>
            </w:tr>
            <w:tr w:rsidR="00F56356" w:rsidRPr="00F56356" w14:paraId="568709B2" w14:textId="77777777" w:rsidTr="00F56356">
              <w:trPr>
                <w:trHeight w:val="1200"/>
              </w:trPr>
              <w:tc>
                <w:tcPr>
                  <w:tcW w:w="337" w:type="dxa"/>
                  <w:tcBorders>
                    <w:top w:val="nil"/>
                    <w:left w:val="nil"/>
                    <w:bottom w:val="nil"/>
                    <w:right w:val="nil"/>
                  </w:tcBorders>
                  <w:shd w:val="clear" w:color="auto" w:fill="auto"/>
                  <w:noWrap/>
                  <w:vAlign w:val="center"/>
                  <w:hideMark/>
                </w:tcPr>
                <w:p w14:paraId="3DCC56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318738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870" w:type="dxa"/>
                  <w:gridSpan w:val="3"/>
                  <w:tcBorders>
                    <w:top w:val="single" w:sz="4" w:space="0" w:color="auto"/>
                    <w:left w:val="nil"/>
                    <w:bottom w:val="single" w:sz="4" w:space="0" w:color="auto"/>
                    <w:right w:val="single" w:sz="4" w:space="0" w:color="000000"/>
                  </w:tcBorders>
                  <w:shd w:val="clear" w:color="auto" w:fill="auto"/>
                  <w:vAlign w:val="center"/>
                  <w:hideMark/>
                </w:tcPr>
                <w:p w14:paraId="3C15304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Domande esaminate e classificate/ totale delle domande pervenute nell’anno 2022</w:t>
                  </w:r>
                </w:p>
              </w:tc>
              <w:tc>
                <w:tcPr>
                  <w:tcW w:w="1160" w:type="dxa"/>
                  <w:tcBorders>
                    <w:top w:val="nil"/>
                    <w:left w:val="nil"/>
                    <w:bottom w:val="single" w:sz="4" w:space="0" w:color="auto"/>
                    <w:right w:val="nil"/>
                  </w:tcBorders>
                  <w:shd w:val="clear" w:color="auto" w:fill="auto"/>
                  <w:vAlign w:val="center"/>
                  <w:hideMark/>
                </w:tcPr>
                <w:p w14:paraId="13E8ED2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17" w:type="dxa"/>
                  <w:tcBorders>
                    <w:top w:val="nil"/>
                    <w:left w:val="single" w:sz="4" w:space="0" w:color="auto"/>
                    <w:bottom w:val="single" w:sz="4" w:space="0" w:color="auto"/>
                    <w:right w:val="nil"/>
                  </w:tcBorders>
                  <w:shd w:val="clear" w:color="auto" w:fill="auto"/>
                  <w:vAlign w:val="center"/>
                  <w:hideMark/>
                </w:tcPr>
                <w:p w14:paraId="69DECC3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234CDB5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47B3879" w14:textId="77777777" w:rsidTr="00F56356">
              <w:trPr>
                <w:trHeight w:val="615"/>
              </w:trPr>
              <w:tc>
                <w:tcPr>
                  <w:tcW w:w="337" w:type="dxa"/>
                  <w:tcBorders>
                    <w:top w:val="nil"/>
                    <w:left w:val="nil"/>
                    <w:bottom w:val="nil"/>
                    <w:right w:val="nil"/>
                  </w:tcBorders>
                  <w:shd w:val="clear" w:color="auto" w:fill="auto"/>
                  <w:noWrap/>
                  <w:vAlign w:val="bottom"/>
                  <w:hideMark/>
                </w:tcPr>
                <w:p w14:paraId="158BC5E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689" w:type="dxa"/>
                  <w:tcBorders>
                    <w:top w:val="nil"/>
                    <w:left w:val="single" w:sz="4" w:space="0" w:color="auto"/>
                    <w:bottom w:val="single" w:sz="4" w:space="0" w:color="auto"/>
                    <w:right w:val="single" w:sz="4" w:space="0" w:color="auto"/>
                  </w:tcBorders>
                  <w:shd w:val="clear" w:color="auto" w:fill="auto"/>
                  <w:vAlign w:val="center"/>
                  <w:hideMark/>
                </w:tcPr>
                <w:p w14:paraId="2E334F3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87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1738C5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60" w:type="dxa"/>
                  <w:tcBorders>
                    <w:top w:val="nil"/>
                    <w:left w:val="nil"/>
                    <w:bottom w:val="single" w:sz="4" w:space="0" w:color="auto"/>
                    <w:right w:val="single" w:sz="4" w:space="0" w:color="auto"/>
                  </w:tcBorders>
                  <w:shd w:val="clear" w:color="auto" w:fill="auto"/>
                  <w:noWrap/>
                  <w:vAlign w:val="center"/>
                  <w:hideMark/>
                </w:tcPr>
                <w:p w14:paraId="48DC7DE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17" w:type="dxa"/>
                  <w:tcBorders>
                    <w:top w:val="nil"/>
                    <w:left w:val="nil"/>
                    <w:bottom w:val="single" w:sz="4" w:space="0" w:color="auto"/>
                    <w:right w:val="nil"/>
                  </w:tcBorders>
                  <w:shd w:val="clear" w:color="auto" w:fill="auto"/>
                  <w:vAlign w:val="center"/>
                  <w:hideMark/>
                </w:tcPr>
                <w:p w14:paraId="4DD7415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20" w:type="dxa"/>
                  <w:tcBorders>
                    <w:top w:val="nil"/>
                    <w:left w:val="single" w:sz="4" w:space="0" w:color="auto"/>
                    <w:bottom w:val="single" w:sz="4" w:space="0" w:color="auto"/>
                    <w:right w:val="single" w:sz="4" w:space="0" w:color="auto"/>
                  </w:tcBorders>
                  <w:shd w:val="clear" w:color="000000" w:fill="FFFFFF"/>
                  <w:vAlign w:val="center"/>
                  <w:hideMark/>
                </w:tcPr>
                <w:p w14:paraId="55F288E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16324E08" w14:textId="77777777" w:rsidR="00F56356" w:rsidRPr="00F56356" w:rsidRDefault="00F56356"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2E834BE" w14:textId="5F1AEFC4" w:rsidR="00F56356" w:rsidRDefault="00F56356"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76D0E71" w14:textId="77777777" w:rsidR="00B162D3" w:rsidRPr="00F56356" w:rsidRDefault="00B162D3"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13C1A77" w14:textId="77777777" w:rsidR="00F56356" w:rsidRPr="00F56356" w:rsidRDefault="00F56356"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9D01EF9" w14:textId="77777777" w:rsidR="00F56356" w:rsidRPr="00F56356" w:rsidRDefault="00F56356"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493" w:type="dxa"/>
              <w:tblCellMar>
                <w:left w:w="70" w:type="dxa"/>
                <w:right w:w="70" w:type="dxa"/>
              </w:tblCellMar>
              <w:tblLook w:val="04A0" w:firstRow="1" w:lastRow="0" w:firstColumn="1" w:lastColumn="0" w:noHBand="0" w:noVBand="1"/>
            </w:tblPr>
            <w:tblGrid>
              <w:gridCol w:w="329"/>
              <w:gridCol w:w="1984"/>
              <w:gridCol w:w="729"/>
              <w:gridCol w:w="1278"/>
              <w:gridCol w:w="1275"/>
              <w:gridCol w:w="1276"/>
              <w:gridCol w:w="1447"/>
              <w:gridCol w:w="1175"/>
            </w:tblGrid>
            <w:tr w:rsidR="00F56356" w:rsidRPr="00F56356" w14:paraId="4E912B46" w14:textId="77777777" w:rsidTr="00F56356">
              <w:trPr>
                <w:trHeight w:val="510"/>
              </w:trPr>
              <w:tc>
                <w:tcPr>
                  <w:tcW w:w="329" w:type="dxa"/>
                  <w:tcBorders>
                    <w:top w:val="nil"/>
                    <w:left w:val="nil"/>
                    <w:bottom w:val="nil"/>
                    <w:right w:val="nil"/>
                  </w:tcBorders>
                  <w:shd w:val="clear" w:color="auto" w:fill="auto"/>
                  <w:noWrap/>
                  <w:vAlign w:val="bottom"/>
                  <w:hideMark/>
                </w:tcPr>
                <w:p w14:paraId="004104D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16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3391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00BCAEF9" w14:textId="77777777" w:rsidTr="00F56356">
              <w:trPr>
                <w:trHeight w:val="690"/>
              </w:trPr>
              <w:tc>
                <w:tcPr>
                  <w:tcW w:w="329" w:type="dxa"/>
                  <w:tcBorders>
                    <w:top w:val="nil"/>
                    <w:left w:val="nil"/>
                    <w:bottom w:val="nil"/>
                    <w:right w:val="nil"/>
                  </w:tcBorders>
                  <w:shd w:val="clear" w:color="auto" w:fill="auto"/>
                  <w:noWrap/>
                  <w:vAlign w:val="center"/>
                  <w:hideMark/>
                </w:tcPr>
                <w:p w14:paraId="32360C7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E88607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30E949B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1AB46985" w14:textId="77777777" w:rsidTr="00F56356">
              <w:trPr>
                <w:trHeight w:val="690"/>
              </w:trPr>
              <w:tc>
                <w:tcPr>
                  <w:tcW w:w="329" w:type="dxa"/>
                  <w:tcBorders>
                    <w:top w:val="nil"/>
                    <w:left w:val="nil"/>
                    <w:bottom w:val="nil"/>
                    <w:right w:val="nil"/>
                  </w:tcBorders>
                  <w:shd w:val="clear" w:color="auto" w:fill="auto"/>
                  <w:noWrap/>
                  <w:vAlign w:val="center"/>
                  <w:hideMark/>
                </w:tcPr>
                <w:p w14:paraId="6191254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84EFB3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1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9075E2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42723CEC" w14:textId="77777777" w:rsidTr="00F56356">
              <w:trPr>
                <w:trHeight w:val="690"/>
              </w:trPr>
              <w:tc>
                <w:tcPr>
                  <w:tcW w:w="329" w:type="dxa"/>
                  <w:tcBorders>
                    <w:top w:val="nil"/>
                    <w:left w:val="nil"/>
                    <w:bottom w:val="nil"/>
                    <w:right w:val="nil"/>
                  </w:tcBorders>
                  <w:shd w:val="clear" w:color="auto" w:fill="auto"/>
                  <w:noWrap/>
                  <w:vAlign w:val="center"/>
                  <w:hideMark/>
                </w:tcPr>
                <w:p w14:paraId="1640DB4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127E81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1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3006D6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5D41857F" w14:textId="77777777" w:rsidTr="00F56356">
              <w:trPr>
                <w:trHeight w:val="810"/>
              </w:trPr>
              <w:tc>
                <w:tcPr>
                  <w:tcW w:w="329" w:type="dxa"/>
                  <w:tcBorders>
                    <w:top w:val="nil"/>
                    <w:left w:val="nil"/>
                    <w:bottom w:val="nil"/>
                    <w:right w:val="nil"/>
                  </w:tcBorders>
                  <w:shd w:val="clear" w:color="auto" w:fill="auto"/>
                  <w:noWrap/>
                  <w:vAlign w:val="center"/>
                  <w:hideMark/>
                </w:tcPr>
                <w:p w14:paraId="3397F32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758836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49B5C48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Ripartizione della quota dell’otto per mille dell’Irpef a diretta gestione Statale (D.P.R. 76/98) per l’annualità 2022 </w:t>
                  </w:r>
                </w:p>
              </w:tc>
            </w:tr>
            <w:tr w:rsidR="00F56356" w:rsidRPr="00F56356" w14:paraId="367C56B9" w14:textId="77777777" w:rsidTr="00F56356">
              <w:trPr>
                <w:trHeight w:val="810"/>
              </w:trPr>
              <w:tc>
                <w:tcPr>
                  <w:tcW w:w="329" w:type="dxa"/>
                  <w:tcBorders>
                    <w:top w:val="nil"/>
                    <w:left w:val="nil"/>
                    <w:bottom w:val="nil"/>
                    <w:right w:val="nil"/>
                  </w:tcBorders>
                  <w:shd w:val="clear" w:color="auto" w:fill="auto"/>
                  <w:noWrap/>
                  <w:vAlign w:val="center"/>
                  <w:hideMark/>
                </w:tcPr>
                <w:p w14:paraId="35AB4F2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80841D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3FD3AC0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Avvio dell’istruttoria relativa alle richieste di accesso alla quota dell’otto per mille dell’Irpef a gestione diretta dello Stato per l’annualità 2022 </w:t>
                  </w:r>
                </w:p>
              </w:tc>
            </w:tr>
            <w:tr w:rsidR="00F56356" w:rsidRPr="00F56356" w14:paraId="5BBC7D00" w14:textId="77777777" w:rsidTr="00F56356">
              <w:trPr>
                <w:trHeight w:val="360"/>
              </w:trPr>
              <w:tc>
                <w:tcPr>
                  <w:tcW w:w="329" w:type="dxa"/>
                  <w:tcBorders>
                    <w:top w:val="nil"/>
                    <w:left w:val="nil"/>
                    <w:bottom w:val="nil"/>
                    <w:right w:val="nil"/>
                  </w:tcBorders>
                  <w:shd w:val="clear" w:color="auto" w:fill="auto"/>
                  <w:noWrap/>
                  <w:vAlign w:val="center"/>
                  <w:hideMark/>
                </w:tcPr>
                <w:p w14:paraId="5B17D58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C68034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7D525CB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6138EC7" w14:textId="77777777" w:rsidTr="00F56356">
              <w:trPr>
                <w:trHeight w:val="360"/>
              </w:trPr>
              <w:tc>
                <w:tcPr>
                  <w:tcW w:w="329" w:type="dxa"/>
                  <w:tcBorders>
                    <w:top w:val="nil"/>
                    <w:left w:val="nil"/>
                    <w:bottom w:val="nil"/>
                    <w:right w:val="nil"/>
                  </w:tcBorders>
                  <w:shd w:val="clear" w:color="auto" w:fill="auto"/>
                  <w:noWrap/>
                  <w:vAlign w:val="center"/>
                  <w:hideMark/>
                </w:tcPr>
                <w:p w14:paraId="691447A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A0CFB8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6F193BA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B22BE15" w14:textId="77777777" w:rsidTr="00F56356">
              <w:trPr>
                <w:trHeight w:val="525"/>
              </w:trPr>
              <w:tc>
                <w:tcPr>
                  <w:tcW w:w="329" w:type="dxa"/>
                  <w:tcBorders>
                    <w:top w:val="nil"/>
                    <w:left w:val="nil"/>
                    <w:bottom w:val="nil"/>
                    <w:right w:val="nil"/>
                  </w:tcBorders>
                  <w:shd w:val="clear" w:color="auto" w:fill="auto"/>
                  <w:noWrap/>
                  <w:vAlign w:val="bottom"/>
                  <w:hideMark/>
                </w:tcPr>
                <w:p w14:paraId="275938D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14:paraId="24E6741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29" w:type="dxa"/>
                  <w:vMerge w:val="restart"/>
                  <w:tcBorders>
                    <w:top w:val="nil"/>
                    <w:left w:val="single" w:sz="4" w:space="0" w:color="auto"/>
                    <w:bottom w:val="single" w:sz="4" w:space="0" w:color="000000"/>
                    <w:right w:val="single" w:sz="4" w:space="0" w:color="auto"/>
                  </w:tcBorders>
                  <w:shd w:val="clear" w:color="auto" w:fill="auto"/>
                  <w:vAlign w:val="center"/>
                  <w:hideMark/>
                </w:tcPr>
                <w:p w14:paraId="37FF492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224</w:t>
                  </w:r>
                </w:p>
              </w:tc>
              <w:tc>
                <w:tcPr>
                  <w:tcW w:w="255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A53D1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8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26A8B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ED37F26" w14:textId="77777777" w:rsidTr="00F56356">
              <w:trPr>
                <w:trHeight w:val="1440"/>
              </w:trPr>
              <w:tc>
                <w:tcPr>
                  <w:tcW w:w="329" w:type="dxa"/>
                  <w:tcBorders>
                    <w:top w:val="nil"/>
                    <w:left w:val="nil"/>
                    <w:bottom w:val="nil"/>
                    <w:right w:val="nil"/>
                  </w:tcBorders>
                  <w:shd w:val="clear" w:color="auto" w:fill="auto"/>
                  <w:noWrap/>
                  <w:vAlign w:val="bottom"/>
                  <w:hideMark/>
                </w:tcPr>
                <w:p w14:paraId="5EE30A9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1984" w:type="dxa"/>
                  <w:vMerge/>
                  <w:tcBorders>
                    <w:top w:val="nil"/>
                    <w:left w:val="single" w:sz="4" w:space="0" w:color="auto"/>
                    <w:bottom w:val="single" w:sz="4" w:space="0" w:color="000000"/>
                    <w:right w:val="single" w:sz="4" w:space="0" w:color="auto"/>
                  </w:tcBorders>
                  <w:vAlign w:val="center"/>
                  <w:hideMark/>
                </w:tcPr>
                <w:p w14:paraId="4719157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9" w:type="dxa"/>
                  <w:vMerge/>
                  <w:tcBorders>
                    <w:top w:val="nil"/>
                    <w:left w:val="single" w:sz="4" w:space="0" w:color="auto"/>
                    <w:bottom w:val="single" w:sz="4" w:space="0" w:color="000000"/>
                    <w:right w:val="single" w:sz="4" w:space="0" w:color="auto"/>
                  </w:tcBorders>
                  <w:vAlign w:val="center"/>
                  <w:hideMark/>
                </w:tcPr>
                <w:p w14:paraId="285990A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78" w:type="dxa"/>
                  <w:tcBorders>
                    <w:top w:val="nil"/>
                    <w:left w:val="nil"/>
                    <w:bottom w:val="single" w:sz="4" w:space="0" w:color="auto"/>
                    <w:right w:val="single" w:sz="4" w:space="0" w:color="auto"/>
                  </w:tcBorders>
                  <w:shd w:val="clear" w:color="auto" w:fill="auto"/>
                  <w:vAlign w:val="center"/>
                  <w:hideMark/>
                </w:tcPr>
                <w:p w14:paraId="0F0F64B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275" w:type="dxa"/>
                  <w:tcBorders>
                    <w:top w:val="nil"/>
                    <w:left w:val="nil"/>
                    <w:bottom w:val="single" w:sz="4" w:space="0" w:color="auto"/>
                    <w:right w:val="single" w:sz="4" w:space="0" w:color="auto"/>
                  </w:tcBorders>
                  <w:shd w:val="clear" w:color="auto" w:fill="auto"/>
                  <w:vAlign w:val="center"/>
                  <w:hideMark/>
                </w:tcPr>
                <w:p w14:paraId="5C9842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276" w:type="dxa"/>
                  <w:tcBorders>
                    <w:top w:val="nil"/>
                    <w:left w:val="nil"/>
                    <w:bottom w:val="single" w:sz="4" w:space="0" w:color="auto"/>
                    <w:right w:val="single" w:sz="4" w:space="0" w:color="auto"/>
                  </w:tcBorders>
                  <w:shd w:val="clear" w:color="auto" w:fill="auto"/>
                  <w:vAlign w:val="center"/>
                  <w:hideMark/>
                </w:tcPr>
                <w:p w14:paraId="5845EAB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447" w:type="dxa"/>
                  <w:tcBorders>
                    <w:top w:val="nil"/>
                    <w:left w:val="nil"/>
                    <w:bottom w:val="single" w:sz="4" w:space="0" w:color="auto"/>
                    <w:right w:val="single" w:sz="4" w:space="0" w:color="auto"/>
                  </w:tcBorders>
                  <w:shd w:val="clear" w:color="auto" w:fill="auto"/>
                  <w:vAlign w:val="center"/>
                  <w:hideMark/>
                </w:tcPr>
                <w:p w14:paraId="0D4B1B7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75" w:type="dxa"/>
                  <w:tcBorders>
                    <w:top w:val="nil"/>
                    <w:left w:val="nil"/>
                    <w:bottom w:val="single" w:sz="4" w:space="0" w:color="auto"/>
                    <w:right w:val="single" w:sz="4" w:space="0" w:color="auto"/>
                  </w:tcBorders>
                  <w:shd w:val="clear" w:color="auto" w:fill="auto"/>
                  <w:vAlign w:val="center"/>
                  <w:hideMark/>
                </w:tcPr>
                <w:p w14:paraId="1569970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C544727" w14:textId="77777777" w:rsidTr="00F56356">
              <w:trPr>
                <w:trHeight w:val="720"/>
              </w:trPr>
              <w:tc>
                <w:tcPr>
                  <w:tcW w:w="329" w:type="dxa"/>
                  <w:tcBorders>
                    <w:top w:val="nil"/>
                    <w:left w:val="nil"/>
                    <w:bottom w:val="nil"/>
                    <w:right w:val="nil"/>
                  </w:tcBorders>
                  <w:shd w:val="clear" w:color="auto" w:fill="auto"/>
                  <w:noWrap/>
                  <w:vAlign w:val="bottom"/>
                  <w:hideMark/>
                </w:tcPr>
                <w:p w14:paraId="62C1909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1984" w:type="dxa"/>
                  <w:vMerge/>
                  <w:tcBorders>
                    <w:top w:val="nil"/>
                    <w:left w:val="single" w:sz="4" w:space="0" w:color="auto"/>
                    <w:bottom w:val="single" w:sz="4" w:space="0" w:color="000000"/>
                    <w:right w:val="single" w:sz="4" w:space="0" w:color="auto"/>
                  </w:tcBorders>
                  <w:vAlign w:val="center"/>
                  <w:hideMark/>
                </w:tcPr>
                <w:p w14:paraId="36D5157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9" w:type="dxa"/>
                  <w:vMerge/>
                  <w:tcBorders>
                    <w:top w:val="nil"/>
                    <w:left w:val="single" w:sz="4" w:space="0" w:color="auto"/>
                    <w:bottom w:val="single" w:sz="4" w:space="0" w:color="000000"/>
                    <w:right w:val="single" w:sz="4" w:space="0" w:color="auto"/>
                  </w:tcBorders>
                  <w:vAlign w:val="center"/>
                  <w:hideMark/>
                </w:tcPr>
                <w:p w14:paraId="27A59F4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78" w:type="dxa"/>
                  <w:tcBorders>
                    <w:top w:val="nil"/>
                    <w:left w:val="nil"/>
                    <w:bottom w:val="single" w:sz="4" w:space="0" w:color="auto"/>
                    <w:right w:val="single" w:sz="4" w:space="0" w:color="auto"/>
                  </w:tcBorders>
                  <w:shd w:val="clear" w:color="auto" w:fill="auto"/>
                  <w:noWrap/>
                  <w:vAlign w:val="center"/>
                  <w:hideMark/>
                </w:tcPr>
                <w:p w14:paraId="17DBEB8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86.023.133,00</w:t>
                  </w:r>
                </w:p>
              </w:tc>
              <w:tc>
                <w:tcPr>
                  <w:tcW w:w="1275" w:type="dxa"/>
                  <w:tcBorders>
                    <w:top w:val="nil"/>
                    <w:left w:val="nil"/>
                    <w:bottom w:val="single" w:sz="4" w:space="0" w:color="auto"/>
                    <w:right w:val="single" w:sz="4" w:space="0" w:color="auto"/>
                  </w:tcBorders>
                  <w:shd w:val="clear" w:color="auto" w:fill="auto"/>
                  <w:noWrap/>
                  <w:vAlign w:val="center"/>
                  <w:hideMark/>
                </w:tcPr>
                <w:p w14:paraId="6AE6EB6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234.209.488,90</w:t>
                  </w:r>
                </w:p>
              </w:tc>
              <w:tc>
                <w:tcPr>
                  <w:tcW w:w="1276" w:type="dxa"/>
                  <w:tcBorders>
                    <w:top w:val="nil"/>
                    <w:left w:val="nil"/>
                    <w:bottom w:val="single" w:sz="4" w:space="0" w:color="auto"/>
                    <w:right w:val="single" w:sz="4" w:space="0" w:color="auto"/>
                  </w:tcBorders>
                  <w:shd w:val="clear" w:color="auto" w:fill="auto"/>
                  <w:noWrap/>
                  <w:vAlign w:val="center"/>
                  <w:hideMark/>
                </w:tcPr>
                <w:p w14:paraId="37E3024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42.623.208,65</w:t>
                  </w:r>
                </w:p>
              </w:tc>
              <w:tc>
                <w:tcPr>
                  <w:tcW w:w="1447" w:type="dxa"/>
                  <w:tcBorders>
                    <w:top w:val="nil"/>
                    <w:left w:val="nil"/>
                    <w:bottom w:val="single" w:sz="4" w:space="0" w:color="auto"/>
                    <w:right w:val="single" w:sz="4" w:space="0" w:color="auto"/>
                  </w:tcBorders>
                  <w:shd w:val="clear" w:color="auto" w:fill="auto"/>
                  <w:noWrap/>
                  <w:vAlign w:val="center"/>
                  <w:hideMark/>
                </w:tcPr>
                <w:p w14:paraId="1ADB288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23.514.592,67</w:t>
                  </w:r>
                </w:p>
              </w:tc>
              <w:tc>
                <w:tcPr>
                  <w:tcW w:w="1175" w:type="dxa"/>
                  <w:tcBorders>
                    <w:top w:val="nil"/>
                    <w:left w:val="nil"/>
                    <w:bottom w:val="single" w:sz="4" w:space="0" w:color="auto"/>
                    <w:right w:val="single" w:sz="4" w:space="0" w:color="auto"/>
                  </w:tcBorders>
                  <w:shd w:val="clear" w:color="auto" w:fill="auto"/>
                  <w:noWrap/>
                  <w:vAlign w:val="center"/>
                  <w:hideMark/>
                </w:tcPr>
                <w:p w14:paraId="64AD6DA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66.137.801,32</w:t>
                  </w:r>
                </w:p>
              </w:tc>
            </w:tr>
            <w:tr w:rsidR="00F56356" w:rsidRPr="00F56356" w14:paraId="403A76A9" w14:textId="77777777" w:rsidTr="00F56356">
              <w:trPr>
                <w:trHeight w:val="330"/>
              </w:trPr>
              <w:tc>
                <w:tcPr>
                  <w:tcW w:w="329" w:type="dxa"/>
                  <w:tcBorders>
                    <w:top w:val="nil"/>
                    <w:left w:val="nil"/>
                    <w:bottom w:val="nil"/>
                    <w:right w:val="nil"/>
                  </w:tcBorders>
                  <w:shd w:val="clear" w:color="auto" w:fill="auto"/>
                  <w:noWrap/>
                  <w:vAlign w:val="bottom"/>
                  <w:hideMark/>
                </w:tcPr>
                <w:p w14:paraId="783A98C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1984" w:type="dxa"/>
                  <w:tcBorders>
                    <w:top w:val="nil"/>
                    <w:left w:val="single" w:sz="4" w:space="0" w:color="auto"/>
                    <w:bottom w:val="nil"/>
                    <w:right w:val="nil"/>
                  </w:tcBorders>
                  <w:shd w:val="clear" w:color="auto" w:fill="auto"/>
                  <w:noWrap/>
                  <w:vAlign w:val="center"/>
                  <w:hideMark/>
                </w:tcPr>
                <w:p w14:paraId="7B04F79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29" w:type="dxa"/>
                  <w:tcBorders>
                    <w:top w:val="nil"/>
                    <w:left w:val="nil"/>
                    <w:bottom w:val="nil"/>
                    <w:right w:val="nil"/>
                  </w:tcBorders>
                  <w:shd w:val="clear" w:color="auto" w:fill="auto"/>
                  <w:noWrap/>
                  <w:vAlign w:val="bottom"/>
                  <w:hideMark/>
                </w:tcPr>
                <w:p w14:paraId="089A62B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78" w:type="dxa"/>
                  <w:tcBorders>
                    <w:top w:val="nil"/>
                    <w:left w:val="nil"/>
                    <w:bottom w:val="nil"/>
                    <w:right w:val="nil"/>
                  </w:tcBorders>
                  <w:shd w:val="clear" w:color="auto" w:fill="auto"/>
                  <w:noWrap/>
                  <w:vAlign w:val="bottom"/>
                  <w:hideMark/>
                </w:tcPr>
                <w:p w14:paraId="25C92B9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75" w:type="dxa"/>
                  <w:tcBorders>
                    <w:top w:val="nil"/>
                    <w:left w:val="nil"/>
                    <w:bottom w:val="nil"/>
                    <w:right w:val="nil"/>
                  </w:tcBorders>
                  <w:shd w:val="clear" w:color="auto" w:fill="auto"/>
                  <w:noWrap/>
                  <w:vAlign w:val="bottom"/>
                  <w:hideMark/>
                </w:tcPr>
                <w:p w14:paraId="319A336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76" w:type="dxa"/>
                  <w:tcBorders>
                    <w:top w:val="nil"/>
                    <w:left w:val="nil"/>
                    <w:bottom w:val="nil"/>
                    <w:right w:val="nil"/>
                  </w:tcBorders>
                  <w:shd w:val="clear" w:color="auto" w:fill="auto"/>
                  <w:noWrap/>
                  <w:vAlign w:val="bottom"/>
                  <w:hideMark/>
                </w:tcPr>
                <w:p w14:paraId="03B286F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47" w:type="dxa"/>
                  <w:tcBorders>
                    <w:top w:val="nil"/>
                    <w:left w:val="nil"/>
                    <w:bottom w:val="nil"/>
                    <w:right w:val="nil"/>
                  </w:tcBorders>
                  <w:shd w:val="clear" w:color="auto" w:fill="auto"/>
                  <w:noWrap/>
                  <w:vAlign w:val="bottom"/>
                  <w:hideMark/>
                </w:tcPr>
                <w:p w14:paraId="72F1042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single" w:sz="4" w:space="0" w:color="auto"/>
                  </w:tcBorders>
                  <w:shd w:val="clear" w:color="auto" w:fill="auto"/>
                  <w:noWrap/>
                  <w:vAlign w:val="bottom"/>
                  <w:hideMark/>
                </w:tcPr>
                <w:p w14:paraId="233841A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9CF37D5" w14:textId="77777777" w:rsidTr="00F56356">
              <w:trPr>
                <w:trHeight w:val="345"/>
              </w:trPr>
              <w:tc>
                <w:tcPr>
                  <w:tcW w:w="329" w:type="dxa"/>
                  <w:tcBorders>
                    <w:top w:val="nil"/>
                    <w:left w:val="nil"/>
                    <w:bottom w:val="nil"/>
                    <w:right w:val="nil"/>
                  </w:tcBorders>
                  <w:shd w:val="clear" w:color="auto" w:fill="auto"/>
                  <w:noWrap/>
                  <w:vAlign w:val="bottom"/>
                  <w:hideMark/>
                </w:tcPr>
                <w:p w14:paraId="1DE6FB9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64" w:type="dxa"/>
                  <w:gridSpan w:val="7"/>
                  <w:tcBorders>
                    <w:top w:val="nil"/>
                    <w:left w:val="single" w:sz="4" w:space="0" w:color="auto"/>
                    <w:bottom w:val="nil"/>
                    <w:right w:val="single" w:sz="4" w:space="0" w:color="000000"/>
                  </w:tcBorders>
                  <w:shd w:val="clear" w:color="auto" w:fill="auto"/>
                  <w:vAlign w:val="center"/>
                  <w:hideMark/>
                </w:tcPr>
                <w:p w14:paraId="414E098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7BCCCC1A" w14:textId="77777777" w:rsidTr="00F56356">
              <w:trPr>
                <w:trHeight w:val="345"/>
              </w:trPr>
              <w:tc>
                <w:tcPr>
                  <w:tcW w:w="329" w:type="dxa"/>
                  <w:tcBorders>
                    <w:top w:val="nil"/>
                    <w:left w:val="nil"/>
                    <w:bottom w:val="nil"/>
                    <w:right w:val="nil"/>
                  </w:tcBorders>
                  <w:shd w:val="clear" w:color="auto" w:fill="auto"/>
                  <w:noWrap/>
                  <w:vAlign w:val="bottom"/>
                  <w:hideMark/>
                </w:tcPr>
                <w:p w14:paraId="4D9DD96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164" w:type="dxa"/>
                  <w:gridSpan w:val="7"/>
                  <w:tcBorders>
                    <w:top w:val="nil"/>
                    <w:left w:val="single" w:sz="4" w:space="0" w:color="auto"/>
                    <w:bottom w:val="nil"/>
                    <w:right w:val="single" w:sz="4" w:space="0" w:color="000000"/>
                  </w:tcBorders>
                  <w:shd w:val="clear" w:color="auto" w:fill="auto"/>
                  <w:vAlign w:val="center"/>
                  <w:hideMark/>
                </w:tcPr>
                <w:p w14:paraId="3BA9CA9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75D7D97C" w14:textId="77777777" w:rsidTr="00F56356">
              <w:trPr>
                <w:trHeight w:val="345"/>
              </w:trPr>
              <w:tc>
                <w:tcPr>
                  <w:tcW w:w="329" w:type="dxa"/>
                  <w:tcBorders>
                    <w:top w:val="nil"/>
                    <w:left w:val="nil"/>
                    <w:bottom w:val="nil"/>
                    <w:right w:val="nil"/>
                  </w:tcBorders>
                  <w:shd w:val="clear" w:color="auto" w:fill="auto"/>
                  <w:noWrap/>
                  <w:vAlign w:val="bottom"/>
                  <w:hideMark/>
                </w:tcPr>
                <w:p w14:paraId="7ABF00D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164" w:type="dxa"/>
                  <w:gridSpan w:val="7"/>
                  <w:tcBorders>
                    <w:top w:val="nil"/>
                    <w:left w:val="single" w:sz="4" w:space="0" w:color="auto"/>
                    <w:bottom w:val="single" w:sz="4" w:space="0" w:color="auto"/>
                    <w:right w:val="single" w:sz="4" w:space="0" w:color="000000"/>
                  </w:tcBorders>
                  <w:shd w:val="clear" w:color="auto" w:fill="auto"/>
                  <w:vAlign w:val="center"/>
                  <w:hideMark/>
                </w:tcPr>
                <w:p w14:paraId="0C8F7067"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712793BB" w14:textId="77777777" w:rsidTr="00F56356">
              <w:trPr>
                <w:trHeight w:val="480"/>
              </w:trPr>
              <w:tc>
                <w:tcPr>
                  <w:tcW w:w="329" w:type="dxa"/>
                  <w:tcBorders>
                    <w:top w:val="nil"/>
                    <w:left w:val="nil"/>
                    <w:bottom w:val="nil"/>
                    <w:right w:val="nil"/>
                  </w:tcBorders>
                  <w:shd w:val="clear" w:color="auto" w:fill="auto"/>
                  <w:noWrap/>
                  <w:vAlign w:val="bottom"/>
                  <w:hideMark/>
                </w:tcPr>
                <w:p w14:paraId="74BF617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16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B9A3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49CADB4" w14:textId="77777777" w:rsidTr="00F56356">
              <w:trPr>
                <w:trHeight w:val="540"/>
              </w:trPr>
              <w:tc>
                <w:tcPr>
                  <w:tcW w:w="329" w:type="dxa"/>
                  <w:tcBorders>
                    <w:top w:val="nil"/>
                    <w:left w:val="nil"/>
                    <w:bottom w:val="nil"/>
                    <w:right w:val="nil"/>
                  </w:tcBorders>
                  <w:shd w:val="clear" w:color="auto" w:fill="auto"/>
                  <w:noWrap/>
                  <w:vAlign w:val="center"/>
                  <w:hideMark/>
                </w:tcPr>
                <w:p w14:paraId="165B5AD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9B9490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643306E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istruttoria delle domande</w:t>
                  </w:r>
                </w:p>
              </w:tc>
            </w:tr>
            <w:tr w:rsidR="00F56356" w:rsidRPr="00F56356" w14:paraId="02C1DD33" w14:textId="77777777" w:rsidTr="00F56356">
              <w:trPr>
                <w:trHeight w:val="930"/>
              </w:trPr>
              <w:tc>
                <w:tcPr>
                  <w:tcW w:w="329" w:type="dxa"/>
                  <w:tcBorders>
                    <w:top w:val="nil"/>
                    <w:left w:val="nil"/>
                    <w:bottom w:val="nil"/>
                    <w:right w:val="nil"/>
                  </w:tcBorders>
                  <w:shd w:val="clear" w:color="auto" w:fill="auto"/>
                  <w:noWrap/>
                  <w:vAlign w:val="center"/>
                  <w:hideMark/>
                </w:tcPr>
                <w:p w14:paraId="59C0877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A18C49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180" w:type="dxa"/>
                  <w:gridSpan w:val="6"/>
                  <w:tcBorders>
                    <w:top w:val="single" w:sz="4" w:space="0" w:color="auto"/>
                    <w:left w:val="nil"/>
                    <w:bottom w:val="single" w:sz="4" w:space="0" w:color="auto"/>
                    <w:right w:val="single" w:sz="4" w:space="0" w:color="000000"/>
                  </w:tcBorders>
                  <w:shd w:val="clear" w:color="auto" w:fill="auto"/>
                  <w:vAlign w:val="center"/>
                  <w:hideMark/>
                </w:tcPr>
                <w:p w14:paraId="333B3DE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 sistema informatico di posta elettronica, protocollo informatico, casella PEC dedicata, banca dati “Programma per la gestione dell’8 per 1000”</w:t>
                  </w:r>
                </w:p>
              </w:tc>
            </w:tr>
            <w:tr w:rsidR="00F56356" w:rsidRPr="00F56356" w14:paraId="43948074" w14:textId="77777777" w:rsidTr="00F56356">
              <w:trPr>
                <w:trHeight w:val="1275"/>
              </w:trPr>
              <w:tc>
                <w:tcPr>
                  <w:tcW w:w="329" w:type="dxa"/>
                  <w:tcBorders>
                    <w:top w:val="nil"/>
                    <w:left w:val="nil"/>
                    <w:bottom w:val="nil"/>
                    <w:right w:val="nil"/>
                  </w:tcBorders>
                  <w:shd w:val="clear" w:color="auto" w:fill="auto"/>
                  <w:noWrap/>
                  <w:vAlign w:val="center"/>
                  <w:hideMark/>
                </w:tcPr>
                <w:p w14:paraId="624F95B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22E689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282" w:type="dxa"/>
                  <w:gridSpan w:val="3"/>
                  <w:tcBorders>
                    <w:top w:val="single" w:sz="4" w:space="0" w:color="auto"/>
                    <w:left w:val="nil"/>
                    <w:bottom w:val="single" w:sz="4" w:space="0" w:color="auto"/>
                    <w:right w:val="single" w:sz="4" w:space="0" w:color="000000"/>
                  </w:tcBorders>
                  <w:shd w:val="clear" w:color="auto" w:fill="auto"/>
                  <w:vAlign w:val="center"/>
                  <w:hideMark/>
                </w:tcPr>
                <w:p w14:paraId="696E552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istruttorie esaminate/N° di richieste di accesso alla quota dell’8 per mille a gestione diretta dello Stato riferite al 2021</w:t>
                  </w:r>
                </w:p>
              </w:tc>
              <w:tc>
                <w:tcPr>
                  <w:tcW w:w="1276" w:type="dxa"/>
                  <w:tcBorders>
                    <w:top w:val="nil"/>
                    <w:left w:val="nil"/>
                    <w:bottom w:val="single" w:sz="4" w:space="0" w:color="auto"/>
                    <w:right w:val="nil"/>
                  </w:tcBorders>
                  <w:shd w:val="clear" w:color="auto" w:fill="auto"/>
                  <w:vAlign w:val="center"/>
                  <w:hideMark/>
                </w:tcPr>
                <w:p w14:paraId="48C6524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47" w:type="dxa"/>
                  <w:tcBorders>
                    <w:top w:val="nil"/>
                    <w:left w:val="single" w:sz="4" w:space="0" w:color="auto"/>
                    <w:bottom w:val="single" w:sz="4" w:space="0" w:color="auto"/>
                    <w:right w:val="nil"/>
                  </w:tcBorders>
                  <w:shd w:val="clear" w:color="auto" w:fill="auto"/>
                  <w:vAlign w:val="center"/>
                  <w:hideMark/>
                </w:tcPr>
                <w:p w14:paraId="7B501B3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75" w:type="dxa"/>
                  <w:tcBorders>
                    <w:top w:val="nil"/>
                    <w:left w:val="single" w:sz="4" w:space="0" w:color="auto"/>
                    <w:bottom w:val="single" w:sz="4" w:space="0" w:color="auto"/>
                    <w:right w:val="single" w:sz="4" w:space="0" w:color="auto"/>
                  </w:tcBorders>
                  <w:shd w:val="clear" w:color="auto" w:fill="auto"/>
                  <w:vAlign w:val="center"/>
                  <w:hideMark/>
                </w:tcPr>
                <w:p w14:paraId="4B31764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C99772E" w14:textId="77777777" w:rsidTr="00F56356">
              <w:trPr>
                <w:trHeight w:val="615"/>
              </w:trPr>
              <w:tc>
                <w:tcPr>
                  <w:tcW w:w="329" w:type="dxa"/>
                  <w:tcBorders>
                    <w:top w:val="nil"/>
                    <w:left w:val="nil"/>
                    <w:bottom w:val="nil"/>
                    <w:right w:val="nil"/>
                  </w:tcBorders>
                  <w:shd w:val="clear" w:color="auto" w:fill="auto"/>
                  <w:noWrap/>
                  <w:vAlign w:val="bottom"/>
                  <w:hideMark/>
                </w:tcPr>
                <w:p w14:paraId="3310AE1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21F495C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28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F22EE2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276" w:type="dxa"/>
                  <w:tcBorders>
                    <w:top w:val="nil"/>
                    <w:left w:val="nil"/>
                    <w:bottom w:val="single" w:sz="4" w:space="0" w:color="auto"/>
                    <w:right w:val="single" w:sz="4" w:space="0" w:color="auto"/>
                  </w:tcBorders>
                  <w:shd w:val="clear" w:color="auto" w:fill="auto"/>
                  <w:noWrap/>
                  <w:vAlign w:val="center"/>
                  <w:hideMark/>
                </w:tcPr>
                <w:p w14:paraId="3A1809F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47" w:type="dxa"/>
                  <w:tcBorders>
                    <w:top w:val="nil"/>
                    <w:left w:val="nil"/>
                    <w:bottom w:val="single" w:sz="4" w:space="0" w:color="auto"/>
                    <w:right w:val="nil"/>
                  </w:tcBorders>
                  <w:shd w:val="clear" w:color="auto" w:fill="auto"/>
                  <w:vAlign w:val="center"/>
                  <w:hideMark/>
                </w:tcPr>
                <w:p w14:paraId="4744205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75" w:type="dxa"/>
                  <w:tcBorders>
                    <w:top w:val="nil"/>
                    <w:left w:val="single" w:sz="4" w:space="0" w:color="auto"/>
                    <w:bottom w:val="single" w:sz="4" w:space="0" w:color="auto"/>
                    <w:right w:val="single" w:sz="4" w:space="0" w:color="auto"/>
                  </w:tcBorders>
                  <w:shd w:val="clear" w:color="000000" w:fill="FFFFFF"/>
                  <w:vAlign w:val="center"/>
                  <w:hideMark/>
                </w:tcPr>
                <w:p w14:paraId="1B99F6B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267E1739" w14:textId="1DCFCF88" w:rsidR="00F56356" w:rsidRDefault="00F56356"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8595D03" w14:textId="77777777" w:rsidR="00B162D3" w:rsidRPr="00F56356" w:rsidRDefault="00B162D3"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E4DB4C1" w14:textId="77777777" w:rsidR="00F56356" w:rsidRPr="00F56356" w:rsidRDefault="00F56356" w:rsidP="00F56356">
            <w:pPr>
              <w:tabs>
                <w:tab w:val="left" w:pos="284"/>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493" w:type="dxa"/>
              <w:tblCellMar>
                <w:left w:w="70" w:type="dxa"/>
                <w:right w:w="70" w:type="dxa"/>
              </w:tblCellMar>
              <w:tblLook w:val="04A0" w:firstRow="1" w:lastRow="0" w:firstColumn="1" w:lastColumn="0" w:noHBand="0" w:noVBand="1"/>
            </w:tblPr>
            <w:tblGrid>
              <w:gridCol w:w="336"/>
              <w:gridCol w:w="2605"/>
              <w:gridCol w:w="531"/>
              <w:gridCol w:w="1196"/>
              <w:gridCol w:w="1236"/>
              <w:gridCol w:w="1157"/>
              <w:gridCol w:w="1314"/>
              <w:gridCol w:w="1118"/>
            </w:tblGrid>
            <w:tr w:rsidR="00F56356" w:rsidRPr="00F56356" w14:paraId="30CE3C23" w14:textId="77777777" w:rsidTr="00F56356">
              <w:trPr>
                <w:trHeight w:val="510"/>
              </w:trPr>
              <w:tc>
                <w:tcPr>
                  <w:tcW w:w="336" w:type="dxa"/>
                  <w:tcBorders>
                    <w:top w:val="nil"/>
                    <w:left w:val="nil"/>
                    <w:bottom w:val="nil"/>
                    <w:right w:val="nil"/>
                  </w:tcBorders>
                  <w:shd w:val="clear" w:color="auto" w:fill="auto"/>
                  <w:noWrap/>
                  <w:vAlign w:val="bottom"/>
                  <w:hideMark/>
                </w:tcPr>
                <w:p w14:paraId="161C422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15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2BD8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3DA192C8" w14:textId="77777777" w:rsidTr="00F56356">
              <w:trPr>
                <w:trHeight w:val="690"/>
              </w:trPr>
              <w:tc>
                <w:tcPr>
                  <w:tcW w:w="336" w:type="dxa"/>
                  <w:tcBorders>
                    <w:top w:val="nil"/>
                    <w:left w:val="nil"/>
                    <w:bottom w:val="nil"/>
                    <w:right w:val="nil"/>
                  </w:tcBorders>
                  <w:shd w:val="clear" w:color="auto" w:fill="auto"/>
                  <w:noWrap/>
                  <w:vAlign w:val="center"/>
                  <w:hideMark/>
                </w:tcPr>
                <w:p w14:paraId="72E5DED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7A377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551C66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0C1CA608" w14:textId="77777777" w:rsidTr="00F56356">
              <w:trPr>
                <w:trHeight w:val="690"/>
              </w:trPr>
              <w:tc>
                <w:tcPr>
                  <w:tcW w:w="336" w:type="dxa"/>
                  <w:tcBorders>
                    <w:top w:val="nil"/>
                    <w:left w:val="nil"/>
                    <w:bottom w:val="nil"/>
                    <w:right w:val="nil"/>
                  </w:tcBorders>
                  <w:shd w:val="clear" w:color="auto" w:fill="auto"/>
                  <w:noWrap/>
                  <w:vAlign w:val="center"/>
                  <w:hideMark/>
                </w:tcPr>
                <w:p w14:paraId="7A88CC3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D1001D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5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A24AD6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6872FAC9" w14:textId="77777777" w:rsidTr="00F56356">
              <w:trPr>
                <w:trHeight w:val="690"/>
              </w:trPr>
              <w:tc>
                <w:tcPr>
                  <w:tcW w:w="336" w:type="dxa"/>
                  <w:tcBorders>
                    <w:top w:val="nil"/>
                    <w:left w:val="nil"/>
                    <w:bottom w:val="nil"/>
                    <w:right w:val="nil"/>
                  </w:tcBorders>
                  <w:shd w:val="clear" w:color="auto" w:fill="auto"/>
                  <w:noWrap/>
                  <w:vAlign w:val="center"/>
                  <w:hideMark/>
                </w:tcPr>
                <w:p w14:paraId="421A261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0335DF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52"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DA906B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37CADA10" w14:textId="77777777" w:rsidTr="00F56356">
              <w:trPr>
                <w:trHeight w:val="960"/>
              </w:trPr>
              <w:tc>
                <w:tcPr>
                  <w:tcW w:w="336" w:type="dxa"/>
                  <w:tcBorders>
                    <w:top w:val="nil"/>
                    <w:left w:val="nil"/>
                    <w:bottom w:val="nil"/>
                    <w:right w:val="nil"/>
                  </w:tcBorders>
                  <w:shd w:val="clear" w:color="auto" w:fill="auto"/>
                  <w:noWrap/>
                  <w:vAlign w:val="center"/>
                  <w:hideMark/>
                </w:tcPr>
                <w:p w14:paraId="1E0BDF9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88E67C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1A2FD3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Concessione della medaglia d’onore ai cittadini italiani militari internati e deportati nei lager nazisti e ai familiari dei deceduti, nonché alle spese di funzionamento del Comitato </w:t>
                  </w:r>
                </w:p>
              </w:tc>
            </w:tr>
            <w:tr w:rsidR="00F56356" w:rsidRPr="00F56356" w14:paraId="567AB119" w14:textId="77777777" w:rsidTr="00F56356">
              <w:trPr>
                <w:trHeight w:val="960"/>
              </w:trPr>
              <w:tc>
                <w:tcPr>
                  <w:tcW w:w="336" w:type="dxa"/>
                  <w:tcBorders>
                    <w:top w:val="nil"/>
                    <w:left w:val="nil"/>
                    <w:bottom w:val="nil"/>
                    <w:right w:val="nil"/>
                  </w:tcBorders>
                  <w:shd w:val="clear" w:color="auto" w:fill="auto"/>
                  <w:noWrap/>
                  <w:vAlign w:val="center"/>
                  <w:hideMark/>
                </w:tcPr>
                <w:p w14:paraId="7C1C798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B6EB7C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118C829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Conferimento della medaglia d’onore ai cittadini italiani militari internati e deportati nei lager nazisti e ai familiari dei deceduti </w:t>
                  </w:r>
                </w:p>
              </w:tc>
            </w:tr>
            <w:tr w:rsidR="00F56356" w:rsidRPr="00F56356" w14:paraId="7A4D104E" w14:textId="77777777" w:rsidTr="00F56356">
              <w:trPr>
                <w:trHeight w:val="450"/>
              </w:trPr>
              <w:tc>
                <w:tcPr>
                  <w:tcW w:w="336" w:type="dxa"/>
                  <w:tcBorders>
                    <w:top w:val="nil"/>
                    <w:left w:val="nil"/>
                    <w:bottom w:val="nil"/>
                    <w:right w:val="nil"/>
                  </w:tcBorders>
                  <w:shd w:val="clear" w:color="auto" w:fill="auto"/>
                  <w:noWrap/>
                  <w:vAlign w:val="center"/>
                  <w:hideMark/>
                </w:tcPr>
                <w:p w14:paraId="3BE8E88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12DFBE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0C24C95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4B335CE" w14:textId="77777777" w:rsidTr="00F56356">
              <w:trPr>
                <w:trHeight w:val="450"/>
              </w:trPr>
              <w:tc>
                <w:tcPr>
                  <w:tcW w:w="336" w:type="dxa"/>
                  <w:tcBorders>
                    <w:top w:val="nil"/>
                    <w:left w:val="nil"/>
                    <w:bottom w:val="nil"/>
                    <w:right w:val="nil"/>
                  </w:tcBorders>
                  <w:shd w:val="clear" w:color="auto" w:fill="auto"/>
                  <w:noWrap/>
                  <w:vAlign w:val="center"/>
                  <w:hideMark/>
                </w:tcPr>
                <w:p w14:paraId="79776A4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535465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17D9418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6160788" w14:textId="77777777" w:rsidTr="00F56356">
              <w:trPr>
                <w:trHeight w:val="630"/>
              </w:trPr>
              <w:tc>
                <w:tcPr>
                  <w:tcW w:w="336" w:type="dxa"/>
                  <w:tcBorders>
                    <w:top w:val="nil"/>
                    <w:left w:val="nil"/>
                    <w:bottom w:val="nil"/>
                    <w:right w:val="nil"/>
                  </w:tcBorders>
                  <w:shd w:val="clear" w:color="auto" w:fill="auto"/>
                  <w:noWrap/>
                  <w:vAlign w:val="bottom"/>
                  <w:hideMark/>
                </w:tcPr>
                <w:p w14:paraId="6A23D2E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05" w:type="dxa"/>
                  <w:vMerge w:val="restart"/>
                  <w:tcBorders>
                    <w:top w:val="nil"/>
                    <w:left w:val="single" w:sz="4" w:space="0" w:color="auto"/>
                    <w:bottom w:val="single" w:sz="4" w:space="0" w:color="000000"/>
                    <w:right w:val="single" w:sz="4" w:space="0" w:color="auto"/>
                  </w:tcBorders>
                  <w:shd w:val="clear" w:color="auto" w:fill="auto"/>
                  <w:vAlign w:val="center"/>
                  <w:hideMark/>
                </w:tcPr>
                <w:p w14:paraId="7B60166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31" w:type="dxa"/>
                  <w:vMerge w:val="restart"/>
                  <w:tcBorders>
                    <w:top w:val="nil"/>
                    <w:left w:val="single" w:sz="4" w:space="0" w:color="auto"/>
                    <w:bottom w:val="single" w:sz="4" w:space="0" w:color="000000"/>
                    <w:right w:val="single" w:sz="4" w:space="0" w:color="auto"/>
                  </w:tcBorders>
                  <w:shd w:val="clear" w:color="auto" w:fill="auto"/>
                  <w:vAlign w:val="center"/>
                  <w:hideMark/>
                </w:tcPr>
                <w:p w14:paraId="3047753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238</w:t>
                  </w:r>
                </w:p>
              </w:tc>
              <w:tc>
                <w:tcPr>
                  <w:tcW w:w="243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694B2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8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74CE2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524A5ECD" w14:textId="77777777" w:rsidTr="00F56356">
              <w:trPr>
                <w:trHeight w:val="1305"/>
              </w:trPr>
              <w:tc>
                <w:tcPr>
                  <w:tcW w:w="336" w:type="dxa"/>
                  <w:tcBorders>
                    <w:top w:val="nil"/>
                    <w:left w:val="nil"/>
                    <w:bottom w:val="nil"/>
                    <w:right w:val="nil"/>
                  </w:tcBorders>
                  <w:shd w:val="clear" w:color="auto" w:fill="auto"/>
                  <w:noWrap/>
                  <w:vAlign w:val="bottom"/>
                  <w:hideMark/>
                </w:tcPr>
                <w:p w14:paraId="462BEA4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605" w:type="dxa"/>
                  <w:vMerge/>
                  <w:tcBorders>
                    <w:top w:val="nil"/>
                    <w:left w:val="single" w:sz="4" w:space="0" w:color="auto"/>
                    <w:bottom w:val="single" w:sz="4" w:space="0" w:color="000000"/>
                    <w:right w:val="single" w:sz="4" w:space="0" w:color="auto"/>
                  </w:tcBorders>
                  <w:vAlign w:val="center"/>
                  <w:hideMark/>
                </w:tcPr>
                <w:p w14:paraId="1DC7D25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31" w:type="dxa"/>
                  <w:vMerge/>
                  <w:tcBorders>
                    <w:top w:val="nil"/>
                    <w:left w:val="single" w:sz="4" w:space="0" w:color="auto"/>
                    <w:bottom w:val="single" w:sz="4" w:space="0" w:color="000000"/>
                    <w:right w:val="single" w:sz="4" w:space="0" w:color="auto"/>
                  </w:tcBorders>
                  <w:vAlign w:val="center"/>
                  <w:hideMark/>
                </w:tcPr>
                <w:p w14:paraId="15DDACC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196" w:type="dxa"/>
                  <w:tcBorders>
                    <w:top w:val="nil"/>
                    <w:left w:val="nil"/>
                    <w:bottom w:val="single" w:sz="4" w:space="0" w:color="auto"/>
                    <w:right w:val="single" w:sz="4" w:space="0" w:color="auto"/>
                  </w:tcBorders>
                  <w:shd w:val="clear" w:color="auto" w:fill="auto"/>
                  <w:vAlign w:val="center"/>
                  <w:hideMark/>
                </w:tcPr>
                <w:p w14:paraId="7439045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236" w:type="dxa"/>
                  <w:tcBorders>
                    <w:top w:val="nil"/>
                    <w:left w:val="nil"/>
                    <w:bottom w:val="single" w:sz="4" w:space="0" w:color="auto"/>
                    <w:right w:val="single" w:sz="4" w:space="0" w:color="auto"/>
                  </w:tcBorders>
                  <w:shd w:val="clear" w:color="auto" w:fill="auto"/>
                  <w:vAlign w:val="center"/>
                  <w:hideMark/>
                </w:tcPr>
                <w:p w14:paraId="4A69299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57" w:type="dxa"/>
                  <w:tcBorders>
                    <w:top w:val="nil"/>
                    <w:left w:val="nil"/>
                    <w:bottom w:val="single" w:sz="4" w:space="0" w:color="auto"/>
                    <w:right w:val="single" w:sz="4" w:space="0" w:color="auto"/>
                  </w:tcBorders>
                  <w:shd w:val="clear" w:color="auto" w:fill="auto"/>
                  <w:vAlign w:val="center"/>
                  <w:hideMark/>
                </w:tcPr>
                <w:p w14:paraId="3F6E775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14" w:type="dxa"/>
                  <w:tcBorders>
                    <w:top w:val="nil"/>
                    <w:left w:val="nil"/>
                    <w:bottom w:val="single" w:sz="4" w:space="0" w:color="auto"/>
                    <w:right w:val="single" w:sz="4" w:space="0" w:color="auto"/>
                  </w:tcBorders>
                  <w:shd w:val="clear" w:color="auto" w:fill="auto"/>
                  <w:vAlign w:val="center"/>
                  <w:hideMark/>
                </w:tcPr>
                <w:p w14:paraId="0BE49EB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18" w:type="dxa"/>
                  <w:tcBorders>
                    <w:top w:val="nil"/>
                    <w:left w:val="nil"/>
                    <w:bottom w:val="single" w:sz="4" w:space="0" w:color="auto"/>
                    <w:right w:val="single" w:sz="4" w:space="0" w:color="auto"/>
                  </w:tcBorders>
                  <w:shd w:val="clear" w:color="auto" w:fill="auto"/>
                  <w:vAlign w:val="center"/>
                  <w:hideMark/>
                </w:tcPr>
                <w:p w14:paraId="5CA8C99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E8AB9E2" w14:textId="77777777" w:rsidTr="00F56356">
              <w:trPr>
                <w:trHeight w:val="720"/>
              </w:trPr>
              <w:tc>
                <w:tcPr>
                  <w:tcW w:w="336" w:type="dxa"/>
                  <w:tcBorders>
                    <w:top w:val="nil"/>
                    <w:left w:val="nil"/>
                    <w:bottom w:val="nil"/>
                    <w:right w:val="nil"/>
                  </w:tcBorders>
                  <w:shd w:val="clear" w:color="auto" w:fill="auto"/>
                  <w:noWrap/>
                  <w:vAlign w:val="bottom"/>
                  <w:hideMark/>
                </w:tcPr>
                <w:p w14:paraId="0A23BA1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605" w:type="dxa"/>
                  <w:vMerge/>
                  <w:tcBorders>
                    <w:top w:val="nil"/>
                    <w:left w:val="single" w:sz="4" w:space="0" w:color="auto"/>
                    <w:bottom w:val="single" w:sz="4" w:space="0" w:color="000000"/>
                    <w:right w:val="single" w:sz="4" w:space="0" w:color="auto"/>
                  </w:tcBorders>
                  <w:vAlign w:val="center"/>
                  <w:hideMark/>
                </w:tcPr>
                <w:p w14:paraId="17A7A3A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31" w:type="dxa"/>
                  <w:vMerge/>
                  <w:tcBorders>
                    <w:top w:val="nil"/>
                    <w:left w:val="single" w:sz="4" w:space="0" w:color="auto"/>
                    <w:bottom w:val="single" w:sz="4" w:space="0" w:color="000000"/>
                    <w:right w:val="single" w:sz="4" w:space="0" w:color="auto"/>
                  </w:tcBorders>
                  <w:vAlign w:val="center"/>
                  <w:hideMark/>
                </w:tcPr>
                <w:p w14:paraId="153D411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196" w:type="dxa"/>
                  <w:tcBorders>
                    <w:top w:val="nil"/>
                    <w:left w:val="nil"/>
                    <w:bottom w:val="single" w:sz="4" w:space="0" w:color="auto"/>
                    <w:right w:val="single" w:sz="4" w:space="0" w:color="auto"/>
                  </w:tcBorders>
                  <w:shd w:val="clear" w:color="auto" w:fill="auto"/>
                  <w:noWrap/>
                  <w:vAlign w:val="center"/>
                  <w:hideMark/>
                </w:tcPr>
                <w:p w14:paraId="69F5DA0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54.150,00</w:t>
                  </w:r>
                </w:p>
              </w:tc>
              <w:tc>
                <w:tcPr>
                  <w:tcW w:w="1236" w:type="dxa"/>
                  <w:tcBorders>
                    <w:top w:val="nil"/>
                    <w:left w:val="nil"/>
                    <w:bottom w:val="single" w:sz="4" w:space="0" w:color="auto"/>
                    <w:right w:val="single" w:sz="4" w:space="0" w:color="auto"/>
                  </w:tcBorders>
                  <w:shd w:val="clear" w:color="auto" w:fill="auto"/>
                  <w:noWrap/>
                  <w:vAlign w:val="center"/>
                  <w:hideMark/>
                </w:tcPr>
                <w:p w14:paraId="17BA28D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86.141,21</w:t>
                  </w:r>
                </w:p>
              </w:tc>
              <w:tc>
                <w:tcPr>
                  <w:tcW w:w="1157" w:type="dxa"/>
                  <w:tcBorders>
                    <w:top w:val="nil"/>
                    <w:left w:val="nil"/>
                    <w:bottom w:val="single" w:sz="4" w:space="0" w:color="auto"/>
                    <w:right w:val="single" w:sz="4" w:space="0" w:color="auto"/>
                  </w:tcBorders>
                  <w:shd w:val="clear" w:color="auto" w:fill="auto"/>
                  <w:noWrap/>
                  <w:vAlign w:val="center"/>
                  <w:hideMark/>
                </w:tcPr>
                <w:p w14:paraId="5BBE9CD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43.214,03</w:t>
                  </w:r>
                </w:p>
              </w:tc>
              <w:tc>
                <w:tcPr>
                  <w:tcW w:w="1314" w:type="dxa"/>
                  <w:tcBorders>
                    <w:top w:val="nil"/>
                    <w:left w:val="nil"/>
                    <w:bottom w:val="single" w:sz="4" w:space="0" w:color="auto"/>
                    <w:right w:val="single" w:sz="4" w:space="0" w:color="auto"/>
                  </w:tcBorders>
                  <w:shd w:val="clear" w:color="auto" w:fill="auto"/>
                  <w:noWrap/>
                  <w:vAlign w:val="center"/>
                  <w:hideMark/>
                </w:tcPr>
                <w:p w14:paraId="3A930BC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42.878,17</w:t>
                  </w:r>
                </w:p>
              </w:tc>
              <w:tc>
                <w:tcPr>
                  <w:tcW w:w="1118" w:type="dxa"/>
                  <w:tcBorders>
                    <w:top w:val="nil"/>
                    <w:left w:val="nil"/>
                    <w:bottom w:val="single" w:sz="4" w:space="0" w:color="auto"/>
                    <w:right w:val="single" w:sz="4" w:space="0" w:color="auto"/>
                  </w:tcBorders>
                  <w:shd w:val="clear" w:color="auto" w:fill="auto"/>
                  <w:noWrap/>
                  <w:vAlign w:val="center"/>
                  <w:hideMark/>
                </w:tcPr>
                <w:p w14:paraId="3637322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86.141,21</w:t>
                  </w:r>
                </w:p>
              </w:tc>
            </w:tr>
            <w:tr w:rsidR="00F56356" w:rsidRPr="00F56356" w14:paraId="62BBAE38" w14:textId="77777777" w:rsidTr="00F56356">
              <w:trPr>
                <w:trHeight w:val="330"/>
              </w:trPr>
              <w:tc>
                <w:tcPr>
                  <w:tcW w:w="336" w:type="dxa"/>
                  <w:tcBorders>
                    <w:top w:val="nil"/>
                    <w:left w:val="nil"/>
                    <w:bottom w:val="nil"/>
                    <w:right w:val="nil"/>
                  </w:tcBorders>
                  <w:shd w:val="clear" w:color="auto" w:fill="auto"/>
                  <w:noWrap/>
                  <w:vAlign w:val="bottom"/>
                  <w:hideMark/>
                </w:tcPr>
                <w:p w14:paraId="2B09FF2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605" w:type="dxa"/>
                  <w:tcBorders>
                    <w:top w:val="nil"/>
                    <w:left w:val="single" w:sz="4" w:space="0" w:color="auto"/>
                    <w:bottom w:val="nil"/>
                    <w:right w:val="nil"/>
                  </w:tcBorders>
                  <w:shd w:val="clear" w:color="auto" w:fill="auto"/>
                  <w:noWrap/>
                  <w:vAlign w:val="center"/>
                  <w:hideMark/>
                </w:tcPr>
                <w:p w14:paraId="398E2BF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31" w:type="dxa"/>
                  <w:tcBorders>
                    <w:top w:val="nil"/>
                    <w:left w:val="nil"/>
                    <w:bottom w:val="nil"/>
                    <w:right w:val="nil"/>
                  </w:tcBorders>
                  <w:shd w:val="clear" w:color="auto" w:fill="auto"/>
                  <w:noWrap/>
                  <w:vAlign w:val="bottom"/>
                  <w:hideMark/>
                </w:tcPr>
                <w:p w14:paraId="1E38C64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196" w:type="dxa"/>
                  <w:tcBorders>
                    <w:top w:val="nil"/>
                    <w:left w:val="nil"/>
                    <w:bottom w:val="nil"/>
                    <w:right w:val="nil"/>
                  </w:tcBorders>
                  <w:shd w:val="clear" w:color="auto" w:fill="auto"/>
                  <w:noWrap/>
                  <w:vAlign w:val="bottom"/>
                  <w:hideMark/>
                </w:tcPr>
                <w:p w14:paraId="031B195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36" w:type="dxa"/>
                  <w:tcBorders>
                    <w:top w:val="nil"/>
                    <w:left w:val="nil"/>
                    <w:bottom w:val="nil"/>
                    <w:right w:val="nil"/>
                  </w:tcBorders>
                  <w:shd w:val="clear" w:color="auto" w:fill="auto"/>
                  <w:noWrap/>
                  <w:vAlign w:val="bottom"/>
                  <w:hideMark/>
                </w:tcPr>
                <w:p w14:paraId="41A8C58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57" w:type="dxa"/>
                  <w:tcBorders>
                    <w:top w:val="nil"/>
                    <w:left w:val="nil"/>
                    <w:bottom w:val="nil"/>
                    <w:right w:val="nil"/>
                  </w:tcBorders>
                  <w:shd w:val="clear" w:color="auto" w:fill="auto"/>
                  <w:noWrap/>
                  <w:vAlign w:val="bottom"/>
                  <w:hideMark/>
                </w:tcPr>
                <w:p w14:paraId="02AE7D2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14" w:type="dxa"/>
                  <w:tcBorders>
                    <w:top w:val="nil"/>
                    <w:left w:val="nil"/>
                    <w:bottom w:val="nil"/>
                    <w:right w:val="nil"/>
                  </w:tcBorders>
                  <w:shd w:val="clear" w:color="auto" w:fill="auto"/>
                  <w:noWrap/>
                  <w:vAlign w:val="bottom"/>
                  <w:hideMark/>
                </w:tcPr>
                <w:p w14:paraId="7B02FE2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18" w:type="dxa"/>
                  <w:tcBorders>
                    <w:top w:val="nil"/>
                    <w:left w:val="nil"/>
                    <w:bottom w:val="nil"/>
                    <w:right w:val="single" w:sz="4" w:space="0" w:color="auto"/>
                  </w:tcBorders>
                  <w:shd w:val="clear" w:color="auto" w:fill="auto"/>
                  <w:noWrap/>
                  <w:vAlign w:val="bottom"/>
                  <w:hideMark/>
                </w:tcPr>
                <w:p w14:paraId="3CDC191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A6D4205" w14:textId="77777777" w:rsidTr="00F56356">
              <w:trPr>
                <w:trHeight w:val="345"/>
              </w:trPr>
              <w:tc>
                <w:tcPr>
                  <w:tcW w:w="336" w:type="dxa"/>
                  <w:tcBorders>
                    <w:top w:val="nil"/>
                    <w:left w:val="nil"/>
                    <w:bottom w:val="nil"/>
                    <w:right w:val="nil"/>
                  </w:tcBorders>
                  <w:shd w:val="clear" w:color="auto" w:fill="auto"/>
                  <w:noWrap/>
                  <w:vAlign w:val="bottom"/>
                  <w:hideMark/>
                </w:tcPr>
                <w:p w14:paraId="551787E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57" w:type="dxa"/>
                  <w:gridSpan w:val="7"/>
                  <w:tcBorders>
                    <w:top w:val="nil"/>
                    <w:left w:val="single" w:sz="4" w:space="0" w:color="auto"/>
                    <w:bottom w:val="nil"/>
                    <w:right w:val="single" w:sz="4" w:space="0" w:color="000000"/>
                  </w:tcBorders>
                  <w:shd w:val="clear" w:color="auto" w:fill="auto"/>
                  <w:vAlign w:val="center"/>
                  <w:hideMark/>
                </w:tcPr>
                <w:p w14:paraId="02C4FEB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28D83D35" w14:textId="77777777" w:rsidTr="00F56356">
              <w:trPr>
                <w:trHeight w:val="345"/>
              </w:trPr>
              <w:tc>
                <w:tcPr>
                  <w:tcW w:w="336" w:type="dxa"/>
                  <w:tcBorders>
                    <w:top w:val="nil"/>
                    <w:left w:val="nil"/>
                    <w:bottom w:val="nil"/>
                    <w:right w:val="nil"/>
                  </w:tcBorders>
                  <w:shd w:val="clear" w:color="auto" w:fill="auto"/>
                  <w:noWrap/>
                  <w:vAlign w:val="bottom"/>
                  <w:hideMark/>
                </w:tcPr>
                <w:p w14:paraId="2C8A9DD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157" w:type="dxa"/>
                  <w:gridSpan w:val="7"/>
                  <w:tcBorders>
                    <w:top w:val="nil"/>
                    <w:left w:val="single" w:sz="4" w:space="0" w:color="auto"/>
                    <w:bottom w:val="nil"/>
                    <w:right w:val="single" w:sz="4" w:space="0" w:color="000000"/>
                  </w:tcBorders>
                  <w:shd w:val="clear" w:color="auto" w:fill="auto"/>
                  <w:vAlign w:val="center"/>
                  <w:hideMark/>
                </w:tcPr>
                <w:p w14:paraId="5CD66B1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4B7BD918" w14:textId="77777777" w:rsidTr="00F56356">
              <w:trPr>
                <w:trHeight w:val="345"/>
              </w:trPr>
              <w:tc>
                <w:tcPr>
                  <w:tcW w:w="336" w:type="dxa"/>
                  <w:tcBorders>
                    <w:top w:val="nil"/>
                    <w:left w:val="nil"/>
                    <w:bottom w:val="nil"/>
                    <w:right w:val="nil"/>
                  </w:tcBorders>
                  <w:shd w:val="clear" w:color="auto" w:fill="auto"/>
                  <w:noWrap/>
                  <w:vAlign w:val="bottom"/>
                  <w:hideMark/>
                </w:tcPr>
                <w:p w14:paraId="0AB0F5E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157" w:type="dxa"/>
                  <w:gridSpan w:val="7"/>
                  <w:tcBorders>
                    <w:top w:val="nil"/>
                    <w:left w:val="single" w:sz="4" w:space="0" w:color="auto"/>
                    <w:bottom w:val="single" w:sz="4" w:space="0" w:color="auto"/>
                    <w:right w:val="single" w:sz="4" w:space="0" w:color="000000"/>
                  </w:tcBorders>
                  <w:shd w:val="clear" w:color="auto" w:fill="auto"/>
                  <w:vAlign w:val="center"/>
                  <w:hideMark/>
                </w:tcPr>
                <w:p w14:paraId="41D60B49"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0055D4FB" w14:textId="77777777" w:rsidTr="00F56356">
              <w:trPr>
                <w:trHeight w:val="480"/>
              </w:trPr>
              <w:tc>
                <w:tcPr>
                  <w:tcW w:w="336" w:type="dxa"/>
                  <w:tcBorders>
                    <w:top w:val="nil"/>
                    <w:left w:val="nil"/>
                    <w:bottom w:val="nil"/>
                    <w:right w:val="nil"/>
                  </w:tcBorders>
                  <w:shd w:val="clear" w:color="auto" w:fill="auto"/>
                  <w:noWrap/>
                  <w:vAlign w:val="bottom"/>
                  <w:hideMark/>
                </w:tcPr>
                <w:p w14:paraId="694444EF"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157"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156F2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3D77761" w14:textId="77777777" w:rsidTr="00F56356">
              <w:trPr>
                <w:trHeight w:val="540"/>
              </w:trPr>
              <w:tc>
                <w:tcPr>
                  <w:tcW w:w="336" w:type="dxa"/>
                  <w:tcBorders>
                    <w:top w:val="nil"/>
                    <w:left w:val="nil"/>
                    <w:bottom w:val="nil"/>
                    <w:right w:val="nil"/>
                  </w:tcBorders>
                  <w:shd w:val="clear" w:color="auto" w:fill="auto"/>
                  <w:noWrap/>
                  <w:vAlign w:val="center"/>
                  <w:hideMark/>
                </w:tcPr>
                <w:p w14:paraId="77D8627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345914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5EE2F4D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Capacità di istruttoria delle domande</w:t>
                  </w:r>
                </w:p>
              </w:tc>
            </w:tr>
            <w:tr w:rsidR="00F56356" w:rsidRPr="00F56356" w14:paraId="1645BE29" w14:textId="77777777" w:rsidTr="00F56356">
              <w:trPr>
                <w:trHeight w:val="795"/>
              </w:trPr>
              <w:tc>
                <w:tcPr>
                  <w:tcW w:w="336" w:type="dxa"/>
                  <w:tcBorders>
                    <w:top w:val="nil"/>
                    <w:left w:val="nil"/>
                    <w:bottom w:val="nil"/>
                    <w:right w:val="nil"/>
                  </w:tcBorders>
                  <w:shd w:val="clear" w:color="auto" w:fill="auto"/>
                  <w:noWrap/>
                  <w:vAlign w:val="center"/>
                  <w:hideMark/>
                </w:tcPr>
                <w:p w14:paraId="3C0BA29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568AF2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52" w:type="dxa"/>
                  <w:gridSpan w:val="6"/>
                  <w:tcBorders>
                    <w:top w:val="single" w:sz="4" w:space="0" w:color="auto"/>
                    <w:left w:val="nil"/>
                    <w:bottom w:val="single" w:sz="4" w:space="0" w:color="auto"/>
                    <w:right w:val="single" w:sz="4" w:space="0" w:color="000000"/>
                  </w:tcBorders>
                  <w:shd w:val="clear" w:color="auto" w:fill="auto"/>
                  <w:vAlign w:val="center"/>
                  <w:hideMark/>
                </w:tcPr>
                <w:p w14:paraId="3C15400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Banca dati DICA per la gestione delle domande, sistema di protocollo informatico, PEC</w:t>
                  </w:r>
                </w:p>
              </w:tc>
            </w:tr>
            <w:tr w:rsidR="00F56356" w:rsidRPr="00F56356" w14:paraId="5FA9499C" w14:textId="77777777" w:rsidTr="00F56356">
              <w:trPr>
                <w:trHeight w:val="1200"/>
              </w:trPr>
              <w:tc>
                <w:tcPr>
                  <w:tcW w:w="336" w:type="dxa"/>
                  <w:tcBorders>
                    <w:top w:val="nil"/>
                    <w:left w:val="nil"/>
                    <w:bottom w:val="nil"/>
                    <w:right w:val="nil"/>
                  </w:tcBorders>
                  <w:shd w:val="clear" w:color="auto" w:fill="auto"/>
                  <w:noWrap/>
                  <w:vAlign w:val="center"/>
                  <w:hideMark/>
                </w:tcPr>
                <w:p w14:paraId="0C9CE32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9C3ABE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63" w:type="dxa"/>
                  <w:gridSpan w:val="3"/>
                  <w:tcBorders>
                    <w:top w:val="single" w:sz="4" w:space="0" w:color="auto"/>
                    <w:left w:val="nil"/>
                    <w:bottom w:val="single" w:sz="4" w:space="0" w:color="auto"/>
                    <w:right w:val="single" w:sz="4" w:space="0" w:color="000000"/>
                  </w:tcBorders>
                  <w:shd w:val="clear" w:color="auto" w:fill="auto"/>
                  <w:vAlign w:val="center"/>
                  <w:hideMark/>
                </w:tcPr>
                <w:p w14:paraId="62A6C17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Domande esaminate e classificate/ totale delle domande pervenute nell’anno 2022</w:t>
                  </w:r>
                </w:p>
              </w:tc>
              <w:tc>
                <w:tcPr>
                  <w:tcW w:w="1157" w:type="dxa"/>
                  <w:tcBorders>
                    <w:top w:val="nil"/>
                    <w:left w:val="nil"/>
                    <w:bottom w:val="single" w:sz="4" w:space="0" w:color="auto"/>
                    <w:right w:val="nil"/>
                  </w:tcBorders>
                  <w:shd w:val="clear" w:color="auto" w:fill="auto"/>
                  <w:vAlign w:val="center"/>
                  <w:hideMark/>
                </w:tcPr>
                <w:p w14:paraId="3258D88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14" w:type="dxa"/>
                  <w:tcBorders>
                    <w:top w:val="nil"/>
                    <w:left w:val="single" w:sz="4" w:space="0" w:color="auto"/>
                    <w:bottom w:val="single" w:sz="4" w:space="0" w:color="auto"/>
                    <w:right w:val="nil"/>
                  </w:tcBorders>
                  <w:shd w:val="clear" w:color="auto" w:fill="auto"/>
                  <w:vAlign w:val="center"/>
                  <w:hideMark/>
                </w:tcPr>
                <w:p w14:paraId="1576CAB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18" w:type="dxa"/>
                  <w:tcBorders>
                    <w:top w:val="nil"/>
                    <w:left w:val="single" w:sz="4" w:space="0" w:color="auto"/>
                    <w:bottom w:val="single" w:sz="4" w:space="0" w:color="auto"/>
                    <w:right w:val="single" w:sz="4" w:space="0" w:color="auto"/>
                  </w:tcBorders>
                  <w:shd w:val="clear" w:color="auto" w:fill="auto"/>
                  <w:vAlign w:val="center"/>
                  <w:hideMark/>
                </w:tcPr>
                <w:p w14:paraId="094CBAD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40C2AB2F" w14:textId="77777777" w:rsidTr="00F56356">
              <w:trPr>
                <w:trHeight w:val="615"/>
              </w:trPr>
              <w:tc>
                <w:tcPr>
                  <w:tcW w:w="336" w:type="dxa"/>
                  <w:tcBorders>
                    <w:top w:val="nil"/>
                    <w:left w:val="nil"/>
                    <w:bottom w:val="nil"/>
                    <w:right w:val="nil"/>
                  </w:tcBorders>
                  <w:shd w:val="clear" w:color="auto" w:fill="auto"/>
                  <w:noWrap/>
                  <w:vAlign w:val="bottom"/>
                  <w:hideMark/>
                </w:tcPr>
                <w:p w14:paraId="7C79CEA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605" w:type="dxa"/>
                  <w:tcBorders>
                    <w:top w:val="nil"/>
                    <w:left w:val="single" w:sz="4" w:space="0" w:color="auto"/>
                    <w:bottom w:val="single" w:sz="4" w:space="0" w:color="auto"/>
                    <w:right w:val="single" w:sz="4" w:space="0" w:color="auto"/>
                  </w:tcBorders>
                  <w:shd w:val="clear" w:color="auto" w:fill="auto"/>
                  <w:vAlign w:val="center"/>
                  <w:hideMark/>
                </w:tcPr>
                <w:p w14:paraId="67F97C2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6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91C2FA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57" w:type="dxa"/>
                  <w:tcBorders>
                    <w:top w:val="nil"/>
                    <w:left w:val="nil"/>
                    <w:bottom w:val="single" w:sz="4" w:space="0" w:color="auto"/>
                    <w:right w:val="single" w:sz="4" w:space="0" w:color="auto"/>
                  </w:tcBorders>
                  <w:shd w:val="clear" w:color="auto" w:fill="auto"/>
                  <w:noWrap/>
                  <w:vAlign w:val="center"/>
                  <w:hideMark/>
                </w:tcPr>
                <w:p w14:paraId="795C9A1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14" w:type="dxa"/>
                  <w:tcBorders>
                    <w:top w:val="nil"/>
                    <w:left w:val="nil"/>
                    <w:bottom w:val="single" w:sz="4" w:space="0" w:color="auto"/>
                    <w:right w:val="nil"/>
                  </w:tcBorders>
                  <w:shd w:val="clear" w:color="auto" w:fill="auto"/>
                  <w:vAlign w:val="center"/>
                  <w:hideMark/>
                </w:tcPr>
                <w:p w14:paraId="70914E2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171407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072E0C62" w14:textId="77777777" w:rsidR="00F56356" w:rsidRPr="00F56356" w:rsidRDefault="00F56356" w:rsidP="00F56356">
            <w:pPr>
              <w:spacing w:after="0" w:line="240" w:lineRule="auto"/>
              <w:rPr>
                <w:rFonts w:ascii="Times New Roman" w:eastAsia="Times New Roman" w:hAnsi="Times New Roman" w:cs="Times New Roman"/>
                <w:color w:val="000000"/>
                <w:sz w:val="16"/>
                <w:szCs w:val="16"/>
                <w:lang w:eastAsia="it-IT"/>
              </w:rPr>
            </w:pPr>
          </w:p>
        </w:tc>
      </w:tr>
      <w:tr w:rsidR="00F56356" w:rsidRPr="00F56356" w14:paraId="13AF8616" w14:textId="77777777" w:rsidTr="00F56356">
        <w:trPr>
          <w:trHeight w:val="345"/>
        </w:trPr>
        <w:tc>
          <w:tcPr>
            <w:tcW w:w="9638" w:type="dxa"/>
            <w:tcBorders>
              <w:top w:val="nil"/>
              <w:left w:val="nil"/>
              <w:bottom w:val="nil"/>
              <w:right w:val="nil"/>
            </w:tcBorders>
            <w:shd w:val="clear" w:color="auto" w:fill="auto"/>
            <w:noWrap/>
            <w:vAlign w:val="bottom"/>
            <w:hideMark/>
          </w:tcPr>
          <w:p w14:paraId="1C841F3F" w14:textId="77777777" w:rsidR="00F56356" w:rsidRPr="00F56356" w:rsidRDefault="00F56356" w:rsidP="00F56356">
            <w:pPr>
              <w:spacing w:after="0" w:line="240" w:lineRule="auto"/>
              <w:rPr>
                <w:rFonts w:ascii="Times New Roman" w:eastAsia="Times New Roman" w:hAnsi="Times New Roman" w:cs="Times New Roman"/>
                <w:color w:val="000000"/>
                <w:sz w:val="16"/>
                <w:szCs w:val="16"/>
                <w:lang w:eastAsia="it-IT"/>
              </w:rPr>
            </w:pPr>
          </w:p>
        </w:tc>
      </w:tr>
      <w:tr w:rsidR="00F56356" w:rsidRPr="00F56356" w14:paraId="61FA413E" w14:textId="77777777" w:rsidTr="00F56356">
        <w:trPr>
          <w:trHeight w:val="480"/>
        </w:trPr>
        <w:tc>
          <w:tcPr>
            <w:tcW w:w="9638" w:type="dxa"/>
            <w:tcBorders>
              <w:top w:val="nil"/>
              <w:left w:val="nil"/>
              <w:bottom w:val="nil"/>
              <w:right w:val="nil"/>
            </w:tcBorders>
            <w:shd w:val="clear" w:color="auto" w:fill="auto"/>
            <w:noWrap/>
            <w:vAlign w:val="bottom"/>
            <w:hideMark/>
          </w:tcPr>
          <w:p w14:paraId="4FB7B76F" w14:textId="2752164E" w:rsidR="00F56356" w:rsidRDefault="00F56356" w:rsidP="00F56356">
            <w:pPr>
              <w:tabs>
                <w:tab w:val="left" w:pos="6120"/>
              </w:tabs>
              <w:autoSpaceDE w:val="0"/>
              <w:autoSpaceDN w:val="0"/>
              <w:adjustRightInd w:val="0"/>
              <w:spacing w:after="0" w:line="360" w:lineRule="auto"/>
              <w:ind w:left="284"/>
              <w:rPr>
                <w:rFonts w:ascii="Times New Roman" w:eastAsia="Times New Roman" w:hAnsi="Times New Roman" w:cs="Times New Roman"/>
                <w:b/>
                <w:sz w:val="24"/>
                <w:szCs w:val="24"/>
                <w:u w:val="single"/>
                <w:lang w:eastAsia="it-IT"/>
              </w:rPr>
            </w:pPr>
          </w:p>
          <w:p w14:paraId="132E7C7D" w14:textId="77777777" w:rsidR="00B162D3" w:rsidRPr="00F56356" w:rsidRDefault="00B162D3" w:rsidP="00F56356">
            <w:pPr>
              <w:tabs>
                <w:tab w:val="left" w:pos="6120"/>
              </w:tabs>
              <w:autoSpaceDE w:val="0"/>
              <w:autoSpaceDN w:val="0"/>
              <w:adjustRightInd w:val="0"/>
              <w:spacing w:after="0" w:line="360" w:lineRule="auto"/>
              <w:ind w:left="284"/>
              <w:rPr>
                <w:rFonts w:ascii="Times New Roman" w:eastAsia="Times New Roman" w:hAnsi="Times New Roman" w:cs="Times New Roman"/>
                <w:b/>
                <w:sz w:val="24"/>
                <w:szCs w:val="24"/>
                <w:u w:val="single"/>
                <w:lang w:eastAsia="it-IT"/>
              </w:rPr>
            </w:pPr>
          </w:p>
          <w:p w14:paraId="5604F510" w14:textId="77777777" w:rsidR="00F56356" w:rsidRPr="00F56356" w:rsidRDefault="00F56356" w:rsidP="00F56356">
            <w:pPr>
              <w:tabs>
                <w:tab w:val="left" w:pos="6120"/>
              </w:tabs>
              <w:autoSpaceDE w:val="0"/>
              <w:autoSpaceDN w:val="0"/>
              <w:adjustRightInd w:val="0"/>
              <w:spacing w:after="0" w:line="360" w:lineRule="auto"/>
              <w:ind w:left="284"/>
              <w:rPr>
                <w:rFonts w:ascii="Times New Roman" w:eastAsia="Times New Roman" w:hAnsi="Times New Roman" w:cs="Times New Roman"/>
                <w:b/>
                <w:iCs/>
                <w:sz w:val="24"/>
                <w:szCs w:val="24"/>
                <w:u w:val="single"/>
                <w:lang w:eastAsia="it-IT"/>
              </w:rPr>
            </w:pPr>
            <w:r w:rsidRPr="00F56356">
              <w:rPr>
                <w:rFonts w:ascii="Times New Roman" w:eastAsia="Times New Roman" w:hAnsi="Times New Roman" w:cs="Times New Roman"/>
                <w:b/>
                <w:sz w:val="24"/>
                <w:szCs w:val="24"/>
                <w:u w:val="single"/>
                <w:lang w:eastAsia="it-IT"/>
              </w:rPr>
              <w:lastRenderedPageBreak/>
              <w:t xml:space="preserve">Struttura di missione anniversari nazionali </w:t>
            </w:r>
            <w:r w:rsidRPr="00F56356">
              <w:rPr>
                <w:rFonts w:ascii="Times New Roman" w:eastAsia="Times New Roman" w:hAnsi="Times New Roman" w:cs="Times New Roman"/>
                <w:b/>
                <w:iCs/>
                <w:sz w:val="24"/>
                <w:szCs w:val="24"/>
                <w:u w:val="single"/>
                <w:lang w:eastAsia="it-IT"/>
              </w:rPr>
              <w:t>ed eventi sportivi nazionali ed internazionali</w:t>
            </w:r>
          </w:p>
          <w:p w14:paraId="173A5B8E" w14:textId="77777777" w:rsidR="00F56356" w:rsidRPr="00F56356" w:rsidRDefault="00F56356" w:rsidP="00F56356">
            <w:pPr>
              <w:tabs>
                <w:tab w:val="left" w:pos="6120"/>
              </w:tabs>
              <w:autoSpaceDE w:val="0"/>
              <w:autoSpaceDN w:val="0"/>
              <w:adjustRightInd w:val="0"/>
              <w:spacing w:after="0" w:line="360" w:lineRule="auto"/>
              <w:ind w:left="284"/>
              <w:jc w:val="both"/>
              <w:rPr>
                <w:rFonts w:ascii="Times New Roman" w:eastAsiaTheme="minorEastAsia" w:hAnsi="Times New Roman" w:cs="Times New Roman"/>
                <w:i/>
                <w:sz w:val="24"/>
                <w:szCs w:val="24"/>
                <w:u w:val="single"/>
                <w:lang w:eastAsia="it-IT"/>
              </w:rPr>
            </w:pPr>
          </w:p>
          <w:p w14:paraId="34D709EA" w14:textId="77777777" w:rsidR="00F56356" w:rsidRPr="00F56356" w:rsidRDefault="00F56356" w:rsidP="00F56356">
            <w:pPr>
              <w:numPr>
                <w:ilvl w:val="0"/>
                <w:numId w:val="27"/>
              </w:numPr>
              <w:tabs>
                <w:tab w:val="left" w:pos="6120"/>
              </w:tabs>
              <w:autoSpaceDE w:val="0"/>
              <w:autoSpaceDN w:val="0"/>
              <w:adjustRightInd w:val="0"/>
              <w:spacing w:after="0" w:line="360" w:lineRule="auto"/>
              <w:ind w:left="567" w:hanging="283"/>
              <w:contextualSpacing/>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i/>
                <w:sz w:val="24"/>
                <w:szCs w:val="24"/>
                <w:lang w:eastAsia="it-IT"/>
              </w:rPr>
              <w:t>Mission</w:t>
            </w:r>
          </w:p>
          <w:p w14:paraId="38A419BE"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La Struttura di missione anniversari nazionali ed eventi sportivi nazionali e internazionali, già Struttura di missione per la valorizzazione degli anniversari nazionali e della dimensione partecipativa delle nuove generazioni, istituita con DPCM del 14 dicembre 2012, è stata modificata e rinominata nel corso degli anni fino al suo attuale assetto e denominazione, stabiliti dal decreto del Presidente del Consiglio dei ministri 21 dicembre 2022. La Struttura assicura gli adempimenti necessari per la realizzazione dei programmi e delle iniziative connesse alle celebrazioni degli anniversari di interesse nazionale e agli eventi sportivi di rilevanza nazionale e internazionale, nonché gli interventi finalizzati alla valorizzazione dei luoghi della memoria; coordina le iniziative di realizzazione delle attività, comprese quelle in materia di comunicazione, al fine di promuovere i valori e il significato profondo dei personaggi, degli eventi e della memoria; rafforza, anche mediante il ricorso alle nuove tecnologie, ai linguaggi contemporanei, alle piattaforme digitali e ai social media, il grado di consapevolezza, coinvolgimento e partecipazione delle giovani generazioni, amplificando la portata dei messaggi propri degli anniversari di interesse nazionale, anche in rapporto al contributo di personalità altamente rappresentative del panorama storico, artistico, culturale e scientifico del Paese, promuovendo, specie nelle giovani generazioni, la dimensione partecipativa e, in chiave proattiva, il significato della memoria quale patrimonio culturale collettivo.  </w:t>
            </w:r>
          </w:p>
          <w:p w14:paraId="0A7C6FA9"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xml:space="preserve">La Struttura di missione provvede, inoltre, ai necessari adempimenti per la definizione delle attività residuali connesse alle commemorazioni del centenario della prima guerra mondiale, alle residue attività connesse al programma degli interventi per le celebrazioni del settantesimo anniversario della Resistenza e della Guerra di Liberazione e quelle relative al programma di iniziative connesse alle celebrazioni del settantesimo anniversario della nascita della Repubblica italiana, del settantesimo anniversario della Costituzione della Repubblica italiana, e del riconoscimento dei diritti elettorali delle donne nonché del centenario della nascita di Aldo Moro; cura, altresì, gli adempimenti necessari per la definizione delle residue attività connesse alle celebrazioni dell’ottantesimo anniversario della scomparsa di Antonio Gramsci, quelle relative alle celebrazioni della figura di Nilde Iotti in occasione del ventesimo anno dalla sua scomparsa e del centesimo anno dalla sua nascita; per la definizione delle residue pendenze connesse allo svolgimento dei mondiali di nuoto “Roma 2009” e al 150° Anniversario dell’Unità Nazionale e al centenario della fondazione del Partito comunista italiano; alla definizione delle attività intraprese dal Milan Center Food Law and Policy e gli adempimenti necessari alla realizzazione di un programma speciale di </w:t>
            </w:r>
            <w:r w:rsidRPr="00F56356">
              <w:rPr>
                <w:rFonts w:ascii="Times New Roman" w:eastAsia="Times New Roman" w:hAnsi="Times New Roman" w:cs="Times New Roman"/>
                <w:color w:val="000000" w:themeColor="text1"/>
                <w:sz w:val="24"/>
                <w:szCs w:val="24"/>
                <w:lang w:eastAsia="it-IT"/>
              </w:rPr>
              <w:lastRenderedPageBreak/>
              <w:t xml:space="preserve">iniziative culturali per la città de L’Aquila e del territorio abruzzese colpito dal terremoto in occasione del decimo anniversario degli eventi sismici del 2009. </w:t>
            </w:r>
          </w:p>
          <w:p w14:paraId="62D44D81"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6"/>
                <w:szCs w:val="24"/>
                <w:lang w:eastAsia="it-IT"/>
              </w:rPr>
            </w:pPr>
          </w:p>
          <w:p w14:paraId="05AE4707"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6"/>
                <w:szCs w:val="24"/>
                <w:lang w:eastAsia="it-IT"/>
              </w:rPr>
            </w:pPr>
          </w:p>
          <w:p w14:paraId="09E78002"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6"/>
                <w:szCs w:val="24"/>
                <w:lang w:eastAsia="it-IT"/>
              </w:rPr>
            </w:pPr>
          </w:p>
          <w:p w14:paraId="11268381"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6"/>
                <w:szCs w:val="24"/>
                <w:lang w:eastAsia="it-IT"/>
              </w:rPr>
            </w:pPr>
          </w:p>
          <w:p w14:paraId="0D8F96E0"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w:t>
            </w:r>
            <w:r w:rsidRPr="00F56356">
              <w:rPr>
                <w:rFonts w:ascii="Times New Roman" w:eastAsia="Times New Roman" w:hAnsi="Times New Roman" w:cs="Times New Roman"/>
                <w:b/>
                <w:iCs/>
                <w:sz w:val="24"/>
                <w:szCs w:val="24"/>
                <w:lang w:eastAsia="it-IT"/>
              </w:rPr>
              <w:t>Ricostruzione flussi finanziari e aspetti rilevanti della gestione</w:t>
            </w:r>
            <w:r w:rsidRPr="00F56356">
              <w:rPr>
                <w:rFonts w:ascii="Times New Roman" w:eastAsia="Times New Roman" w:hAnsi="Times New Roman" w:cs="Times New Roman"/>
                <w:b/>
                <w:sz w:val="24"/>
                <w:szCs w:val="24"/>
                <w:lang w:eastAsia="it-IT"/>
              </w:rPr>
              <w:t xml:space="preserve"> </w:t>
            </w:r>
          </w:p>
          <w:p w14:paraId="589BCCE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somme complessivamente assegnate sono state pari a euro 86.076.330,71,</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di cui euro 775.235,69 riferiti a reiscrizioni di residui passivi perenti ed euro 2.446.684,21 riferiti </w:t>
            </w:r>
            <w:r w:rsidRPr="00F56356">
              <w:rPr>
                <w:rFonts w:ascii="Times New Roman" w:eastAsia="Times New Roman" w:hAnsi="Times New Roman" w:cs="Times New Roman"/>
                <w:color w:val="000000" w:themeColor="text1"/>
                <w:sz w:val="24"/>
                <w:szCs w:val="24"/>
                <w:lang w:eastAsia="it-IT"/>
              </w:rPr>
              <w:t>a riassegnazioni dall’avanzo d’esercizio 2021.</w:t>
            </w:r>
          </w:p>
          <w:p w14:paraId="6C102589"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 xml:space="preserve">Gli impegni assunti ammontano a euro 67.343.599,99, con un’economia di bilancio di euro 18.732.730,72. Il totale dei pagamenti riferiti alla competenza è di euro 3.580.164,33, con un indice di capacità di pagamento (rapporto pagato/impegnato) che si attesta al 5,32 per cento. </w:t>
            </w:r>
          </w:p>
          <w:p w14:paraId="427CE963" w14:textId="77777777" w:rsidR="00F56356" w:rsidRPr="00F56356" w:rsidRDefault="00F56356" w:rsidP="00F56356">
            <w:pPr>
              <w:spacing w:after="0" w:line="360" w:lineRule="auto"/>
              <w:ind w:left="284"/>
              <w:jc w:val="both"/>
              <w:rPr>
                <w:rFonts w:ascii="Times New Roman" w:eastAsia="Times New Roman" w:hAnsi="Times New Roman" w:cs="Times New Roman"/>
                <w:sz w:val="12"/>
                <w:szCs w:val="24"/>
                <w:lang w:eastAsia="it-IT"/>
              </w:rPr>
            </w:pPr>
          </w:p>
          <w:p w14:paraId="4D12551A" w14:textId="77777777" w:rsidR="00F56356" w:rsidRPr="00F56356" w:rsidRDefault="00F56356" w:rsidP="00F56356">
            <w:pPr>
              <w:spacing w:after="0" w:line="360" w:lineRule="auto"/>
              <w:ind w:left="284"/>
              <w:jc w:val="both"/>
              <w:rPr>
                <w:rFonts w:ascii="Times New Roman" w:eastAsia="Times New Roman" w:hAnsi="Times New Roman" w:cs="Times New Roman"/>
                <w:lang w:eastAsia="it-IT"/>
              </w:rPr>
            </w:pPr>
            <w:r w:rsidRPr="00F56356">
              <w:rPr>
                <w:rFonts w:ascii="Times New Roman" w:eastAsia="Times New Roman" w:hAnsi="Times New Roman" w:cs="Times New Roman"/>
                <w:sz w:val="24"/>
                <w:szCs w:val="24"/>
                <w:lang w:eastAsia="it-IT"/>
              </w:rPr>
              <w:t>I residui passivi al 1° gennaio 2022 erano pari a euro 35.428.428,71. Su questi sono stati effettuati pagamenti per euro 5.300.027,39 e realizzate economie per euro 28.056.684,50.</w:t>
            </w:r>
          </w:p>
          <w:p w14:paraId="5357B3FD" w14:textId="77777777" w:rsidR="00F56356" w:rsidRPr="00F56356" w:rsidRDefault="00F56356" w:rsidP="00F56356">
            <w:pPr>
              <w:spacing w:after="0" w:line="360" w:lineRule="auto"/>
              <w:ind w:right="49"/>
              <w:jc w:val="center"/>
              <w:rPr>
                <w:rFonts w:ascii="Times New Roman" w:eastAsia="Times New Roman" w:hAnsi="Times New Roman" w:cs="Times New Roman"/>
                <w:sz w:val="10"/>
                <w:lang w:eastAsia="it-IT"/>
              </w:rPr>
            </w:pPr>
          </w:p>
          <w:p w14:paraId="66A0E02D" w14:textId="77777777" w:rsidR="00F56356" w:rsidRPr="00F56356" w:rsidRDefault="00F56356" w:rsidP="00F56356">
            <w:pPr>
              <w:spacing w:after="0" w:line="360" w:lineRule="auto"/>
              <w:ind w:right="49"/>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p w14:paraId="44C5146F" w14:textId="77777777" w:rsidR="00F56356" w:rsidRPr="00F56356" w:rsidRDefault="00F56356" w:rsidP="00F56356">
            <w:pPr>
              <w:spacing w:after="0" w:line="360" w:lineRule="auto"/>
              <w:ind w:right="49"/>
              <w:jc w:val="both"/>
              <w:rPr>
                <w:rFonts w:ascii="Times New Roman" w:eastAsia="Times New Roman" w:hAnsi="Times New Roman" w:cs="Times New Roman"/>
                <w:sz w:val="2"/>
                <w:szCs w:val="24"/>
                <w:lang w:eastAsia="it-IT"/>
              </w:rPr>
            </w:pPr>
          </w:p>
          <w:tbl>
            <w:tblPr>
              <w:tblW w:w="7061" w:type="dxa"/>
              <w:jc w:val="center"/>
              <w:tblCellMar>
                <w:left w:w="70" w:type="dxa"/>
                <w:right w:w="70" w:type="dxa"/>
              </w:tblCellMar>
              <w:tblLook w:val="04A0" w:firstRow="1" w:lastRow="0" w:firstColumn="1" w:lastColumn="0" w:noHBand="0" w:noVBand="1"/>
            </w:tblPr>
            <w:tblGrid>
              <w:gridCol w:w="858"/>
              <w:gridCol w:w="1530"/>
              <w:gridCol w:w="1400"/>
              <w:gridCol w:w="968"/>
              <w:gridCol w:w="1185"/>
              <w:gridCol w:w="1120"/>
            </w:tblGrid>
            <w:tr w:rsidR="00F56356" w:rsidRPr="00F56356" w14:paraId="4138CB57" w14:textId="77777777" w:rsidTr="00F56356">
              <w:trPr>
                <w:trHeight w:val="420"/>
                <w:jc w:val="center"/>
              </w:trPr>
              <w:tc>
                <w:tcPr>
                  <w:tcW w:w="70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CA5A"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18C5015B" w14:textId="77777777" w:rsidTr="00F56356">
              <w:trPr>
                <w:trHeight w:val="465"/>
                <w:jc w:val="center"/>
              </w:trPr>
              <w:tc>
                <w:tcPr>
                  <w:tcW w:w="8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DDB0F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14:paraId="65DB67FF"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2D31812C"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73" w:type="dxa"/>
                  <w:gridSpan w:val="3"/>
                  <w:tcBorders>
                    <w:top w:val="single" w:sz="4" w:space="0" w:color="auto"/>
                    <w:left w:val="nil"/>
                    <w:bottom w:val="single" w:sz="4" w:space="0" w:color="auto"/>
                    <w:right w:val="single" w:sz="4" w:space="0" w:color="000000"/>
                  </w:tcBorders>
                  <w:shd w:val="clear" w:color="auto" w:fill="auto"/>
                  <w:vAlign w:val="center"/>
                  <w:hideMark/>
                </w:tcPr>
                <w:p w14:paraId="5F353F29"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1807BFD0" w14:textId="77777777" w:rsidTr="00F56356">
              <w:trPr>
                <w:trHeight w:val="300"/>
                <w:jc w:val="center"/>
              </w:trPr>
              <w:tc>
                <w:tcPr>
                  <w:tcW w:w="858" w:type="dxa"/>
                  <w:vMerge/>
                  <w:tcBorders>
                    <w:top w:val="nil"/>
                    <w:left w:val="single" w:sz="4" w:space="0" w:color="auto"/>
                    <w:bottom w:val="single" w:sz="4" w:space="0" w:color="auto"/>
                    <w:right w:val="single" w:sz="4" w:space="0" w:color="auto"/>
                  </w:tcBorders>
                  <w:vAlign w:val="center"/>
                  <w:hideMark/>
                </w:tcPr>
                <w:p w14:paraId="58D1C464"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30" w:type="dxa"/>
                  <w:vMerge/>
                  <w:tcBorders>
                    <w:top w:val="nil"/>
                    <w:left w:val="single" w:sz="4" w:space="0" w:color="auto"/>
                    <w:bottom w:val="single" w:sz="4" w:space="0" w:color="auto"/>
                    <w:right w:val="single" w:sz="4" w:space="0" w:color="auto"/>
                  </w:tcBorders>
                  <w:vAlign w:val="center"/>
                  <w:hideMark/>
                </w:tcPr>
                <w:p w14:paraId="0268235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00" w:type="dxa"/>
                  <w:vMerge/>
                  <w:tcBorders>
                    <w:top w:val="nil"/>
                    <w:left w:val="single" w:sz="4" w:space="0" w:color="auto"/>
                    <w:bottom w:val="single" w:sz="4" w:space="0" w:color="auto"/>
                    <w:right w:val="single" w:sz="4" w:space="0" w:color="auto"/>
                  </w:tcBorders>
                  <w:vAlign w:val="center"/>
                  <w:hideMark/>
                </w:tcPr>
                <w:p w14:paraId="7020B9D6"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68" w:type="dxa"/>
                  <w:tcBorders>
                    <w:top w:val="nil"/>
                    <w:left w:val="nil"/>
                    <w:bottom w:val="single" w:sz="4" w:space="0" w:color="auto"/>
                    <w:right w:val="single" w:sz="4" w:space="0" w:color="auto"/>
                  </w:tcBorders>
                  <w:shd w:val="clear" w:color="auto" w:fill="auto"/>
                  <w:vAlign w:val="center"/>
                  <w:hideMark/>
                </w:tcPr>
                <w:p w14:paraId="328642E7"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85" w:type="dxa"/>
                  <w:tcBorders>
                    <w:top w:val="nil"/>
                    <w:left w:val="nil"/>
                    <w:bottom w:val="single" w:sz="4" w:space="0" w:color="auto"/>
                    <w:right w:val="single" w:sz="4" w:space="0" w:color="auto"/>
                  </w:tcBorders>
                  <w:shd w:val="clear" w:color="auto" w:fill="auto"/>
                  <w:vAlign w:val="center"/>
                  <w:hideMark/>
                </w:tcPr>
                <w:p w14:paraId="63C1619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20" w:type="dxa"/>
                  <w:tcBorders>
                    <w:top w:val="nil"/>
                    <w:left w:val="nil"/>
                    <w:bottom w:val="single" w:sz="4" w:space="0" w:color="auto"/>
                    <w:right w:val="single" w:sz="4" w:space="0" w:color="auto"/>
                  </w:tcBorders>
                  <w:shd w:val="clear" w:color="auto" w:fill="auto"/>
                  <w:vAlign w:val="center"/>
                  <w:hideMark/>
                </w:tcPr>
                <w:p w14:paraId="0CC90D16"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6B2340F3" w14:textId="77777777" w:rsidTr="00F56356">
              <w:trPr>
                <w:trHeight w:val="240"/>
                <w:jc w:val="center"/>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7C56589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212 pg.1</w:t>
                  </w:r>
                </w:p>
              </w:tc>
              <w:tc>
                <w:tcPr>
                  <w:tcW w:w="1530" w:type="dxa"/>
                  <w:tcBorders>
                    <w:top w:val="nil"/>
                    <w:left w:val="nil"/>
                    <w:bottom w:val="single" w:sz="4" w:space="0" w:color="auto"/>
                    <w:right w:val="single" w:sz="4" w:space="0" w:color="auto"/>
                  </w:tcBorders>
                  <w:shd w:val="clear" w:color="auto" w:fill="auto"/>
                  <w:noWrap/>
                  <w:vAlign w:val="center"/>
                  <w:hideMark/>
                </w:tcPr>
                <w:p w14:paraId="1791846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9.332,12</w:t>
                  </w:r>
                </w:p>
              </w:tc>
              <w:tc>
                <w:tcPr>
                  <w:tcW w:w="1400" w:type="dxa"/>
                  <w:tcBorders>
                    <w:top w:val="nil"/>
                    <w:left w:val="nil"/>
                    <w:bottom w:val="single" w:sz="4" w:space="0" w:color="auto"/>
                    <w:right w:val="single" w:sz="4" w:space="0" w:color="auto"/>
                  </w:tcBorders>
                  <w:shd w:val="clear" w:color="auto" w:fill="auto"/>
                  <w:noWrap/>
                  <w:vAlign w:val="center"/>
                  <w:hideMark/>
                </w:tcPr>
                <w:p w14:paraId="449049E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8" w:type="dxa"/>
                  <w:tcBorders>
                    <w:top w:val="nil"/>
                    <w:left w:val="nil"/>
                    <w:bottom w:val="single" w:sz="4" w:space="0" w:color="auto"/>
                    <w:right w:val="single" w:sz="4" w:space="0" w:color="auto"/>
                  </w:tcBorders>
                  <w:shd w:val="clear" w:color="auto" w:fill="auto"/>
                  <w:noWrap/>
                  <w:vAlign w:val="center"/>
                  <w:hideMark/>
                </w:tcPr>
                <w:p w14:paraId="6E6F82B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85" w:type="dxa"/>
                  <w:tcBorders>
                    <w:top w:val="nil"/>
                    <w:left w:val="nil"/>
                    <w:bottom w:val="single" w:sz="4" w:space="0" w:color="auto"/>
                    <w:right w:val="single" w:sz="4" w:space="0" w:color="auto"/>
                  </w:tcBorders>
                  <w:shd w:val="clear" w:color="auto" w:fill="auto"/>
                  <w:noWrap/>
                  <w:vAlign w:val="center"/>
                  <w:hideMark/>
                </w:tcPr>
                <w:p w14:paraId="46F5E2D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0" w:type="dxa"/>
                  <w:tcBorders>
                    <w:top w:val="nil"/>
                    <w:left w:val="nil"/>
                    <w:bottom w:val="single" w:sz="4" w:space="0" w:color="auto"/>
                    <w:right w:val="single" w:sz="4" w:space="0" w:color="auto"/>
                  </w:tcBorders>
                  <w:shd w:val="clear" w:color="auto" w:fill="auto"/>
                  <w:noWrap/>
                  <w:vAlign w:val="center"/>
                  <w:hideMark/>
                </w:tcPr>
                <w:p w14:paraId="620B6B6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25B3E61C" w14:textId="77777777" w:rsidTr="00F56356">
              <w:trPr>
                <w:trHeight w:val="315"/>
                <w:jc w:val="center"/>
              </w:trPr>
              <w:tc>
                <w:tcPr>
                  <w:tcW w:w="858" w:type="dxa"/>
                  <w:tcBorders>
                    <w:top w:val="nil"/>
                    <w:left w:val="single" w:sz="4" w:space="0" w:color="auto"/>
                    <w:bottom w:val="single" w:sz="4" w:space="0" w:color="auto"/>
                    <w:right w:val="single" w:sz="4" w:space="0" w:color="auto"/>
                  </w:tcBorders>
                  <w:shd w:val="clear" w:color="auto" w:fill="auto"/>
                  <w:noWrap/>
                  <w:vAlign w:val="center"/>
                  <w:hideMark/>
                </w:tcPr>
                <w:p w14:paraId="427FACE1"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30" w:type="dxa"/>
                  <w:tcBorders>
                    <w:top w:val="nil"/>
                    <w:left w:val="nil"/>
                    <w:bottom w:val="single" w:sz="4" w:space="0" w:color="auto"/>
                    <w:right w:val="single" w:sz="4" w:space="0" w:color="auto"/>
                  </w:tcBorders>
                  <w:shd w:val="clear" w:color="auto" w:fill="auto"/>
                  <w:noWrap/>
                  <w:vAlign w:val="center"/>
                  <w:hideMark/>
                </w:tcPr>
                <w:p w14:paraId="3717FE4B"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9.332,12</w:t>
                  </w:r>
                </w:p>
              </w:tc>
              <w:tc>
                <w:tcPr>
                  <w:tcW w:w="1400" w:type="dxa"/>
                  <w:tcBorders>
                    <w:top w:val="nil"/>
                    <w:left w:val="nil"/>
                    <w:bottom w:val="single" w:sz="4" w:space="0" w:color="auto"/>
                    <w:right w:val="single" w:sz="4" w:space="0" w:color="auto"/>
                  </w:tcBorders>
                  <w:shd w:val="clear" w:color="auto" w:fill="auto"/>
                  <w:noWrap/>
                  <w:vAlign w:val="center"/>
                  <w:hideMark/>
                </w:tcPr>
                <w:p w14:paraId="2E8352D2"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68" w:type="dxa"/>
                  <w:tcBorders>
                    <w:top w:val="nil"/>
                    <w:left w:val="nil"/>
                    <w:bottom w:val="nil"/>
                    <w:right w:val="nil"/>
                  </w:tcBorders>
                  <w:shd w:val="clear" w:color="auto" w:fill="auto"/>
                  <w:noWrap/>
                  <w:vAlign w:val="center"/>
                  <w:hideMark/>
                </w:tcPr>
                <w:p w14:paraId="7F0D186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85" w:type="dxa"/>
                  <w:tcBorders>
                    <w:top w:val="nil"/>
                    <w:left w:val="nil"/>
                    <w:bottom w:val="nil"/>
                    <w:right w:val="nil"/>
                  </w:tcBorders>
                  <w:shd w:val="clear" w:color="auto" w:fill="auto"/>
                  <w:noWrap/>
                  <w:vAlign w:val="center"/>
                  <w:hideMark/>
                </w:tcPr>
                <w:p w14:paraId="346D362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20" w:type="dxa"/>
                  <w:tcBorders>
                    <w:top w:val="nil"/>
                    <w:left w:val="nil"/>
                    <w:bottom w:val="nil"/>
                    <w:right w:val="nil"/>
                  </w:tcBorders>
                  <w:shd w:val="clear" w:color="auto" w:fill="auto"/>
                  <w:noWrap/>
                  <w:vAlign w:val="center"/>
                  <w:hideMark/>
                </w:tcPr>
                <w:p w14:paraId="5CC2514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018F7C32" w14:textId="77777777" w:rsidR="00F56356" w:rsidRPr="00F56356" w:rsidRDefault="00F56356" w:rsidP="00F56356">
            <w:pPr>
              <w:spacing w:after="0" w:line="360" w:lineRule="auto"/>
              <w:ind w:right="49"/>
              <w:jc w:val="center"/>
              <w:rPr>
                <w:rFonts w:ascii="Times New Roman" w:eastAsia="Times New Roman" w:hAnsi="Times New Roman" w:cs="Times New Roman"/>
                <w:color w:val="000000" w:themeColor="text1"/>
                <w:sz w:val="20"/>
                <w:szCs w:val="24"/>
                <w:lang w:eastAsia="it-IT"/>
              </w:rPr>
            </w:pPr>
          </w:p>
          <w:tbl>
            <w:tblPr>
              <w:tblW w:w="7060" w:type="dxa"/>
              <w:jc w:val="center"/>
              <w:tblCellMar>
                <w:left w:w="70" w:type="dxa"/>
                <w:right w:w="70" w:type="dxa"/>
              </w:tblCellMar>
              <w:tblLook w:val="04A0" w:firstRow="1" w:lastRow="0" w:firstColumn="1" w:lastColumn="0" w:noHBand="0" w:noVBand="1"/>
            </w:tblPr>
            <w:tblGrid>
              <w:gridCol w:w="485"/>
              <w:gridCol w:w="1593"/>
              <w:gridCol w:w="1576"/>
              <w:gridCol w:w="1007"/>
              <w:gridCol w:w="1234"/>
              <w:gridCol w:w="1165"/>
            </w:tblGrid>
            <w:tr w:rsidR="00F56356" w:rsidRPr="00F56356" w14:paraId="1A0D0FC0" w14:textId="77777777" w:rsidTr="00F56356">
              <w:trPr>
                <w:trHeight w:val="420"/>
                <w:jc w:val="center"/>
              </w:trPr>
              <w:tc>
                <w:tcPr>
                  <w:tcW w:w="70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C2A3B"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1C34C3D3" w14:textId="77777777" w:rsidTr="00F56356">
              <w:trPr>
                <w:trHeight w:val="465"/>
                <w:jc w:val="center"/>
              </w:trPr>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1F093"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93" w:type="dxa"/>
                  <w:vMerge w:val="restart"/>
                  <w:tcBorders>
                    <w:top w:val="nil"/>
                    <w:left w:val="single" w:sz="4" w:space="0" w:color="auto"/>
                    <w:bottom w:val="single" w:sz="4" w:space="0" w:color="auto"/>
                    <w:right w:val="single" w:sz="4" w:space="0" w:color="auto"/>
                  </w:tcBorders>
                  <w:shd w:val="clear" w:color="auto" w:fill="auto"/>
                  <w:vAlign w:val="center"/>
                  <w:hideMark/>
                </w:tcPr>
                <w:p w14:paraId="6B16F73D"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76" w:type="dxa"/>
                  <w:vMerge w:val="restart"/>
                  <w:tcBorders>
                    <w:top w:val="nil"/>
                    <w:left w:val="single" w:sz="4" w:space="0" w:color="auto"/>
                    <w:bottom w:val="single" w:sz="4" w:space="0" w:color="auto"/>
                    <w:right w:val="single" w:sz="4" w:space="0" w:color="auto"/>
                  </w:tcBorders>
                  <w:shd w:val="clear" w:color="auto" w:fill="auto"/>
                  <w:vAlign w:val="center"/>
                  <w:hideMark/>
                </w:tcPr>
                <w:p w14:paraId="6B17D612"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406" w:type="dxa"/>
                  <w:gridSpan w:val="3"/>
                  <w:tcBorders>
                    <w:top w:val="single" w:sz="4" w:space="0" w:color="auto"/>
                    <w:left w:val="nil"/>
                    <w:bottom w:val="single" w:sz="4" w:space="0" w:color="auto"/>
                    <w:right w:val="single" w:sz="4" w:space="0" w:color="000000"/>
                  </w:tcBorders>
                  <w:shd w:val="clear" w:color="auto" w:fill="auto"/>
                  <w:vAlign w:val="center"/>
                  <w:hideMark/>
                </w:tcPr>
                <w:p w14:paraId="0C7C6B8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1D24D2FE" w14:textId="77777777" w:rsidTr="00F56356">
              <w:trPr>
                <w:trHeight w:val="300"/>
                <w:jc w:val="center"/>
              </w:trPr>
              <w:tc>
                <w:tcPr>
                  <w:tcW w:w="485" w:type="dxa"/>
                  <w:vMerge/>
                  <w:tcBorders>
                    <w:top w:val="nil"/>
                    <w:left w:val="single" w:sz="4" w:space="0" w:color="auto"/>
                    <w:bottom w:val="single" w:sz="4" w:space="0" w:color="auto"/>
                    <w:right w:val="single" w:sz="4" w:space="0" w:color="auto"/>
                  </w:tcBorders>
                  <w:vAlign w:val="center"/>
                  <w:hideMark/>
                </w:tcPr>
                <w:p w14:paraId="2F494394"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93" w:type="dxa"/>
                  <w:vMerge/>
                  <w:tcBorders>
                    <w:top w:val="nil"/>
                    <w:left w:val="single" w:sz="4" w:space="0" w:color="auto"/>
                    <w:bottom w:val="single" w:sz="4" w:space="0" w:color="auto"/>
                    <w:right w:val="single" w:sz="4" w:space="0" w:color="auto"/>
                  </w:tcBorders>
                  <w:vAlign w:val="center"/>
                  <w:hideMark/>
                </w:tcPr>
                <w:p w14:paraId="28B25B0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76" w:type="dxa"/>
                  <w:vMerge/>
                  <w:tcBorders>
                    <w:top w:val="nil"/>
                    <w:left w:val="single" w:sz="4" w:space="0" w:color="auto"/>
                    <w:bottom w:val="single" w:sz="4" w:space="0" w:color="auto"/>
                    <w:right w:val="single" w:sz="4" w:space="0" w:color="auto"/>
                  </w:tcBorders>
                  <w:vAlign w:val="center"/>
                  <w:hideMark/>
                </w:tcPr>
                <w:p w14:paraId="5D5A3830"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007" w:type="dxa"/>
                  <w:tcBorders>
                    <w:top w:val="nil"/>
                    <w:left w:val="nil"/>
                    <w:bottom w:val="single" w:sz="4" w:space="0" w:color="auto"/>
                    <w:right w:val="single" w:sz="4" w:space="0" w:color="auto"/>
                  </w:tcBorders>
                  <w:shd w:val="clear" w:color="auto" w:fill="auto"/>
                  <w:vAlign w:val="center"/>
                  <w:hideMark/>
                </w:tcPr>
                <w:p w14:paraId="692A68D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34" w:type="dxa"/>
                  <w:tcBorders>
                    <w:top w:val="nil"/>
                    <w:left w:val="nil"/>
                    <w:bottom w:val="single" w:sz="4" w:space="0" w:color="auto"/>
                    <w:right w:val="single" w:sz="4" w:space="0" w:color="auto"/>
                  </w:tcBorders>
                  <w:shd w:val="clear" w:color="auto" w:fill="auto"/>
                  <w:vAlign w:val="center"/>
                  <w:hideMark/>
                </w:tcPr>
                <w:p w14:paraId="1B0422E6"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65" w:type="dxa"/>
                  <w:tcBorders>
                    <w:top w:val="nil"/>
                    <w:left w:val="nil"/>
                    <w:bottom w:val="single" w:sz="4" w:space="0" w:color="auto"/>
                    <w:right w:val="single" w:sz="4" w:space="0" w:color="auto"/>
                  </w:tcBorders>
                  <w:shd w:val="clear" w:color="auto" w:fill="auto"/>
                  <w:vAlign w:val="center"/>
                  <w:hideMark/>
                </w:tcPr>
                <w:p w14:paraId="08BB868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4342226A"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8BF2DF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185</w:t>
                  </w:r>
                </w:p>
              </w:tc>
              <w:tc>
                <w:tcPr>
                  <w:tcW w:w="1593" w:type="dxa"/>
                  <w:tcBorders>
                    <w:top w:val="nil"/>
                    <w:left w:val="nil"/>
                    <w:bottom w:val="single" w:sz="4" w:space="0" w:color="auto"/>
                    <w:right w:val="single" w:sz="4" w:space="0" w:color="auto"/>
                  </w:tcBorders>
                  <w:shd w:val="clear" w:color="auto" w:fill="auto"/>
                  <w:noWrap/>
                  <w:vAlign w:val="center"/>
                  <w:hideMark/>
                </w:tcPr>
                <w:p w14:paraId="495358D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6.100,00</w:t>
                  </w:r>
                </w:p>
              </w:tc>
              <w:tc>
                <w:tcPr>
                  <w:tcW w:w="1576" w:type="dxa"/>
                  <w:tcBorders>
                    <w:top w:val="nil"/>
                    <w:left w:val="nil"/>
                    <w:bottom w:val="single" w:sz="4" w:space="0" w:color="auto"/>
                    <w:right w:val="single" w:sz="4" w:space="0" w:color="auto"/>
                  </w:tcBorders>
                  <w:shd w:val="clear" w:color="auto" w:fill="auto"/>
                  <w:noWrap/>
                  <w:vAlign w:val="center"/>
                  <w:hideMark/>
                </w:tcPr>
                <w:p w14:paraId="1D82F59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6.100,00</w:t>
                  </w:r>
                </w:p>
              </w:tc>
              <w:tc>
                <w:tcPr>
                  <w:tcW w:w="1007" w:type="dxa"/>
                  <w:tcBorders>
                    <w:top w:val="nil"/>
                    <w:left w:val="nil"/>
                    <w:bottom w:val="single" w:sz="4" w:space="0" w:color="auto"/>
                    <w:right w:val="single" w:sz="4" w:space="0" w:color="auto"/>
                  </w:tcBorders>
                  <w:shd w:val="clear" w:color="auto" w:fill="auto"/>
                  <w:noWrap/>
                  <w:vAlign w:val="center"/>
                  <w:hideMark/>
                </w:tcPr>
                <w:p w14:paraId="4415378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34" w:type="dxa"/>
                  <w:tcBorders>
                    <w:top w:val="nil"/>
                    <w:left w:val="nil"/>
                    <w:bottom w:val="single" w:sz="4" w:space="0" w:color="auto"/>
                    <w:right w:val="single" w:sz="4" w:space="0" w:color="auto"/>
                  </w:tcBorders>
                  <w:shd w:val="clear" w:color="auto" w:fill="auto"/>
                  <w:noWrap/>
                  <w:vAlign w:val="center"/>
                  <w:hideMark/>
                </w:tcPr>
                <w:p w14:paraId="7D00891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65" w:type="dxa"/>
                  <w:tcBorders>
                    <w:top w:val="nil"/>
                    <w:left w:val="nil"/>
                    <w:bottom w:val="single" w:sz="4" w:space="0" w:color="auto"/>
                    <w:right w:val="single" w:sz="4" w:space="0" w:color="auto"/>
                  </w:tcBorders>
                  <w:shd w:val="clear" w:color="auto" w:fill="auto"/>
                  <w:noWrap/>
                  <w:vAlign w:val="center"/>
                  <w:hideMark/>
                </w:tcPr>
                <w:p w14:paraId="189911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r>
            <w:tr w:rsidR="00F56356" w:rsidRPr="00F56356" w14:paraId="4DFC9F3E"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B2F031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203</w:t>
                  </w:r>
                </w:p>
              </w:tc>
              <w:tc>
                <w:tcPr>
                  <w:tcW w:w="1593" w:type="dxa"/>
                  <w:tcBorders>
                    <w:top w:val="nil"/>
                    <w:left w:val="nil"/>
                    <w:bottom w:val="single" w:sz="4" w:space="0" w:color="auto"/>
                    <w:right w:val="single" w:sz="4" w:space="0" w:color="auto"/>
                  </w:tcBorders>
                  <w:shd w:val="clear" w:color="auto" w:fill="auto"/>
                  <w:noWrap/>
                  <w:vAlign w:val="center"/>
                  <w:hideMark/>
                </w:tcPr>
                <w:p w14:paraId="3596673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2.016.358,70</w:t>
                  </w:r>
                </w:p>
              </w:tc>
              <w:tc>
                <w:tcPr>
                  <w:tcW w:w="1576" w:type="dxa"/>
                  <w:tcBorders>
                    <w:top w:val="nil"/>
                    <w:left w:val="nil"/>
                    <w:bottom w:val="single" w:sz="4" w:space="0" w:color="auto"/>
                    <w:right w:val="single" w:sz="4" w:space="0" w:color="auto"/>
                  </w:tcBorders>
                  <w:shd w:val="clear" w:color="auto" w:fill="auto"/>
                  <w:noWrap/>
                  <w:vAlign w:val="center"/>
                  <w:hideMark/>
                </w:tcPr>
                <w:p w14:paraId="66037FD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1007" w:type="dxa"/>
                  <w:tcBorders>
                    <w:top w:val="nil"/>
                    <w:left w:val="nil"/>
                    <w:bottom w:val="single" w:sz="4" w:space="0" w:color="auto"/>
                    <w:right w:val="single" w:sz="4" w:space="0" w:color="auto"/>
                  </w:tcBorders>
                  <w:shd w:val="clear" w:color="auto" w:fill="auto"/>
                  <w:noWrap/>
                  <w:vAlign w:val="center"/>
                  <w:hideMark/>
                </w:tcPr>
                <w:p w14:paraId="2F4CAF3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34" w:type="dxa"/>
                  <w:tcBorders>
                    <w:top w:val="nil"/>
                    <w:left w:val="nil"/>
                    <w:bottom w:val="single" w:sz="4" w:space="0" w:color="auto"/>
                    <w:right w:val="single" w:sz="4" w:space="0" w:color="auto"/>
                  </w:tcBorders>
                  <w:shd w:val="clear" w:color="auto" w:fill="auto"/>
                  <w:noWrap/>
                  <w:vAlign w:val="center"/>
                  <w:hideMark/>
                </w:tcPr>
                <w:p w14:paraId="2BEB26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65" w:type="dxa"/>
                  <w:tcBorders>
                    <w:top w:val="nil"/>
                    <w:left w:val="nil"/>
                    <w:bottom w:val="single" w:sz="4" w:space="0" w:color="auto"/>
                    <w:right w:val="single" w:sz="4" w:space="0" w:color="auto"/>
                  </w:tcBorders>
                  <w:shd w:val="clear" w:color="auto" w:fill="auto"/>
                  <w:noWrap/>
                  <w:vAlign w:val="center"/>
                  <w:hideMark/>
                </w:tcPr>
                <w:p w14:paraId="7731D67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B72B0B9"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F75E07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204</w:t>
                  </w:r>
                </w:p>
              </w:tc>
              <w:tc>
                <w:tcPr>
                  <w:tcW w:w="1593" w:type="dxa"/>
                  <w:tcBorders>
                    <w:top w:val="nil"/>
                    <w:left w:val="nil"/>
                    <w:bottom w:val="single" w:sz="4" w:space="0" w:color="auto"/>
                    <w:right w:val="single" w:sz="4" w:space="0" w:color="auto"/>
                  </w:tcBorders>
                  <w:shd w:val="clear" w:color="auto" w:fill="auto"/>
                  <w:noWrap/>
                  <w:vAlign w:val="center"/>
                  <w:hideMark/>
                </w:tcPr>
                <w:p w14:paraId="1831385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500.000,00</w:t>
                  </w:r>
                </w:p>
              </w:tc>
              <w:tc>
                <w:tcPr>
                  <w:tcW w:w="1576" w:type="dxa"/>
                  <w:tcBorders>
                    <w:top w:val="nil"/>
                    <w:left w:val="nil"/>
                    <w:bottom w:val="single" w:sz="4" w:space="0" w:color="auto"/>
                    <w:right w:val="single" w:sz="4" w:space="0" w:color="auto"/>
                  </w:tcBorders>
                  <w:shd w:val="clear" w:color="auto" w:fill="auto"/>
                  <w:noWrap/>
                  <w:vAlign w:val="center"/>
                  <w:hideMark/>
                </w:tcPr>
                <w:p w14:paraId="334BD01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1007" w:type="dxa"/>
                  <w:tcBorders>
                    <w:top w:val="nil"/>
                    <w:left w:val="nil"/>
                    <w:bottom w:val="single" w:sz="4" w:space="0" w:color="auto"/>
                    <w:right w:val="single" w:sz="4" w:space="0" w:color="auto"/>
                  </w:tcBorders>
                  <w:shd w:val="clear" w:color="auto" w:fill="auto"/>
                  <w:noWrap/>
                  <w:vAlign w:val="center"/>
                  <w:hideMark/>
                </w:tcPr>
                <w:p w14:paraId="7E7B558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5C8C0A7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65" w:type="dxa"/>
                  <w:tcBorders>
                    <w:top w:val="nil"/>
                    <w:left w:val="nil"/>
                    <w:bottom w:val="single" w:sz="4" w:space="0" w:color="auto"/>
                    <w:right w:val="single" w:sz="4" w:space="0" w:color="auto"/>
                  </w:tcBorders>
                  <w:shd w:val="clear" w:color="auto" w:fill="auto"/>
                  <w:noWrap/>
                  <w:vAlign w:val="center"/>
                  <w:hideMark/>
                </w:tcPr>
                <w:p w14:paraId="037A073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2DE082C0"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9F2A5C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216</w:t>
                  </w:r>
                </w:p>
              </w:tc>
              <w:tc>
                <w:tcPr>
                  <w:tcW w:w="1593" w:type="dxa"/>
                  <w:tcBorders>
                    <w:top w:val="nil"/>
                    <w:left w:val="nil"/>
                    <w:bottom w:val="single" w:sz="4" w:space="0" w:color="auto"/>
                    <w:right w:val="single" w:sz="4" w:space="0" w:color="auto"/>
                  </w:tcBorders>
                  <w:shd w:val="clear" w:color="auto" w:fill="auto"/>
                  <w:noWrap/>
                  <w:vAlign w:val="center"/>
                  <w:hideMark/>
                </w:tcPr>
                <w:p w14:paraId="6CCFF91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2.864.807,74</w:t>
                  </w:r>
                </w:p>
              </w:tc>
              <w:tc>
                <w:tcPr>
                  <w:tcW w:w="1576" w:type="dxa"/>
                  <w:tcBorders>
                    <w:top w:val="nil"/>
                    <w:left w:val="nil"/>
                    <w:bottom w:val="single" w:sz="4" w:space="0" w:color="auto"/>
                    <w:right w:val="single" w:sz="4" w:space="0" w:color="auto"/>
                  </w:tcBorders>
                  <w:shd w:val="clear" w:color="auto" w:fill="auto"/>
                  <w:noWrap/>
                  <w:vAlign w:val="center"/>
                  <w:hideMark/>
                </w:tcPr>
                <w:p w14:paraId="01941A8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1.006.400,00</w:t>
                  </w:r>
                </w:p>
              </w:tc>
              <w:tc>
                <w:tcPr>
                  <w:tcW w:w="1007" w:type="dxa"/>
                  <w:tcBorders>
                    <w:top w:val="nil"/>
                    <w:left w:val="nil"/>
                    <w:bottom w:val="single" w:sz="4" w:space="0" w:color="auto"/>
                    <w:right w:val="single" w:sz="4" w:space="0" w:color="auto"/>
                  </w:tcBorders>
                  <w:shd w:val="clear" w:color="auto" w:fill="auto"/>
                  <w:noWrap/>
                  <w:vAlign w:val="center"/>
                  <w:hideMark/>
                </w:tcPr>
                <w:p w14:paraId="29C9D2C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234" w:type="dxa"/>
                  <w:tcBorders>
                    <w:top w:val="nil"/>
                    <w:left w:val="nil"/>
                    <w:bottom w:val="single" w:sz="4" w:space="0" w:color="auto"/>
                    <w:right w:val="single" w:sz="4" w:space="0" w:color="auto"/>
                  </w:tcBorders>
                  <w:shd w:val="clear" w:color="auto" w:fill="auto"/>
                  <w:noWrap/>
                  <w:vAlign w:val="center"/>
                  <w:hideMark/>
                </w:tcPr>
                <w:p w14:paraId="3EA714A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64,87</w:t>
                  </w:r>
                </w:p>
              </w:tc>
              <w:tc>
                <w:tcPr>
                  <w:tcW w:w="1165" w:type="dxa"/>
                  <w:tcBorders>
                    <w:top w:val="nil"/>
                    <w:left w:val="nil"/>
                    <w:bottom w:val="single" w:sz="4" w:space="0" w:color="auto"/>
                    <w:right w:val="single" w:sz="4" w:space="0" w:color="auto"/>
                  </w:tcBorders>
                  <w:shd w:val="clear" w:color="auto" w:fill="auto"/>
                  <w:noWrap/>
                  <w:vAlign w:val="center"/>
                  <w:hideMark/>
                </w:tcPr>
                <w:p w14:paraId="2AD0F8A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-5,13</w:t>
                  </w:r>
                </w:p>
              </w:tc>
            </w:tr>
            <w:tr w:rsidR="00F56356" w:rsidRPr="00F56356" w14:paraId="45FBD111"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1904D64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257</w:t>
                  </w:r>
                </w:p>
              </w:tc>
              <w:tc>
                <w:tcPr>
                  <w:tcW w:w="1593" w:type="dxa"/>
                  <w:tcBorders>
                    <w:top w:val="nil"/>
                    <w:left w:val="nil"/>
                    <w:bottom w:val="single" w:sz="4" w:space="0" w:color="auto"/>
                    <w:right w:val="single" w:sz="4" w:space="0" w:color="auto"/>
                  </w:tcBorders>
                  <w:shd w:val="clear" w:color="auto" w:fill="auto"/>
                  <w:noWrap/>
                  <w:vAlign w:val="center"/>
                  <w:hideMark/>
                </w:tcPr>
                <w:p w14:paraId="699DCD3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36.400,00</w:t>
                  </w:r>
                </w:p>
              </w:tc>
              <w:tc>
                <w:tcPr>
                  <w:tcW w:w="1576" w:type="dxa"/>
                  <w:tcBorders>
                    <w:top w:val="nil"/>
                    <w:left w:val="nil"/>
                    <w:bottom w:val="single" w:sz="4" w:space="0" w:color="auto"/>
                    <w:right w:val="single" w:sz="4" w:space="0" w:color="auto"/>
                  </w:tcBorders>
                  <w:shd w:val="clear" w:color="auto" w:fill="auto"/>
                  <w:noWrap/>
                  <w:vAlign w:val="center"/>
                  <w:hideMark/>
                </w:tcPr>
                <w:p w14:paraId="65D6AC3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1007" w:type="dxa"/>
                  <w:tcBorders>
                    <w:top w:val="nil"/>
                    <w:left w:val="nil"/>
                    <w:bottom w:val="single" w:sz="4" w:space="0" w:color="auto"/>
                    <w:right w:val="single" w:sz="4" w:space="0" w:color="auto"/>
                  </w:tcBorders>
                  <w:shd w:val="clear" w:color="auto" w:fill="auto"/>
                  <w:noWrap/>
                  <w:vAlign w:val="center"/>
                  <w:hideMark/>
                </w:tcPr>
                <w:p w14:paraId="779AAAA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0390AFB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65" w:type="dxa"/>
                  <w:tcBorders>
                    <w:top w:val="nil"/>
                    <w:left w:val="nil"/>
                    <w:bottom w:val="single" w:sz="4" w:space="0" w:color="auto"/>
                    <w:right w:val="single" w:sz="4" w:space="0" w:color="auto"/>
                  </w:tcBorders>
                  <w:shd w:val="clear" w:color="auto" w:fill="auto"/>
                  <w:noWrap/>
                  <w:vAlign w:val="center"/>
                  <w:hideMark/>
                </w:tcPr>
                <w:p w14:paraId="60B2C9F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7656DF9E" w14:textId="77777777" w:rsidTr="00F56356">
              <w:trPr>
                <w:trHeight w:val="240"/>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890511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267</w:t>
                  </w:r>
                </w:p>
              </w:tc>
              <w:tc>
                <w:tcPr>
                  <w:tcW w:w="1593" w:type="dxa"/>
                  <w:tcBorders>
                    <w:top w:val="nil"/>
                    <w:left w:val="nil"/>
                    <w:bottom w:val="single" w:sz="4" w:space="0" w:color="auto"/>
                    <w:right w:val="single" w:sz="4" w:space="0" w:color="auto"/>
                  </w:tcBorders>
                  <w:shd w:val="clear" w:color="auto" w:fill="auto"/>
                  <w:noWrap/>
                  <w:vAlign w:val="center"/>
                  <w:hideMark/>
                </w:tcPr>
                <w:p w14:paraId="0382D57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700.000,00</w:t>
                  </w:r>
                </w:p>
              </w:tc>
              <w:tc>
                <w:tcPr>
                  <w:tcW w:w="1576" w:type="dxa"/>
                  <w:tcBorders>
                    <w:top w:val="nil"/>
                    <w:left w:val="nil"/>
                    <w:bottom w:val="single" w:sz="4" w:space="0" w:color="auto"/>
                    <w:right w:val="single" w:sz="4" w:space="0" w:color="auto"/>
                  </w:tcBorders>
                  <w:shd w:val="clear" w:color="auto" w:fill="auto"/>
                  <w:noWrap/>
                  <w:vAlign w:val="center"/>
                  <w:hideMark/>
                </w:tcPr>
                <w:p w14:paraId="4D44EDD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280.000,00</w:t>
                  </w:r>
                </w:p>
              </w:tc>
              <w:tc>
                <w:tcPr>
                  <w:tcW w:w="1007" w:type="dxa"/>
                  <w:tcBorders>
                    <w:top w:val="nil"/>
                    <w:left w:val="nil"/>
                    <w:bottom w:val="single" w:sz="4" w:space="0" w:color="auto"/>
                    <w:right w:val="single" w:sz="4" w:space="0" w:color="auto"/>
                  </w:tcBorders>
                  <w:shd w:val="clear" w:color="auto" w:fill="auto"/>
                  <w:noWrap/>
                  <w:vAlign w:val="center"/>
                  <w:hideMark/>
                </w:tcPr>
                <w:p w14:paraId="6865D56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34" w:type="dxa"/>
                  <w:tcBorders>
                    <w:top w:val="nil"/>
                    <w:left w:val="nil"/>
                    <w:bottom w:val="single" w:sz="4" w:space="0" w:color="auto"/>
                    <w:right w:val="single" w:sz="4" w:space="0" w:color="auto"/>
                  </w:tcBorders>
                  <w:shd w:val="clear" w:color="auto" w:fill="auto"/>
                  <w:noWrap/>
                  <w:vAlign w:val="center"/>
                  <w:hideMark/>
                </w:tcPr>
                <w:p w14:paraId="25B8D15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65" w:type="dxa"/>
                  <w:tcBorders>
                    <w:top w:val="nil"/>
                    <w:left w:val="nil"/>
                    <w:bottom w:val="single" w:sz="4" w:space="0" w:color="auto"/>
                    <w:right w:val="single" w:sz="4" w:space="0" w:color="auto"/>
                  </w:tcBorders>
                  <w:shd w:val="clear" w:color="auto" w:fill="auto"/>
                  <w:noWrap/>
                  <w:vAlign w:val="center"/>
                  <w:hideMark/>
                </w:tcPr>
                <w:p w14:paraId="3E44F42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r>
            <w:tr w:rsidR="00F56356" w:rsidRPr="00F56356" w14:paraId="2BC56C8C" w14:textId="77777777" w:rsidTr="00F56356">
              <w:trPr>
                <w:trHeight w:val="315"/>
                <w:jc w:val="center"/>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DCDA8B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93" w:type="dxa"/>
                  <w:tcBorders>
                    <w:top w:val="nil"/>
                    <w:left w:val="nil"/>
                    <w:bottom w:val="single" w:sz="4" w:space="0" w:color="auto"/>
                    <w:right w:val="single" w:sz="4" w:space="0" w:color="auto"/>
                  </w:tcBorders>
                  <w:shd w:val="clear" w:color="auto" w:fill="auto"/>
                  <w:noWrap/>
                  <w:vAlign w:val="center"/>
                  <w:hideMark/>
                </w:tcPr>
                <w:p w14:paraId="55CF035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6.123.666,44</w:t>
                  </w:r>
                </w:p>
              </w:tc>
              <w:tc>
                <w:tcPr>
                  <w:tcW w:w="1576" w:type="dxa"/>
                  <w:tcBorders>
                    <w:top w:val="nil"/>
                    <w:left w:val="nil"/>
                    <w:bottom w:val="single" w:sz="4" w:space="0" w:color="auto"/>
                    <w:right w:val="single" w:sz="4" w:space="0" w:color="auto"/>
                  </w:tcBorders>
                  <w:shd w:val="clear" w:color="auto" w:fill="auto"/>
                  <w:noWrap/>
                  <w:vAlign w:val="center"/>
                  <w:hideMark/>
                </w:tcPr>
                <w:p w14:paraId="01C0391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1.292.500,00</w:t>
                  </w:r>
                </w:p>
              </w:tc>
              <w:tc>
                <w:tcPr>
                  <w:tcW w:w="1007" w:type="dxa"/>
                  <w:tcBorders>
                    <w:top w:val="nil"/>
                    <w:left w:val="nil"/>
                    <w:bottom w:val="nil"/>
                    <w:right w:val="nil"/>
                  </w:tcBorders>
                  <w:shd w:val="clear" w:color="auto" w:fill="auto"/>
                  <w:noWrap/>
                  <w:vAlign w:val="center"/>
                  <w:hideMark/>
                </w:tcPr>
                <w:p w14:paraId="465ACCF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34" w:type="dxa"/>
                  <w:tcBorders>
                    <w:top w:val="nil"/>
                    <w:left w:val="nil"/>
                    <w:bottom w:val="nil"/>
                    <w:right w:val="nil"/>
                  </w:tcBorders>
                  <w:shd w:val="clear" w:color="auto" w:fill="auto"/>
                  <w:noWrap/>
                  <w:vAlign w:val="center"/>
                  <w:hideMark/>
                </w:tcPr>
                <w:p w14:paraId="247626F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65" w:type="dxa"/>
                  <w:tcBorders>
                    <w:top w:val="nil"/>
                    <w:left w:val="nil"/>
                    <w:bottom w:val="nil"/>
                    <w:right w:val="nil"/>
                  </w:tcBorders>
                  <w:shd w:val="clear" w:color="auto" w:fill="auto"/>
                  <w:noWrap/>
                  <w:vAlign w:val="center"/>
                  <w:hideMark/>
                </w:tcPr>
                <w:p w14:paraId="63C2305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4FE202C3" w14:textId="77777777" w:rsidR="00F56356" w:rsidRPr="00F56356" w:rsidRDefault="00F56356" w:rsidP="00F56356">
            <w:pPr>
              <w:spacing w:after="0" w:line="360" w:lineRule="auto"/>
              <w:ind w:right="49"/>
              <w:jc w:val="center"/>
              <w:rPr>
                <w:rFonts w:ascii="Times New Roman" w:eastAsia="Times New Roman" w:hAnsi="Times New Roman" w:cs="Times New Roman"/>
                <w:color w:val="000000" w:themeColor="text1"/>
                <w:sz w:val="20"/>
                <w:szCs w:val="24"/>
                <w:lang w:eastAsia="it-IT"/>
              </w:rPr>
            </w:pPr>
          </w:p>
          <w:tbl>
            <w:tblPr>
              <w:tblW w:w="7060" w:type="dxa"/>
              <w:jc w:val="center"/>
              <w:tblCellMar>
                <w:left w:w="70" w:type="dxa"/>
                <w:right w:w="70" w:type="dxa"/>
              </w:tblCellMar>
              <w:tblLook w:val="04A0" w:firstRow="1" w:lastRow="0" w:firstColumn="1" w:lastColumn="0" w:noHBand="0" w:noVBand="1"/>
            </w:tblPr>
            <w:tblGrid>
              <w:gridCol w:w="488"/>
              <w:gridCol w:w="1647"/>
              <w:gridCol w:w="1491"/>
              <w:gridCol w:w="1014"/>
              <w:gridCol w:w="1241"/>
              <w:gridCol w:w="1179"/>
            </w:tblGrid>
            <w:tr w:rsidR="00F56356" w:rsidRPr="00F56356" w14:paraId="4A0BE0C1" w14:textId="77777777" w:rsidTr="00F56356">
              <w:trPr>
                <w:trHeight w:val="420"/>
                <w:jc w:val="center"/>
              </w:trPr>
              <w:tc>
                <w:tcPr>
                  <w:tcW w:w="70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CCC1"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IN CONTO CAPITALE</w:t>
                  </w:r>
                </w:p>
              </w:tc>
            </w:tr>
            <w:tr w:rsidR="00F56356" w:rsidRPr="00F56356" w14:paraId="25BF2565" w14:textId="77777777" w:rsidTr="00F56356">
              <w:trPr>
                <w:trHeight w:val="465"/>
                <w:jc w:val="center"/>
              </w:trPr>
              <w:tc>
                <w:tcPr>
                  <w:tcW w:w="4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BA2162"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47" w:type="dxa"/>
                  <w:vMerge w:val="restart"/>
                  <w:tcBorders>
                    <w:top w:val="nil"/>
                    <w:left w:val="single" w:sz="4" w:space="0" w:color="auto"/>
                    <w:bottom w:val="single" w:sz="4" w:space="0" w:color="auto"/>
                    <w:right w:val="single" w:sz="4" w:space="0" w:color="auto"/>
                  </w:tcBorders>
                  <w:shd w:val="clear" w:color="auto" w:fill="auto"/>
                  <w:vAlign w:val="center"/>
                  <w:hideMark/>
                </w:tcPr>
                <w:p w14:paraId="339F7B3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91" w:type="dxa"/>
                  <w:vMerge w:val="restart"/>
                  <w:tcBorders>
                    <w:top w:val="nil"/>
                    <w:left w:val="single" w:sz="4" w:space="0" w:color="auto"/>
                    <w:bottom w:val="single" w:sz="4" w:space="0" w:color="auto"/>
                    <w:right w:val="single" w:sz="4" w:space="0" w:color="auto"/>
                  </w:tcBorders>
                  <w:shd w:val="clear" w:color="auto" w:fill="auto"/>
                  <w:vAlign w:val="center"/>
                  <w:hideMark/>
                </w:tcPr>
                <w:p w14:paraId="08464220"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434" w:type="dxa"/>
                  <w:gridSpan w:val="3"/>
                  <w:tcBorders>
                    <w:top w:val="single" w:sz="4" w:space="0" w:color="auto"/>
                    <w:left w:val="nil"/>
                    <w:bottom w:val="single" w:sz="4" w:space="0" w:color="auto"/>
                    <w:right w:val="single" w:sz="4" w:space="0" w:color="000000"/>
                  </w:tcBorders>
                  <w:shd w:val="clear" w:color="auto" w:fill="auto"/>
                  <w:vAlign w:val="center"/>
                  <w:hideMark/>
                </w:tcPr>
                <w:p w14:paraId="0A637D0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1AFCDB78" w14:textId="77777777" w:rsidTr="00F56356">
              <w:trPr>
                <w:trHeight w:val="300"/>
                <w:jc w:val="center"/>
              </w:trPr>
              <w:tc>
                <w:tcPr>
                  <w:tcW w:w="488" w:type="dxa"/>
                  <w:vMerge/>
                  <w:tcBorders>
                    <w:top w:val="nil"/>
                    <w:left w:val="single" w:sz="4" w:space="0" w:color="auto"/>
                    <w:bottom w:val="single" w:sz="4" w:space="0" w:color="auto"/>
                    <w:right w:val="single" w:sz="4" w:space="0" w:color="auto"/>
                  </w:tcBorders>
                  <w:vAlign w:val="center"/>
                  <w:hideMark/>
                </w:tcPr>
                <w:p w14:paraId="310A569B"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47" w:type="dxa"/>
                  <w:vMerge/>
                  <w:tcBorders>
                    <w:top w:val="nil"/>
                    <w:left w:val="single" w:sz="4" w:space="0" w:color="auto"/>
                    <w:bottom w:val="single" w:sz="4" w:space="0" w:color="auto"/>
                    <w:right w:val="single" w:sz="4" w:space="0" w:color="auto"/>
                  </w:tcBorders>
                  <w:vAlign w:val="center"/>
                  <w:hideMark/>
                </w:tcPr>
                <w:p w14:paraId="74A933A6"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91" w:type="dxa"/>
                  <w:vMerge/>
                  <w:tcBorders>
                    <w:top w:val="nil"/>
                    <w:left w:val="single" w:sz="4" w:space="0" w:color="auto"/>
                    <w:bottom w:val="single" w:sz="4" w:space="0" w:color="auto"/>
                    <w:right w:val="single" w:sz="4" w:space="0" w:color="auto"/>
                  </w:tcBorders>
                  <w:vAlign w:val="center"/>
                  <w:hideMark/>
                </w:tcPr>
                <w:p w14:paraId="1A2F621D"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014" w:type="dxa"/>
                  <w:tcBorders>
                    <w:top w:val="nil"/>
                    <w:left w:val="nil"/>
                    <w:bottom w:val="single" w:sz="4" w:space="0" w:color="auto"/>
                    <w:right w:val="single" w:sz="4" w:space="0" w:color="auto"/>
                  </w:tcBorders>
                  <w:shd w:val="clear" w:color="auto" w:fill="auto"/>
                  <w:vAlign w:val="center"/>
                  <w:hideMark/>
                </w:tcPr>
                <w:p w14:paraId="26D3C14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41" w:type="dxa"/>
                  <w:tcBorders>
                    <w:top w:val="nil"/>
                    <w:left w:val="nil"/>
                    <w:bottom w:val="single" w:sz="4" w:space="0" w:color="auto"/>
                    <w:right w:val="single" w:sz="4" w:space="0" w:color="auto"/>
                  </w:tcBorders>
                  <w:shd w:val="clear" w:color="auto" w:fill="auto"/>
                  <w:vAlign w:val="center"/>
                  <w:hideMark/>
                </w:tcPr>
                <w:p w14:paraId="24AAE3B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79" w:type="dxa"/>
                  <w:tcBorders>
                    <w:top w:val="nil"/>
                    <w:left w:val="nil"/>
                    <w:bottom w:val="single" w:sz="4" w:space="0" w:color="auto"/>
                    <w:right w:val="single" w:sz="4" w:space="0" w:color="auto"/>
                  </w:tcBorders>
                  <w:shd w:val="clear" w:color="auto" w:fill="auto"/>
                  <w:vAlign w:val="center"/>
                  <w:hideMark/>
                </w:tcPr>
                <w:p w14:paraId="4AEDAC6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3113780B" w14:textId="77777777" w:rsidTr="00F56356">
              <w:trPr>
                <w:trHeight w:val="240"/>
                <w:jc w:val="center"/>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717C467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903</w:t>
                  </w:r>
                </w:p>
              </w:tc>
              <w:tc>
                <w:tcPr>
                  <w:tcW w:w="1647" w:type="dxa"/>
                  <w:tcBorders>
                    <w:top w:val="nil"/>
                    <w:left w:val="nil"/>
                    <w:bottom w:val="single" w:sz="4" w:space="0" w:color="auto"/>
                    <w:right w:val="single" w:sz="4" w:space="0" w:color="auto"/>
                  </w:tcBorders>
                  <w:shd w:val="clear" w:color="auto" w:fill="auto"/>
                  <w:noWrap/>
                  <w:vAlign w:val="center"/>
                  <w:hideMark/>
                </w:tcPr>
                <w:p w14:paraId="47A7FBB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210.249,00</w:t>
                  </w:r>
                </w:p>
              </w:tc>
              <w:tc>
                <w:tcPr>
                  <w:tcW w:w="1491" w:type="dxa"/>
                  <w:tcBorders>
                    <w:top w:val="nil"/>
                    <w:left w:val="nil"/>
                    <w:bottom w:val="single" w:sz="4" w:space="0" w:color="auto"/>
                    <w:right w:val="single" w:sz="4" w:space="0" w:color="auto"/>
                  </w:tcBorders>
                  <w:shd w:val="clear" w:color="auto" w:fill="auto"/>
                  <w:noWrap/>
                  <w:vAlign w:val="center"/>
                  <w:hideMark/>
                </w:tcPr>
                <w:p w14:paraId="1270E6E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10.387,95</w:t>
                  </w:r>
                </w:p>
              </w:tc>
              <w:tc>
                <w:tcPr>
                  <w:tcW w:w="1014" w:type="dxa"/>
                  <w:tcBorders>
                    <w:top w:val="nil"/>
                    <w:left w:val="nil"/>
                    <w:bottom w:val="single" w:sz="4" w:space="0" w:color="auto"/>
                    <w:right w:val="single" w:sz="4" w:space="0" w:color="auto"/>
                  </w:tcBorders>
                  <w:shd w:val="clear" w:color="auto" w:fill="auto"/>
                  <w:noWrap/>
                  <w:vAlign w:val="center"/>
                  <w:hideMark/>
                </w:tcPr>
                <w:p w14:paraId="1057586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241" w:type="dxa"/>
                  <w:tcBorders>
                    <w:top w:val="nil"/>
                    <w:left w:val="nil"/>
                    <w:bottom w:val="single" w:sz="4" w:space="0" w:color="auto"/>
                    <w:right w:val="single" w:sz="4" w:space="0" w:color="auto"/>
                  </w:tcBorders>
                  <w:shd w:val="clear" w:color="auto" w:fill="auto"/>
                  <w:noWrap/>
                  <w:vAlign w:val="center"/>
                  <w:hideMark/>
                </w:tcPr>
                <w:p w14:paraId="01E7468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95,06</w:t>
                  </w:r>
                </w:p>
              </w:tc>
              <w:tc>
                <w:tcPr>
                  <w:tcW w:w="1179" w:type="dxa"/>
                  <w:tcBorders>
                    <w:top w:val="nil"/>
                    <w:left w:val="nil"/>
                    <w:bottom w:val="single" w:sz="4" w:space="0" w:color="auto"/>
                    <w:right w:val="single" w:sz="4" w:space="0" w:color="auto"/>
                  </w:tcBorders>
                  <w:shd w:val="clear" w:color="auto" w:fill="auto"/>
                  <w:noWrap/>
                  <w:vAlign w:val="center"/>
                  <w:hideMark/>
                </w:tcPr>
                <w:p w14:paraId="2088899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15,06</w:t>
                  </w:r>
                </w:p>
              </w:tc>
            </w:tr>
            <w:tr w:rsidR="00F56356" w:rsidRPr="00F56356" w14:paraId="441ABA99" w14:textId="77777777" w:rsidTr="00F56356">
              <w:trPr>
                <w:trHeight w:val="240"/>
                <w:jc w:val="center"/>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52F1171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904</w:t>
                  </w:r>
                </w:p>
              </w:tc>
              <w:tc>
                <w:tcPr>
                  <w:tcW w:w="1647" w:type="dxa"/>
                  <w:tcBorders>
                    <w:top w:val="nil"/>
                    <w:left w:val="nil"/>
                    <w:bottom w:val="single" w:sz="4" w:space="0" w:color="auto"/>
                    <w:right w:val="single" w:sz="4" w:space="0" w:color="auto"/>
                  </w:tcBorders>
                  <w:shd w:val="clear" w:color="auto" w:fill="auto"/>
                  <w:noWrap/>
                  <w:vAlign w:val="center"/>
                  <w:hideMark/>
                </w:tcPr>
                <w:p w14:paraId="060F7FB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733.793,31</w:t>
                  </w:r>
                </w:p>
              </w:tc>
              <w:tc>
                <w:tcPr>
                  <w:tcW w:w="1491" w:type="dxa"/>
                  <w:tcBorders>
                    <w:top w:val="nil"/>
                    <w:left w:val="nil"/>
                    <w:bottom w:val="single" w:sz="4" w:space="0" w:color="auto"/>
                    <w:right w:val="single" w:sz="4" w:space="0" w:color="auto"/>
                  </w:tcBorders>
                  <w:shd w:val="clear" w:color="auto" w:fill="auto"/>
                  <w:noWrap/>
                  <w:vAlign w:val="center"/>
                  <w:hideMark/>
                </w:tcPr>
                <w:p w14:paraId="1BA31EF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563.482,69</w:t>
                  </w:r>
                </w:p>
              </w:tc>
              <w:tc>
                <w:tcPr>
                  <w:tcW w:w="1014" w:type="dxa"/>
                  <w:tcBorders>
                    <w:top w:val="nil"/>
                    <w:left w:val="nil"/>
                    <w:bottom w:val="single" w:sz="4" w:space="0" w:color="auto"/>
                    <w:right w:val="single" w:sz="4" w:space="0" w:color="auto"/>
                  </w:tcBorders>
                  <w:shd w:val="clear" w:color="auto" w:fill="auto"/>
                  <w:noWrap/>
                  <w:vAlign w:val="center"/>
                  <w:hideMark/>
                </w:tcPr>
                <w:p w14:paraId="5BE8C0C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w:t>
                  </w:r>
                </w:p>
              </w:tc>
              <w:tc>
                <w:tcPr>
                  <w:tcW w:w="1241" w:type="dxa"/>
                  <w:tcBorders>
                    <w:top w:val="nil"/>
                    <w:left w:val="nil"/>
                    <w:bottom w:val="single" w:sz="4" w:space="0" w:color="auto"/>
                    <w:right w:val="single" w:sz="4" w:space="0" w:color="auto"/>
                  </w:tcBorders>
                  <w:shd w:val="clear" w:color="auto" w:fill="auto"/>
                  <w:noWrap/>
                  <w:vAlign w:val="center"/>
                  <w:hideMark/>
                </w:tcPr>
                <w:p w14:paraId="0B3774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23,21</w:t>
                  </w:r>
                </w:p>
              </w:tc>
              <w:tc>
                <w:tcPr>
                  <w:tcW w:w="1179" w:type="dxa"/>
                  <w:tcBorders>
                    <w:top w:val="nil"/>
                    <w:left w:val="nil"/>
                    <w:bottom w:val="single" w:sz="4" w:space="0" w:color="auto"/>
                    <w:right w:val="single" w:sz="4" w:space="0" w:color="auto"/>
                  </w:tcBorders>
                  <w:shd w:val="clear" w:color="auto" w:fill="auto"/>
                  <w:noWrap/>
                  <w:vAlign w:val="center"/>
                  <w:hideMark/>
                </w:tcPr>
                <w:p w14:paraId="6985910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-51,79</w:t>
                  </w:r>
                </w:p>
              </w:tc>
            </w:tr>
            <w:tr w:rsidR="00F56356" w:rsidRPr="00F56356" w14:paraId="630C515C" w14:textId="77777777" w:rsidTr="00F56356">
              <w:trPr>
                <w:trHeight w:val="240"/>
                <w:jc w:val="center"/>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50756AB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916</w:t>
                  </w:r>
                </w:p>
              </w:tc>
              <w:tc>
                <w:tcPr>
                  <w:tcW w:w="1647" w:type="dxa"/>
                  <w:tcBorders>
                    <w:top w:val="nil"/>
                    <w:left w:val="nil"/>
                    <w:bottom w:val="single" w:sz="4" w:space="0" w:color="auto"/>
                    <w:right w:val="single" w:sz="4" w:space="0" w:color="auto"/>
                  </w:tcBorders>
                  <w:shd w:val="clear" w:color="auto" w:fill="auto"/>
                  <w:noWrap/>
                  <w:vAlign w:val="center"/>
                  <w:hideMark/>
                </w:tcPr>
                <w:p w14:paraId="438C580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28.311.609,36</w:t>
                  </w:r>
                </w:p>
              </w:tc>
              <w:tc>
                <w:tcPr>
                  <w:tcW w:w="1491" w:type="dxa"/>
                  <w:tcBorders>
                    <w:top w:val="nil"/>
                    <w:left w:val="nil"/>
                    <w:bottom w:val="single" w:sz="4" w:space="0" w:color="auto"/>
                    <w:right w:val="single" w:sz="4" w:space="0" w:color="auto"/>
                  </w:tcBorders>
                  <w:shd w:val="clear" w:color="auto" w:fill="auto"/>
                  <w:noWrap/>
                  <w:vAlign w:val="center"/>
                  <w:hideMark/>
                </w:tcPr>
                <w:p w14:paraId="7A1A0B6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189.372,66</w:t>
                  </w:r>
                </w:p>
              </w:tc>
              <w:tc>
                <w:tcPr>
                  <w:tcW w:w="1014" w:type="dxa"/>
                  <w:tcBorders>
                    <w:top w:val="nil"/>
                    <w:left w:val="nil"/>
                    <w:bottom w:val="single" w:sz="4" w:space="0" w:color="auto"/>
                    <w:right w:val="single" w:sz="4" w:space="0" w:color="auto"/>
                  </w:tcBorders>
                  <w:shd w:val="clear" w:color="auto" w:fill="auto"/>
                  <w:noWrap/>
                  <w:vAlign w:val="center"/>
                  <w:hideMark/>
                </w:tcPr>
                <w:p w14:paraId="5434B98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241" w:type="dxa"/>
                  <w:tcBorders>
                    <w:top w:val="nil"/>
                    <w:left w:val="nil"/>
                    <w:bottom w:val="single" w:sz="4" w:space="0" w:color="auto"/>
                    <w:right w:val="single" w:sz="4" w:space="0" w:color="auto"/>
                  </w:tcBorders>
                  <w:shd w:val="clear" w:color="auto" w:fill="auto"/>
                  <w:noWrap/>
                  <w:vAlign w:val="center"/>
                  <w:hideMark/>
                </w:tcPr>
                <w:p w14:paraId="05BF1A3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99,33</w:t>
                  </w:r>
                </w:p>
              </w:tc>
              <w:tc>
                <w:tcPr>
                  <w:tcW w:w="1179" w:type="dxa"/>
                  <w:tcBorders>
                    <w:top w:val="nil"/>
                    <w:left w:val="nil"/>
                    <w:bottom w:val="single" w:sz="4" w:space="0" w:color="auto"/>
                    <w:right w:val="single" w:sz="4" w:space="0" w:color="auto"/>
                  </w:tcBorders>
                  <w:shd w:val="clear" w:color="auto" w:fill="auto"/>
                  <w:noWrap/>
                  <w:vAlign w:val="center"/>
                  <w:hideMark/>
                </w:tcPr>
                <w:p w14:paraId="0F5C4D4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29,33</w:t>
                  </w:r>
                </w:p>
              </w:tc>
            </w:tr>
            <w:tr w:rsidR="00F56356" w:rsidRPr="00F56356" w14:paraId="46FD11AB" w14:textId="77777777" w:rsidTr="00F56356">
              <w:trPr>
                <w:trHeight w:val="240"/>
                <w:jc w:val="center"/>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6A9A30B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981</w:t>
                  </w:r>
                </w:p>
              </w:tc>
              <w:tc>
                <w:tcPr>
                  <w:tcW w:w="1647" w:type="dxa"/>
                  <w:tcBorders>
                    <w:top w:val="nil"/>
                    <w:left w:val="nil"/>
                    <w:bottom w:val="single" w:sz="4" w:space="0" w:color="auto"/>
                    <w:right w:val="single" w:sz="4" w:space="0" w:color="auto"/>
                  </w:tcBorders>
                  <w:shd w:val="clear" w:color="auto" w:fill="auto"/>
                  <w:noWrap/>
                  <w:vAlign w:val="center"/>
                  <w:hideMark/>
                </w:tcPr>
                <w:p w14:paraId="384B540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491" w:type="dxa"/>
                  <w:tcBorders>
                    <w:top w:val="nil"/>
                    <w:left w:val="nil"/>
                    <w:bottom w:val="single" w:sz="4" w:space="0" w:color="auto"/>
                    <w:right w:val="single" w:sz="4" w:space="0" w:color="auto"/>
                  </w:tcBorders>
                  <w:shd w:val="clear" w:color="auto" w:fill="auto"/>
                  <w:noWrap/>
                  <w:vAlign w:val="center"/>
                  <w:hideMark/>
                </w:tcPr>
                <w:p w14:paraId="3CE2E32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014" w:type="dxa"/>
                  <w:tcBorders>
                    <w:top w:val="nil"/>
                    <w:left w:val="nil"/>
                    <w:bottom w:val="single" w:sz="4" w:space="0" w:color="auto"/>
                    <w:right w:val="single" w:sz="4" w:space="0" w:color="auto"/>
                  </w:tcBorders>
                  <w:shd w:val="clear" w:color="auto" w:fill="auto"/>
                  <w:noWrap/>
                  <w:vAlign w:val="center"/>
                  <w:hideMark/>
                </w:tcPr>
                <w:p w14:paraId="67308CB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41" w:type="dxa"/>
                  <w:tcBorders>
                    <w:top w:val="nil"/>
                    <w:left w:val="nil"/>
                    <w:bottom w:val="single" w:sz="4" w:space="0" w:color="auto"/>
                    <w:right w:val="single" w:sz="4" w:space="0" w:color="auto"/>
                  </w:tcBorders>
                  <w:shd w:val="clear" w:color="auto" w:fill="auto"/>
                  <w:noWrap/>
                  <w:vAlign w:val="center"/>
                  <w:hideMark/>
                </w:tcPr>
                <w:p w14:paraId="4C92D12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79" w:type="dxa"/>
                  <w:tcBorders>
                    <w:top w:val="nil"/>
                    <w:left w:val="nil"/>
                    <w:bottom w:val="single" w:sz="4" w:space="0" w:color="auto"/>
                    <w:right w:val="single" w:sz="4" w:space="0" w:color="auto"/>
                  </w:tcBorders>
                  <w:shd w:val="clear" w:color="auto" w:fill="auto"/>
                  <w:noWrap/>
                  <w:vAlign w:val="center"/>
                  <w:hideMark/>
                </w:tcPr>
                <w:p w14:paraId="376F61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7CF100D" w14:textId="77777777" w:rsidTr="00F56356">
              <w:trPr>
                <w:trHeight w:val="240"/>
                <w:jc w:val="center"/>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759BAB9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986</w:t>
                  </w:r>
                </w:p>
              </w:tc>
              <w:tc>
                <w:tcPr>
                  <w:tcW w:w="1647" w:type="dxa"/>
                  <w:tcBorders>
                    <w:top w:val="nil"/>
                    <w:left w:val="nil"/>
                    <w:bottom w:val="single" w:sz="4" w:space="0" w:color="auto"/>
                    <w:right w:val="single" w:sz="4" w:space="0" w:color="auto"/>
                  </w:tcBorders>
                  <w:shd w:val="clear" w:color="auto" w:fill="auto"/>
                  <w:noWrap/>
                  <w:vAlign w:val="center"/>
                  <w:hideMark/>
                </w:tcPr>
                <w:p w14:paraId="7013350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39.776,48</w:t>
                  </w:r>
                </w:p>
              </w:tc>
              <w:tc>
                <w:tcPr>
                  <w:tcW w:w="1491" w:type="dxa"/>
                  <w:tcBorders>
                    <w:top w:val="nil"/>
                    <w:left w:val="nil"/>
                    <w:bottom w:val="single" w:sz="4" w:space="0" w:color="auto"/>
                    <w:right w:val="single" w:sz="4" w:space="0" w:color="auto"/>
                  </w:tcBorders>
                  <w:shd w:val="clear" w:color="auto" w:fill="auto"/>
                  <w:noWrap/>
                  <w:vAlign w:val="center"/>
                  <w:hideMark/>
                </w:tcPr>
                <w:p w14:paraId="2BE5E73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15.971,52</w:t>
                  </w:r>
                </w:p>
              </w:tc>
              <w:tc>
                <w:tcPr>
                  <w:tcW w:w="1014" w:type="dxa"/>
                  <w:tcBorders>
                    <w:top w:val="nil"/>
                    <w:left w:val="nil"/>
                    <w:bottom w:val="single" w:sz="4" w:space="0" w:color="auto"/>
                    <w:right w:val="single" w:sz="4" w:space="0" w:color="auto"/>
                  </w:tcBorders>
                  <w:shd w:val="clear" w:color="auto" w:fill="auto"/>
                  <w:noWrap/>
                  <w:vAlign w:val="center"/>
                  <w:hideMark/>
                </w:tcPr>
                <w:p w14:paraId="2DE51B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41" w:type="dxa"/>
                  <w:tcBorders>
                    <w:top w:val="nil"/>
                    <w:left w:val="nil"/>
                    <w:bottom w:val="single" w:sz="4" w:space="0" w:color="auto"/>
                    <w:right w:val="single" w:sz="4" w:space="0" w:color="auto"/>
                  </w:tcBorders>
                  <w:shd w:val="clear" w:color="auto" w:fill="auto"/>
                  <w:noWrap/>
                  <w:vAlign w:val="center"/>
                  <w:hideMark/>
                </w:tcPr>
                <w:p w14:paraId="494BA04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59,85</w:t>
                  </w:r>
                </w:p>
              </w:tc>
              <w:tc>
                <w:tcPr>
                  <w:tcW w:w="1179" w:type="dxa"/>
                  <w:tcBorders>
                    <w:top w:val="nil"/>
                    <w:left w:val="nil"/>
                    <w:bottom w:val="single" w:sz="4" w:space="0" w:color="auto"/>
                    <w:right w:val="single" w:sz="4" w:space="0" w:color="auto"/>
                  </w:tcBorders>
                  <w:shd w:val="clear" w:color="auto" w:fill="auto"/>
                  <w:noWrap/>
                  <w:vAlign w:val="center"/>
                  <w:hideMark/>
                </w:tcPr>
                <w:p w14:paraId="7550CCD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-40,15</w:t>
                  </w:r>
                </w:p>
              </w:tc>
            </w:tr>
            <w:tr w:rsidR="00F56356" w:rsidRPr="00F56356" w14:paraId="1AAE1BF2" w14:textId="77777777" w:rsidTr="00F56356">
              <w:trPr>
                <w:trHeight w:val="315"/>
                <w:jc w:val="center"/>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14:paraId="1DA7823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47" w:type="dxa"/>
                  <w:tcBorders>
                    <w:top w:val="nil"/>
                    <w:left w:val="nil"/>
                    <w:bottom w:val="single" w:sz="4" w:space="0" w:color="auto"/>
                    <w:right w:val="single" w:sz="4" w:space="0" w:color="auto"/>
                  </w:tcBorders>
                  <w:shd w:val="clear" w:color="auto" w:fill="auto"/>
                  <w:noWrap/>
                  <w:vAlign w:val="center"/>
                  <w:hideMark/>
                </w:tcPr>
                <w:p w14:paraId="3E3A3F82"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29.295.430,15</w:t>
                  </w:r>
                </w:p>
              </w:tc>
              <w:tc>
                <w:tcPr>
                  <w:tcW w:w="1491" w:type="dxa"/>
                  <w:tcBorders>
                    <w:top w:val="nil"/>
                    <w:left w:val="nil"/>
                    <w:bottom w:val="single" w:sz="4" w:space="0" w:color="auto"/>
                    <w:right w:val="single" w:sz="4" w:space="0" w:color="auto"/>
                  </w:tcBorders>
                  <w:shd w:val="clear" w:color="auto" w:fill="auto"/>
                  <w:noWrap/>
                  <w:vAlign w:val="center"/>
                  <w:hideMark/>
                </w:tcPr>
                <w:p w14:paraId="5BA3306C"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779.216,82</w:t>
                  </w:r>
                </w:p>
              </w:tc>
              <w:tc>
                <w:tcPr>
                  <w:tcW w:w="1014" w:type="dxa"/>
                  <w:tcBorders>
                    <w:top w:val="nil"/>
                    <w:left w:val="nil"/>
                    <w:bottom w:val="nil"/>
                    <w:right w:val="nil"/>
                  </w:tcBorders>
                  <w:shd w:val="clear" w:color="auto" w:fill="auto"/>
                  <w:noWrap/>
                  <w:vAlign w:val="center"/>
                  <w:hideMark/>
                </w:tcPr>
                <w:p w14:paraId="1E85830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41" w:type="dxa"/>
                  <w:tcBorders>
                    <w:top w:val="nil"/>
                    <w:left w:val="nil"/>
                    <w:bottom w:val="nil"/>
                    <w:right w:val="nil"/>
                  </w:tcBorders>
                  <w:shd w:val="clear" w:color="auto" w:fill="auto"/>
                  <w:noWrap/>
                  <w:vAlign w:val="center"/>
                  <w:hideMark/>
                </w:tcPr>
                <w:p w14:paraId="0300EE6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79" w:type="dxa"/>
                  <w:tcBorders>
                    <w:top w:val="nil"/>
                    <w:left w:val="nil"/>
                    <w:bottom w:val="nil"/>
                    <w:right w:val="nil"/>
                  </w:tcBorders>
                  <w:shd w:val="clear" w:color="auto" w:fill="auto"/>
                  <w:noWrap/>
                  <w:vAlign w:val="center"/>
                  <w:hideMark/>
                </w:tcPr>
                <w:p w14:paraId="55C5A74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2472C74A"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sz w:val="24"/>
                <w:szCs w:val="24"/>
                <w:lang w:eastAsia="it-IT"/>
              </w:rPr>
              <w:lastRenderedPageBreak/>
              <w:t>2.2</w:t>
            </w:r>
            <w:r w:rsidRPr="00F56356">
              <w:rPr>
                <w:rFonts w:ascii="Times New Roman" w:eastAsia="Times New Roman" w:hAnsi="Times New Roman" w:cs="Times New Roman"/>
                <w:sz w:val="24"/>
                <w:szCs w:val="24"/>
                <w:lang w:eastAsia="it-IT"/>
              </w:rPr>
              <w:t xml:space="preserve"> Le risorse impegnate, pari a euro 67.343.599,99 sono state destinate per euro 42.161,72 </w:t>
            </w:r>
            <w:r w:rsidRPr="00F56356">
              <w:rPr>
                <w:rFonts w:ascii="Times New Roman" w:eastAsia="Times New Roman" w:hAnsi="Times New Roman" w:cs="Times New Roman"/>
                <w:color w:val="000000" w:themeColor="text1"/>
                <w:sz w:val="24"/>
                <w:szCs w:val="24"/>
                <w:lang w:eastAsia="it-IT"/>
              </w:rPr>
              <w:t>al funzionamento, per euro 5.066.593,29 agli interventi ed euro 62.234.844,98 alle spese in conto capitale.</w:t>
            </w:r>
          </w:p>
          <w:p w14:paraId="62543A72" w14:textId="77777777" w:rsidR="00F56356" w:rsidRPr="00F56356" w:rsidRDefault="00F56356" w:rsidP="00F56356">
            <w:pPr>
              <w:spacing w:after="0" w:line="360" w:lineRule="auto"/>
              <w:ind w:left="284"/>
              <w:jc w:val="both"/>
              <w:rPr>
                <w:rFonts w:ascii="Times New Roman" w:eastAsia="Times New Roman" w:hAnsi="Times New Roman" w:cs="Times New Roman"/>
                <w:b/>
                <w:sz w:val="16"/>
                <w:szCs w:val="24"/>
                <w:lang w:eastAsia="it-IT"/>
              </w:rPr>
            </w:pPr>
          </w:p>
          <w:p w14:paraId="54531C1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 xml:space="preserve">Le risorse impegnate per il funzionamento di euro 42.161,72 </w:t>
            </w:r>
            <w:r w:rsidRPr="00F56356">
              <w:rPr>
                <w:rFonts w:ascii="Times New Roman" w:eastAsia="Times New Roman" w:hAnsi="Times New Roman" w:cs="Times New Roman"/>
                <w:color w:val="000000" w:themeColor="text1"/>
                <w:sz w:val="24"/>
                <w:szCs w:val="24"/>
                <w:lang w:eastAsia="it-IT"/>
              </w:rPr>
              <w:t xml:space="preserve">sono state destinate ai rimborsi delle spese di missione in Italia e all’estero del personale in servizio, nonché all’acquisizione di un servizio di geolocalizzazione di iniziative culturali (ditta Centro Studi </w:t>
            </w:r>
            <w:proofErr w:type="spellStart"/>
            <w:r w:rsidRPr="00F56356">
              <w:rPr>
                <w:rFonts w:ascii="Times New Roman" w:eastAsia="Times New Roman" w:hAnsi="Times New Roman" w:cs="Times New Roman"/>
                <w:color w:val="000000" w:themeColor="text1"/>
                <w:sz w:val="24"/>
                <w:szCs w:val="24"/>
                <w:lang w:eastAsia="it-IT"/>
              </w:rPr>
              <w:t>Pluriversum</w:t>
            </w:r>
            <w:proofErr w:type="spellEnd"/>
            <w:r w:rsidRPr="00F56356">
              <w:rPr>
                <w:rFonts w:ascii="Times New Roman" w:eastAsia="Times New Roman" w:hAnsi="Times New Roman" w:cs="Times New Roman"/>
                <w:color w:val="000000" w:themeColor="text1"/>
                <w:sz w:val="24"/>
                <w:szCs w:val="24"/>
                <w:lang w:eastAsia="it-IT"/>
              </w:rPr>
              <w:t xml:space="preserve"> s.r.l.) (cap. 212).</w:t>
            </w:r>
          </w:p>
          <w:p w14:paraId="1368FDFD" w14:textId="77777777" w:rsidR="00F56356" w:rsidRPr="00F56356" w:rsidRDefault="00F56356" w:rsidP="00F56356">
            <w:pPr>
              <w:tabs>
                <w:tab w:val="left" w:pos="3975"/>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77696" behindDoc="1" locked="0" layoutInCell="1" allowOverlap="1" wp14:anchorId="546656E3" wp14:editId="752018A1">
                  <wp:simplePos x="0" y="0"/>
                  <wp:positionH relativeFrom="margin">
                    <wp:posOffset>201930</wp:posOffset>
                  </wp:positionH>
                  <wp:positionV relativeFrom="paragraph">
                    <wp:posOffset>263525</wp:posOffset>
                  </wp:positionV>
                  <wp:extent cx="5831840" cy="1370965"/>
                  <wp:effectExtent l="0" t="0" r="0" b="635"/>
                  <wp:wrapTight wrapText="bothSides">
                    <wp:wrapPolygon edited="0">
                      <wp:start x="0" y="0"/>
                      <wp:lineTo x="0" y="21310"/>
                      <wp:lineTo x="11854" y="21310"/>
                      <wp:lineTo x="11854" y="19209"/>
                      <wp:lineTo x="21520" y="18609"/>
                      <wp:lineTo x="21520" y="16208"/>
                      <wp:lineTo x="20885" y="14407"/>
                      <wp:lineTo x="21520" y="14107"/>
                      <wp:lineTo x="21520" y="8104"/>
                      <wp:lineTo x="21167" y="4802"/>
                      <wp:lineTo x="21449" y="4802"/>
                      <wp:lineTo x="21520" y="3602"/>
                      <wp:lineTo x="21520" y="0"/>
                      <wp:lineTo x="0" y="0"/>
                    </wp:wrapPolygon>
                  </wp:wrapTight>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184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356">
              <w:rPr>
                <w:rFonts w:ascii="Times New Roman" w:eastAsia="Times New Roman" w:hAnsi="Times New Roman" w:cs="Times New Roman"/>
                <w:sz w:val="24"/>
                <w:szCs w:val="24"/>
                <w:lang w:eastAsia="it-IT"/>
              </w:rPr>
              <w:tab/>
              <w:t>Indicatori di bilancio</w:t>
            </w:r>
          </w:p>
          <w:p w14:paraId="3DE49AC4" w14:textId="77777777" w:rsidR="00F56356" w:rsidRPr="00F56356" w:rsidRDefault="00F56356" w:rsidP="00F56356">
            <w:pPr>
              <w:tabs>
                <w:tab w:val="left" w:pos="3975"/>
              </w:tabs>
              <w:spacing w:after="0" w:line="360" w:lineRule="auto"/>
              <w:ind w:left="284"/>
              <w:jc w:val="both"/>
              <w:rPr>
                <w:rFonts w:ascii="Times New Roman" w:eastAsia="Times New Roman" w:hAnsi="Times New Roman" w:cs="Times New Roman"/>
                <w:sz w:val="24"/>
                <w:szCs w:val="24"/>
                <w:lang w:eastAsia="it-IT"/>
              </w:rPr>
            </w:pPr>
          </w:p>
          <w:p w14:paraId="06123277" w14:textId="77777777" w:rsidR="00F56356" w:rsidRPr="00F56356" w:rsidRDefault="00F56356" w:rsidP="00F56356">
            <w:pPr>
              <w:spacing w:after="0" w:line="240" w:lineRule="auto"/>
              <w:ind w:right="-1"/>
              <w:jc w:val="center"/>
              <w:rPr>
                <w:rFonts w:ascii="Times New Roman" w:eastAsia="Times New Roman" w:hAnsi="Times New Roman" w:cs="Times New Roman"/>
                <w:sz w:val="4"/>
                <w:szCs w:val="16"/>
                <w:lang w:eastAsia="it-IT"/>
              </w:rPr>
            </w:pPr>
          </w:p>
          <w:p w14:paraId="0326A9DE" w14:textId="77777777" w:rsidR="00F56356" w:rsidRPr="00F56356" w:rsidRDefault="00F56356" w:rsidP="00F56356">
            <w:pPr>
              <w:spacing w:after="0" w:line="240" w:lineRule="auto"/>
              <w:ind w:left="426" w:right="-142"/>
              <w:jc w:val="both"/>
              <w:rPr>
                <w:rFonts w:eastAsia="Times New Roman" w:cstheme="minorHAnsi"/>
                <w:color w:val="000000" w:themeColor="text1"/>
                <w:sz w:val="14"/>
                <w:szCs w:val="14"/>
                <w:lang w:eastAsia="it-IT"/>
              </w:rPr>
            </w:pPr>
            <w:r w:rsidRPr="00F56356">
              <w:rPr>
                <w:rFonts w:ascii="Times New Roman" w:eastAsia="Times New Roman" w:hAnsi="Times New Roman" w:cs="Times New Roman"/>
                <w:i/>
                <w:color w:val="000000" w:themeColor="text1"/>
                <w:sz w:val="16"/>
                <w:szCs w:val="16"/>
                <w:lang w:eastAsia="it-IT"/>
              </w:rPr>
              <w:t>(*)</w:t>
            </w:r>
            <w:r w:rsidRPr="00F56356">
              <w:rPr>
                <w:rFonts w:ascii="Times New Roman" w:eastAsia="Times New Roman" w:hAnsi="Times New Roman" w:cs="Times New Roman"/>
                <w:b/>
                <w:i/>
                <w:color w:val="000000" w:themeColor="text1"/>
                <w:sz w:val="16"/>
                <w:szCs w:val="16"/>
                <w:lang w:eastAsia="it-IT"/>
              </w:rPr>
              <w:t xml:space="preserve"> </w:t>
            </w:r>
            <w:r w:rsidRPr="00F56356">
              <w:rPr>
                <w:rFonts w:ascii="Times New Roman" w:eastAsia="Times New Roman" w:hAnsi="Times New Roman" w:cs="Times New Roman"/>
                <w:i/>
                <w:color w:val="000000" w:themeColor="text1"/>
                <w:sz w:val="16"/>
                <w:szCs w:val="16"/>
                <w:lang w:eastAsia="it-IT"/>
              </w:rPr>
              <w:t>Le risorse stanziate per il personale (cap.211) e per gli esperti (cap.212 pg2) assegnate alla Struttura sono state trasferite sui pertinenti capitoli di spesa 124 e 125, iscritti nel CR 1 “Segretariato generale”, per la gestione in forma accentrata da parte del Dipartimento per il personale</w:t>
            </w:r>
            <w:r w:rsidRPr="00F56356">
              <w:rPr>
                <w:rFonts w:eastAsia="Times New Roman" w:cstheme="minorHAnsi"/>
                <w:color w:val="000000" w:themeColor="text1"/>
                <w:sz w:val="14"/>
                <w:szCs w:val="14"/>
                <w:lang w:eastAsia="it-IT"/>
              </w:rPr>
              <w:t>.</w:t>
            </w:r>
          </w:p>
          <w:p w14:paraId="7D4F6AAF" w14:textId="77777777" w:rsidR="00F56356" w:rsidRPr="00F56356" w:rsidRDefault="00F56356" w:rsidP="00F56356">
            <w:pPr>
              <w:spacing w:after="0" w:line="240" w:lineRule="auto"/>
              <w:ind w:left="284" w:right="-1"/>
              <w:jc w:val="both"/>
              <w:rPr>
                <w:rFonts w:eastAsia="Times New Roman" w:cstheme="minorHAnsi"/>
                <w:sz w:val="16"/>
                <w:szCs w:val="16"/>
                <w:lang w:eastAsia="it-IT"/>
              </w:rPr>
            </w:pPr>
          </w:p>
          <w:p w14:paraId="6ABCAEE4" w14:textId="77777777" w:rsidR="00F56356" w:rsidRPr="00F56356" w:rsidRDefault="00F56356" w:rsidP="00F56356">
            <w:pPr>
              <w:spacing w:after="0" w:line="240" w:lineRule="auto"/>
              <w:ind w:left="284" w:right="-1"/>
              <w:jc w:val="both"/>
              <w:rPr>
                <w:rFonts w:eastAsia="Times New Roman" w:cstheme="minorHAnsi"/>
                <w:sz w:val="16"/>
                <w:szCs w:val="16"/>
                <w:lang w:eastAsia="it-IT"/>
              </w:rPr>
            </w:pPr>
          </w:p>
          <w:p w14:paraId="638E4036" w14:textId="77777777" w:rsidR="00F56356" w:rsidRPr="00F56356" w:rsidRDefault="00F56356" w:rsidP="00F56356">
            <w:pPr>
              <w:spacing w:after="0" w:line="240" w:lineRule="auto"/>
              <w:ind w:left="284" w:right="-1"/>
              <w:jc w:val="both"/>
              <w:rPr>
                <w:rFonts w:eastAsia="Times New Roman" w:cstheme="minorHAnsi"/>
                <w:sz w:val="4"/>
                <w:szCs w:val="16"/>
                <w:lang w:eastAsia="it-IT"/>
              </w:rPr>
            </w:pPr>
          </w:p>
          <w:p w14:paraId="63423A39" w14:textId="77777777" w:rsidR="00F56356" w:rsidRPr="00F56356" w:rsidRDefault="00F56356" w:rsidP="00F56356">
            <w:pPr>
              <w:spacing w:after="0" w:line="240" w:lineRule="auto"/>
              <w:ind w:left="284" w:right="-1"/>
              <w:jc w:val="both"/>
              <w:rPr>
                <w:rFonts w:eastAsia="Times New Roman" w:cstheme="minorHAnsi"/>
                <w:sz w:val="16"/>
                <w:szCs w:val="16"/>
                <w:lang w:eastAsia="it-IT"/>
              </w:rPr>
            </w:pPr>
          </w:p>
          <w:p w14:paraId="7EC0780B" w14:textId="77777777" w:rsidR="00F56356" w:rsidRPr="00F56356" w:rsidRDefault="00F56356" w:rsidP="00F56356">
            <w:pPr>
              <w:spacing w:after="0" w:line="240" w:lineRule="auto"/>
              <w:ind w:left="284" w:right="-1"/>
              <w:jc w:val="both"/>
              <w:rPr>
                <w:rFonts w:ascii="Times New Roman" w:eastAsia="Times New Roman" w:hAnsi="Times New Roman" w:cs="Times New Roman"/>
                <w:sz w:val="2"/>
                <w:szCs w:val="16"/>
                <w:lang w:eastAsia="it-IT"/>
              </w:rPr>
            </w:pPr>
          </w:p>
          <w:p w14:paraId="38CA27F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Le risorse impegnate relative agli interventi pari a euro 5.066.593,29, di</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cui euro 587.157,32 riferiti a reiscrizioni di residui passivi perenti, sono state destinate:</w:t>
            </w:r>
          </w:p>
          <w:p w14:paraId="3E6B42C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 xml:space="preserve">“Spese inerenti </w:t>
            </w:r>
            <w:proofErr w:type="gramStart"/>
            <w:r w:rsidRPr="00F56356">
              <w:rPr>
                <w:rFonts w:ascii="Times New Roman" w:eastAsia="Times New Roman" w:hAnsi="Times New Roman" w:cs="Times New Roman"/>
                <w:i/>
                <w:color w:val="000000" w:themeColor="text1"/>
                <w:sz w:val="24"/>
                <w:szCs w:val="24"/>
                <w:lang w:eastAsia="it-IT"/>
              </w:rPr>
              <w:t>il</w:t>
            </w:r>
            <w:proofErr w:type="gramEnd"/>
            <w:r w:rsidRPr="00F56356">
              <w:rPr>
                <w:rFonts w:ascii="Times New Roman" w:eastAsia="Times New Roman" w:hAnsi="Times New Roman" w:cs="Times New Roman"/>
                <w:i/>
                <w:color w:val="000000" w:themeColor="text1"/>
                <w:sz w:val="24"/>
                <w:szCs w:val="24"/>
                <w:lang w:eastAsia="it-IT"/>
              </w:rPr>
              <w:t xml:space="preserve"> contenzioso e le attività residuali connesse alle competenze attribuite alla struttura di missione per la valorizzazione degli anniversari nazionali e della dimensione partecipativa delle nuove generazioni”</w:t>
            </w:r>
            <w:r w:rsidRPr="00F56356">
              <w:rPr>
                <w:rFonts w:ascii="Times New Roman" w:eastAsia="Times New Roman" w:hAnsi="Times New Roman" w:cs="Times New Roman"/>
                <w:color w:val="000000" w:themeColor="text1"/>
                <w:sz w:val="24"/>
                <w:szCs w:val="24"/>
                <w:lang w:eastAsia="it-IT"/>
              </w:rPr>
              <w:t xml:space="preserve"> (cap. 203)</w:t>
            </w:r>
          </w:p>
          <w:p w14:paraId="33ECF02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1.430.739,73 alla definizione delle residue attività e delle pendenze giurisdizionali tra cui quelle connesse alla ricorrenza del centocinquantenario dell’Unità d’Italia, della Presidenza Italiana del G8, nonché Grande Evento relativo ai Mondiali di Nuoto Roma 2009;</w:t>
            </w:r>
          </w:p>
          <w:p w14:paraId="23C5122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w:t>
            </w:r>
            <w:r w:rsidRPr="00F56356">
              <w:rPr>
                <w:rFonts w:ascii="Times New Roman" w:eastAsia="Times New Roman" w:hAnsi="Times New Roman" w:cs="Times New Roman"/>
                <w:i/>
                <w:color w:val="000000" w:themeColor="text1"/>
                <w:sz w:val="24"/>
                <w:szCs w:val="24"/>
                <w:lang w:eastAsia="it-IT"/>
              </w:rPr>
              <w:t>“Somme destinate al Milan Center for Food Law and Policy”</w:t>
            </w:r>
            <w:r w:rsidRPr="00F56356">
              <w:rPr>
                <w:rFonts w:ascii="Times New Roman" w:eastAsia="Times New Roman" w:hAnsi="Times New Roman" w:cs="Times New Roman"/>
                <w:color w:val="000000" w:themeColor="text1"/>
                <w:sz w:val="24"/>
                <w:szCs w:val="24"/>
                <w:lang w:eastAsia="it-IT"/>
              </w:rPr>
              <w:t xml:space="preserve"> (cap. 204)</w:t>
            </w:r>
          </w:p>
          <w:p w14:paraId="5A565F2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500.000,00 a favore del </w:t>
            </w:r>
            <w:r w:rsidRPr="00F56356">
              <w:rPr>
                <w:rFonts w:ascii="Times New Roman" w:eastAsia="Times New Roman" w:hAnsi="Times New Roman" w:cs="Times New Roman"/>
                <w:i/>
                <w:color w:val="000000" w:themeColor="text1"/>
                <w:sz w:val="24"/>
                <w:szCs w:val="24"/>
                <w:lang w:eastAsia="it-IT"/>
              </w:rPr>
              <w:t>Milan Center Food Law and Policy</w:t>
            </w:r>
            <w:r w:rsidRPr="00F56356">
              <w:rPr>
                <w:rFonts w:ascii="Times New Roman" w:eastAsia="Times New Roman" w:hAnsi="Times New Roman" w:cs="Times New Roman"/>
                <w:color w:val="000000" w:themeColor="text1"/>
                <w:sz w:val="24"/>
                <w:szCs w:val="24"/>
                <w:lang w:eastAsia="it-IT"/>
              </w:rPr>
              <w:t xml:space="preserve">, tramite apposita convenzione, </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al fine di potenziare le attività volte alla realizzazione degli obiettivi che l’Italia si è impegnata a raggiungere nell’ambito dello sviluppo sostenibile e degli obiettivi indicati nel documento dell’Organizzazione delle Nazioni Unite “Agenda 2030 per lo sviluppo sostenibile”, nonché per la realizzazione di eventi e iniziative ad essi collegati, a partire dalla candidatura dell’Italia a ospitare la 26° sessione della Convenzione Quadro delle Nazioni Unite sui cambiamenti climatici, e in continuità con EXPO 2015 e con la Carta di Milano. Si rappresenta che il decreto-legge 30 dicembre 2019, n. 162, convertito, con modificazioni, dalla legge 28 febbraio 2020, n. 8, ha modificato, ex articolo 28, comma 3-bis, la legge 27 dicembre 2017, n. 205, art.1, comma 500, ha </w:t>
            </w:r>
            <w:r w:rsidRPr="00F56356">
              <w:rPr>
                <w:rFonts w:ascii="Times New Roman" w:eastAsia="Times New Roman" w:hAnsi="Times New Roman" w:cs="Times New Roman"/>
                <w:color w:val="000000" w:themeColor="text1"/>
                <w:sz w:val="24"/>
                <w:szCs w:val="24"/>
                <w:lang w:eastAsia="it-IT"/>
              </w:rPr>
              <w:lastRenderedPageBreak/>
              <w:t>esteso agli esercizi finanziari 2021 e 2022 il contributo di euro 500.000,00 per ciascun anno, in favore del Milan Center for Food Law and Policy per le succitate attività. La Struttura, ai sensi della succitata disposizione, ha provveduto a sottoscrivere in data 9 dicembre 2021 apposita convenzione con l’ente beneficiario. A tal proposito, si precisa, che in seguito a specifica richiesta del Milan Center, sono state autorizzate la rimodulazione delle attività progettuali – senza ulteriori oneri finanziari - e la proroga del termine di durata della suddetta convenzione al 30 giugno 2024. Si rappresenta, pertanto, che nell’esercizio di competenza 2022 non sono state avanzate richieste di saldo, per l’appunto posticipate a giugno 2024;</w:t>
            </w:r>
          </w:p>
          <w:p w14:paraId="3E8D0DB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“Somme occorrenti per il finanziamento delle iniziative promosse dalla confederazione delle associazioni combattentistiche e partigiane per la celebrazione del settantesimo anniversario della Resistenza e della guerra di liberazione”</w:t>
            </w:r>
            <w:r w:rsidRPr="00F56356">
              <w:rPr>
                <w:rFonts w:ascii="Times New Roman" w:eastAsia="Times New Roman" w:hAnsi="Times New Roman" w:cs="Times New Roman"/>
                <w:color w:val="000000" w:themeColor="text1"/>
                <w:sz w:val="24"/>
                <w:szCs w:val="24"/>
                <w:lang w:eastAsia="it-IT"/>
              </w:rPr>
              <w:t xml:space="preserve"> (cap. 208)</w:t>
            </w:r>
          </w:p>
          <w:p w14:paraId="4455232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20.000,00 riferiti a reiscrizioni di residui passivi perenti;</w:t>
            </w:r>
          </w:p>
          <w:p w14:paraId="1132E6B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i/>
                <w:color w:val="000000" w:themeColor="text1"/>
                <w:sz w:val="24"/>
                <w:szCs w:val="24"/>
                <w:lang w:eastAsia="it-IT"/>
              </w:rPr>
              <w:t xml:space="preserve"> “Somme occorrenti alla promozione e lo svolgimento delle celebrazioni del settantesimo anniversario della Repubblica Italiana e del riconoscimento dei diritti elettorali delle donne nonché del centenario della nascita di Aldo Moro” </w:t>
            </w:r>
            <w:r w:rsidRPr="00F56356">
              <w:rPr>
                <w:rFonts w:ascii="Times New Roman" w:eastAsia="Times New Roman" w:hAnsi="Times New Roman" w:cs="Times New Roman"/>
                <w:color w:val="000000" w:themeColor="text1"/>
                <w:sz w:val="24"/>
                <w:szCs w:val="24"/>
                <w:lang w:eastAsia="it-IT"/>
              </w:rPr>
              <w:t>(cap. 215)</w:t>
            </w:r>
            <w:r w:rsidRPr="00F56356">
              <w:rPr>
                <w:rFonts w:ascii="Times New Roman" w:eastAsia="Times New Roman" w:hAnsi="Times New Roman" w:cs="Times New Roman"/>
                <w:i/>
                <w:color w:val="000000" w:themeColor="text1"/>
                <w:sz w:val="24"/>
                <w:szCs w:val="24"/>
                <w:lang w:eastAsia="it-IT"/>
              </w:rPr>
              <w:t xml:space="preserve"> </w:t>
            </w:r>
          </w:p>
          <w:p w14:paraId="68CAAA6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9.200,00 </w:t>
            </w:r>
            <w:bookmarkStart w:id="37" w:name="_Hlk133225929"/>
            <w:r w:rsidRPr="00F56356">
              <w:rPr>
                <w:rFonts w:ascii="Times New Roman" w:eastAsia="Times New Roman" w:hAnsi="Times New Roman" w:cs="Times New Roman"/>
                <w:color w:val="000000" w:themeColor="text1"/>
                <w:sz w:val="24"/>
                <w:szCs w:val="24"/>
                <w:lang w:eastAsia="it-IT"/>
              </w:rPr>
              <w:t>riferiti a reiscrizioni di residui passivi perenti</w:t>
            </w:r>
            <w:bookmarkEnd w:id="37"/>
            <w:r w:rsidRPr="00F56356">
              <w:rPr>
                <w:rFonts w:ascii="Times New Roman" w:eastAsia="Times New Roman" w:hAnsi="Times New Roman" w:cs="Times New Roman"/>
                <w:color w:val="000000" w:themeColor="text1"/>
                <w:sz w:val="24"/>
                <w:szCs w:val="24"/>
                <w:lang w:eastAsia="it-IT"/>
              </w:rPr>
              <w:t>;</w:t>
            </w:r>
          </w:p>
          <w:p w14:paraId="41F78DF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w:t>
            </w:r>
            <w:r w:rsidRPr="00F56356">
              <w:rPr>
                <w:rFonts w:ascii="Times New Roman" w:eastAsia="Times New Roman" w:hAnsi="Times New Roman" w:cs="Times New Roman"/>
                <w:i/>
                <w:color w:val="000000" w:themeColor="text1"/>
                <w:sz w:val="24"/>
                <w:szCs w:val="24"/>
                <w:lang w:eastAsia="it-IT"/>
              </w:rPr>
              <w:t>“Somme da destinare alle celebrazioni degli anniversari di interesse nazionale”</w:t>
            </w:r>
            <w:r w:rsidRPr="00F56356">
              <w:rPr>
                <w:rFonts w:ascii="Times New Roman" w:eastAsia="Times New Roman" w:hAnsi="Times New Roman" w:cs="Times New Roman"/>
                <w:color w:val="000000" w:themeColor="text1"/>
                <w:sz w:val="24"/>
                <w:szCs w:val="24"/>
                <w:lang w:eastAsia="it-IT"/>
              </w:rPr>
              <w:t xml:space="preserve"> (cap. 216)</w:t>
            </w:r>
          </w:p>
          <w:p w14:paraId="510E8CE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euro 2.200.339,24, di cui euro 450.000,00 riferiti a reiscrizioni di residui passivi perenti, ed euro 1.750.339,24 alle iniziative relative alla celebrazione del 150° anniversario della nascita del Corpo degli Alpini (15 ottobre 1872), alle celebrazioni del centenario del “CNR 1923-2023”, per il cinquantesimo del “Nido Cervi”, della Fondazione Reggio Children - Centro Loris Malaguzzi, al progetto didattico educativo, a cura del Comune di Fogliano Redipuglia, alla realizzazione dei seguenti progetti:</w:t>
            </w:r>
          </w:p>
          <w:p w14:paraId="363F8482"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w:t>
            </w:r>
            <w:proofErr w:type="spellStart"/>
            <w:r w:rsidRPr="00F56356">
              <w:rPr>
                <w:rFonts w:ascii="Times New Roman" w:eastAsia="Times New Roman" w:hAnsi="Times New Roman" w:cs="Times New Roman"/>
                <w:color w:val="000000"/>
                <w:sz w:val="24"/>
                <w:szCs w:val="24"/>
                <w:lang w:eastAsia="it-IT"/>
              </w:rPr>
              <w:t>Bené</w:t>
            </w:r>
            <w:proofErr w:type="spellEnd"/>
            <w:r w:rsidRPr="00F56356">
              <w:rPr>
                <w:rFonts w:ascii="Times New Roman" w:eastAsia="Times New Roman" w:hAnsi="Times New Roman" w:cs="Times New Roman"/>
                <w:color w:val="000000"/>
                <w:sz w:val="24"/>
                <w:szCs w:val="24"/>
                <w:lang w:eastAsia="it-IT"/>
              </w:rPr>
              <w:t xml:space="preserve"> </w:t>
            </w:r>
            <w:proofErr w:type="spellStart"/>
            <w:r w:rsidRPr="00F56356">
              <w:rPr>
                <w:rFonts w:ascii="Times New Roman" w:eastAsia="Times New Roman" w:hAnsi="Times New Roman" w:cs="Times New Roman"/>
                <w:color w:val="000000"/>
                <w:sz w:val="24"/>
                <w:szCs w:val="24"/>
                <w:lang w:eastAsia="it-IT"/>
              </w:rPr>
              <w:t>Romì</w:t>
            </w:r>
            <w:proofErr w:type="spellEnd"/>
            <w:r w:rsidRPr="00F56356">
              <w:rPr>
                <w:rFonts w:ascii="Times New Roman" w:eastAsia="Times New Roman" w:hAnsi="Times New Roman" w:cs="Times New Roman"/>
                <w:color w:val="000000"/>
                <w:sz w:val="24"/>
                <w:szCs w:val="24"/>
                <w:lang w:eastAsia="it-IT"/>
              </w:rPr>
              <w:t xml:space="preserve">, Figli di Roma”, a cura della comunità Ebraica di Roma; </w:t>
            </w:r>
          </w:p>
          <w:p w14:paraId="3DCB30DD"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“Da grande voglio fare l’imprenditore o l’imprenditrice? Dialoghi con Adriano Olivetti”, della Fondazione Adriano Olivetti;</w:t>
            </w:r>
          </w:p>
          <w:p w14:paraId="371E6C9F"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“1992-1993: il biennio che svegliò le coscienze”, in occasione del 30° anniversario delle stragi di Capaci e via D’Amelio, a cura di Libera. Associazioni, nomi e numeri contro le mafie Roma; - “Lina Bo Bardi: una memoria che appartiene al nostro futuro”, a cura dell’Ordine degli Architetti Pianificatori Paesaggisti Conservatori di Roma e Provincia;</w:t>
            </w:r>
          </w:p>
          <w:p w14:paraId="2539DD8A"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“9 ottobre 1982 - Memoria, storia e racconto di un delitto dimenticato”, in occasione del 40° anniversario dell’attentato al Tempio Maggiore di Roma, a cura della Fondazione per le scienze religiose Giovanni XIII, Bologna;</w:t>
            </w:r>
          </w:p>
          <w:p w14:paraId="37F4BF70"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lastRenderedPageBreak/>
              <w:t>“Francesco Rosi, 100 anni di impegno (1922-2022)”, in occasione del 100° anniversario della nascita di Francesco Rosi, a cura del Museo Nazionale del Cinema di Torino;</w:t>
            </w:r>
          </w:p>
          <w:p w14:paraId="43611064"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xml:space="preserve">“Oltre i sensi – Il Braille come strumento di inclusione e integrazione”, a cura della Società Cooperativa Sociale Raggio di Luce; </w:t>
            </w:r>
          </w:p>
          <w:p w14:paraId="7DBEAAF6"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“Tutti Uno – Spazi Capaci + Comunità Capaci” nell’ambito del programma legalità e presidio della giustizia e dei diritti, in occasione del 30° anniversario delle stragi mafiose d’Italia, a cura della Fondazione Falcone;</w:t>
            </w:r>
          </w:p>
          <w:p w14:paraId="16B18905"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“Prosecuzione del viaggio del Treno della memoria”, nell’ambito dell’accordo sottoscritto con lo Stato Maggiore della Difesa, ex articolo 15 della legge n. 241/1990, relativo alla prosecuzione della commemorazione del centenario della traslazione del Milite Ignoto;</w:t>
            </w:r>
          </w:p>
          <w:p w14:paraId="33E23CCA" w14:textId="77777777" w:rsidR="00F56356" w:rsidRPr="00F56356" w:rsidRDefault="00F56356" w:rsidP="00F56356">
            <w:pPr>
              <w:numPr>
                <w:ilvl w:val="0"/>
                <w:numId w:val="34"/>
              </w:numPr>
              <w:spacing w:after="160" w:line="360" w:lineRule="auto"/>
              <w:ind w:left="851"/>
              <w:contextualSpacing/>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xml:space="preserve">progetto editoriale in occasione delle celebrazioni del quarantennale della morte del Generale di corpo d’armata Carlo Alberto dalla Chiesa, a seguito dell’Accordo con l’Ufficio Generale del centro di responsabilità amministrativa dello Stato Maggiore della Difesa; </w:t>
            </w:r>
          </w:p>
          <w:p w14:paraId="0942DF2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 xml:space="preserve">nonché agli Accordi sottoscritti con: l’Ufficio IV - Relazioni esterne, cerimoniale e studi storici – del Dipartimento della Pubblica Sicurezza del Ministero dell’interno, finalizzato a sviluppare le necessarie attività volte alla commemorazione dei 170 anni della fondazione della Polizia di Stato; l’Istituto nazionale di documentazione, innovazione e ricerca educativa, finalizzato a sviluppare le necessarie attività volte alla realizzazione e alla promozione di un programma di iniziative culturali, in occasione della prima giornata nazionale giovani e memoria; l’Ordine degli architetti, pianificatori, paesaggisti e conservatori di Roma e Provincia per la realizzazione di un programma di eventi ed iniziative culturali da tenersi in occasione della prima Giornata nazionale “Giovani e memoria”; inoltre all’acquisizione di totem autoportanti </w:t>
            </w:r>
            <w:proofErr w:type="spellStart"/>
            <w:r w:rsidRPr="00F56356">
              <w:rPr>
                <w:rFonts w:ascii="Times New Roman" w:eastAsia="Times New Roman" w:hAnsi="Times New Roman" w:cs="Times New Roman"/>
                <w:color w:val="000000"/>
                <w:sz w:val="24"/>
                <w:szCs w:val="24"/>
                <w:lang w:eastAsia="it-IT"/>
              </w:rPr>
              <w:t>monofacciali</w:t>
            </w:r>
            <w:proofErr w:type="spellEnd"/>
            <w:r w:rsidRPr="00F56356">
              <w:rPr>
                <w:rFonts w:ascii="Times New Roman" w:eastAsia="Times New Roman" w:hAnsi="Times New Roman" w:cs="Times New Roman"/>
                <w:color w:val="000000"/>
                <w:sz w:val="24"/>
                <w:szCs w:val="24"/>
                <w:lang w:eastAsia="it-IT"/>
              </w:rPr>
              <w:t xml:space="preserve"> e </w:t>
            </w:r>
            <w:proofErr w:type="spellStart"/>
            <w:r w:rsidRPr="00F56356">
              <w:rPr>
                <w:rFonts w:ascii="Times New Roman" w:eastAsia="Times New Roman" w:hAnsi="Times New Roman" w:cs="Times New Roman"/>
                <w:color w:val="000000"/>
                <w:sz w:val="24"/>
                <w:szCs w:val="24"/>
                <w:lang w:eastAsia="it-IT"/>
              </w:rPr>
              <w:t>roll</w:t>
            </w:r>
            <w:proofErr w:type="spellEnd"/>
            <w:r w:rsidRPr="00F56356">
              <w:rPr>
                <w:rFonts w:ascii="Times New Roman" w:eastAsia="Times New Roman" w:hAnsi="Times New Roman" w:cs="Times New Roman"/>
                <w:color w:val="000000"/>
                <w:sz w:val="24"/>
                <w:szCs w:val="24"/>
                <w:lang w:eastAsia="it-IT"/>
              </w:rPr>
              <w:t xml:space="preserve"> up con il logo della Struttura di missione per l’allestimento di spazi finalizzati alla realizzazione di </w:t>
            </w:r>
            <w:proofErr w:type="spellStart"/>
            <w:r w:rsidRPr="00F56356">
              <w:rPr>
                <w:rFonts w:ascii="Times New Roman" w:eastAsia="Times New Roman" w:hAnsi="Times New Roman" w:cs="Times New Roman"/>
                <w:color w:val="000000"/>
                <w:sz w:val="24"/>
                <w:szCs w:val="24"/>
                <w:lang w:eastAsia="it-IT"/>
              </w:rPr>
              <w:t>Videopillole</w:t>
            </w:r>
            <w:proofErr w:type="spellEnd"/>
            <w:r w:rsidRPr="00F56356">
              <w:rPr>
                <w:rFonts w:ascii="Times New Roman" w:eastAsia="Times New Roman" w:hAnsi="Times New Roman" w:cs="Times New Roman"/>
                <w:color w:val="000000"/>
                <w:sz w:val="24"/>
                <w:szCs w:val="24"/>
                <w:lang w:eastAsia="it-IT"/>
              </w:rPr>
              <w:t xml:space="preserve"> atte a promuovere eventi e personaggi storici da pubblicare sui canali social della Struttura; alla fornitura di una piattaforma informatica per lo svolgimento di procedure finalizzate all’erogazione di contributi e assistenza tecnica; al servizio di realizzazione di una indagine statistica sul rapporto tra giovani e memoria e a pagamenti in favore dell’Autorità Nazionale Anticorruzione (MAV), quali ad esempio quelli per le attività progettuali commemorative della figura di Giacomo Matteotti nel centenario della morte, della figura di Pier Paolo Pasolini nel centenario della nascita e della figura di Enrico Berlinguer nel centenario della nascita;</w:t>
            </w:r>
          </w:p>
          <w:p w14:paraId="6577F03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f) </w:t>
            </w:r>
            <w:r w:rsidRPr="00F56356">
              <w:rPr>
                <w:rFonts w:ascii="Times New Roman" w:eastAsia="Times New Roman" w:hAnsi="Times New Roman" w:cs="Times New Roman"/>
                <w:i/>
                <w:color w:val="000000" w:themeColor="text1"/>
                <w:sz w:val="24"/>
                <w:szCs w:val="24"/>
                <w:lang w:eastAsia="it-IT"/>
              </w:rPr>
              <w:t>“Somma destinata alla promozione di iniziative culturali e celebrative connesse al centenario della fondazione del partito comunista italiano</w:t>
            </w:r>
            <w:r w:rsidRPr="00F56356">
              <w:rPr>
                <w:rFonts w:ascii="Times New Roman" w:eastAsia="Times New Roman" w:hAnsi="Times New Roman" w:cs="Times New Roman"/>
                <w:color w:val="000000" w:themeColor="text1"/>
                <w:sz w:val="24"/>
                <w:szCs w:val="24"/>
                <w:lang w:eastAsia="it-IT"/>
              </w:rPr>
              <w:t>” (cap. 240)</w:t>
            </w:r>
          </w:p>
          <w:p w14:paraId="4546B93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798.357,00 alle iniziative culturali e celebrative connesse alla commemorazione dell’anniversario della fondazione del partito comunista italiano, mediante Avviso pubblico. A seguito dell’espletamento delle procedure sono risultati vincitori i seguenti beneficiari: </w:t>
            </w:r>
          </w:p>
          <w:p w14:paraId="453CEB1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43.000,00 al Consiglio Nazionale delle Ricerche; </w:t>
            </w:r>
          </w:p>
          <w:p w14:paraId="4D12D4D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48.000,00 alla Direzione Regionale Musei Veneto; </w:t>
            </w:r>
          </w:p>
          <w:p w14:paraId="667B80D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47.287,00 all’Università degli Studi “La Sapienza”; </w:t>
            </w:r>
          </w:p>
          <w:p w14:paraId="2B0A77F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47.000,00 al Consiglio Nazionale delle Ricerche;</w:t>
            </w:r>
          </w:p>
          <w:p w14:paraId="4BA84F7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23.800,00 all’Università degli Studi di Verona;</w:t>
            </w:r>
          </w:p>
          <w:p w14:paraId="12FD45D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50.000,00 all’Archivio Centrale dello Sato;</w:t>
            </w:r>
          </w:p>
          <w:p w14:paraId="196C6EF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10.000,00 a IMT Alti Studi;</w:t>
            </w:r>
          </w:p>
          <w:p w14:paraId="6FE9E63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13.000,00 all’Università Ca Foscari di Venezia; </w:t>
            </w:r>
          </w:p>
          <w:p w14:paraId="7B32198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48.000,00 all’Università degli Studi “Aldo Moro” di Bari;</w:t>
            </w:r>
          </w:p>
          <w:p w14:paraId="4C09735B" w14:textId="77777777" w:rsidR="00F56356" w:rsidRPr="00F56356" w:rsidRDefault="00F56356" w:rsidP="00F56356">
            <w:pPr>
              <w:spacing w:after="0" w:line="360" w:lineRule="auto"/>
              <w:ind w:left="344" w:hanging="60"/>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31.150,00 alla Fondazione Gramsci Emilia Romagna; </w:t>
            </w:r>
          </w:p>
          <w:p w14:paraId="219B4FE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35.400,00 al Crogiuolo Associazione culturale;</w:t>
            </w:r>
          </w:p>
          <w:p w14:paraId="5E548B8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45.000,00 alla Fondazione Enrico Berlinguer;</w:t>
            </w:r>
          </w:p>
          <w:p w14:paraId="6C79D8F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50.000,00 all’Archivio audiovisivo del movimento operaio e democratico;</w:t>
            </w:r>
          </w:p>
          <w:p w14:paraId="19855F8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32.620,00 all’Istituto storico della resistenza e della società contemporanea nella provincia di Livorno;</w:t>
            </w:r>
          </w:p>
          <w:p w14:paraId="2CAEE28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50.000,00 alla Fondazione Gramsci Onlus;</w:t>
            </w:r>
          </w:p>
          <w:p w14:paraId="4C3489F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48.000,00 all’Associazione Enrico Berlinguer per la conservazione e la valorizzazione del patrimonio culturale della sinistra italiana;</w:t>
            </w:r>
          </w:p>
          <w:p w14:paraId="169DA26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24.600,00 all’Istituto Gramsci Onlus;</w:t>
            </w:r>
          </w:p>
          <w:p w14:paraId="386CCCF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19.000,00 alla Biblioteca Franco </w:t>
            </w:r>
            <w:proofErr w:type="spellStart"/>
            <w:r w:rsidRPr="00F56356">
              <w:rPr>
                <w:rFonts w:ascii="Times New Roman" w:eastAsia="Times New Roman" w:hAnsi="Times New Roman" w:cs="Times New Roman"/>
                <w:color w:val="000000" w:themeColor="text1"/>
                <w:sz w:val="24"/>
                <w:szCs w:val="24"/>
                <w:lang w:eastAsia="it-IT"/>
              </w:rPr>
              <w:t>Serantini</w:t>
            </w:r>
            <w:proofErr w:type="spellEnd"/>
            <w:r w:rsidRPr="00F56356">
              <w:rPr>
                <w:rFonts w:ascii="Times New Roman" w:eastAsia="Times New Roman" w:hAnsi="Times New Roman" w:cs="Times New Roman"/>
                <w:color w:val="000000" w:themeColor="text1"/>
                <w:sz w:val="24"/>
                <w:szCs w:val="24"/>
                <w:lang w:eastAsia="it-IT"/>
              </w:rPr>
              <w:t xml:space="preserve"> Istituto di storia sociale, della resistenza e dell’età contemporanea della provincia di Pisa;</w:t>
            </w:r>
          </w:p>
          <w:p w14:paraId="410027B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30.000,00 alla Fondazione Biblioteca Archivio Luigi Micheletti;</w:t>
            </w:r>
          </w:p>
          <w:p w14:paraId="3E00D80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48.000,00 alla Fondazione Gramsci di Puglia;</w:t>
            </w:r>
          </w:p>
          <w:p w14:paraId="416D172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9.000,00 all’Istituto Storico della Resistenza e dell’età contemporanea; </w:t>
            </w:r>
          </w:p>
          <w:p w14:paraId="111E285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29.000,00 all’Associazione Studentesca universitaria Unica Radio; </w:t>
            </w:r>
          </w:p>
          <w:p w14:paraId="4CFF083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16.500,00 all’Istituto per la storia dell’età contemporanea;</w:t>
            </w:r>
          </w:p>
          <w:p w14:paraId="6EEA378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 “</w:t>
            </w:r>
            <w:r w:rsidRPr="00F56356">
              <w:rPr>
                <w:rFonts w:ascii="Times New Roman" w:eastAsia="Times New Roman" w:hAnsi="Times New Roman" w:cs="Times New Roman"/>
                <w:i/>
                <w:color w:val="000000" w:themeColor="text1"/>
                <w:sz w:val="24"/>
                <w:szCs w:val="24"/>
                <w:lang w:eastAsia="it-IT"/>
              </w:rPr>
              <w:t>Somme da destinare alla promozione ed alla conoscenza degli eventi della prima guerra mondiale in favore delle future generazioni”</w:t>
            </w:r>
            <w:r w:rsidRPr="00F56356">
              <w:rPr>
                <w:rFonts w:ascii="Times New Roman" w:eastAsia="Times New Roman" w:hAnsi="Times New Roman" w:cs="Times New Roman"/>
                <w:color w:val="000000" w:themeColor="text1"/>
                <w:sz w:val="24"/>
                <w:szCs w:val="24"/>
                <w:lang w:eastAsia="it-IT"/>
              </w:rPr>
              <w:t xml:space="preserve"> (cap. 247)</w:t>
            </w:r>
          </w:p>
          <w:p w14:paraId="2A6166A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107.957,32 riferiti a reiscrizioni di residui passivi perenti.</w:t>
            </w:r>
          </w:p>
          <w:p w14:paraId="75ABCD16" w14:textId="796A8C31" w:rsid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7912A44" w14:textId="77777777" w:rsidR="00B162D3" w:rsidRPr="00F56356" w:rsidRDefault="00B162D3"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AE7BC94"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0"/>
                <w:szCs w:val="10"/>
                <w:lang w:eastAsia="it-IT"/>
              </w:rPr>
            </w:pPr>
          </w:p>
          <w:p w14:paraId="073A4FB6"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Indicatori di bilancio</w:t>
            </w:r>
          </w:p>
          <w:p w14:paraId="6310B9B4"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78720" behindDoc="1" locked="0" layoutInCell="1" allowOverlap="1" wp14:anchorId="6B5DD458" wp14:editId="09A8178D">
                  <wp:simplePos x="0" y="0"/>
                  <wp:positionH relativeFrom="margin">
                    <wp:align>right</wp:align>
                  </wp:positionH>
                  <wp:positionV relativeFrom="paragraph">
                    <wp:posOffset>260350</wp:posOffset>
                  </wp:positionV>
                  <wp:extent cx="5834380" cy="1932940"/>
                  <wp:effectExtent l="0" t="0" r="0" b="0"/>
                  <wp:wrapTight wrapText="bothSides">
                    <wp:wrapPolygon edited="0">
                      <wp:start x="0" y="0"/>
                      <wp:lineTo x="0" y="21288"/>
                      <wp:lineTo x="11848" y="21288"/>
                      <wp:lineTo x="11848" y="20436"/>
                      <wp:lineTo x="21511" y="19372"/>
                      <wp:lineTo x="21511" y="11495"/>
                      <wp:lineTo x="21088" y="10218"/>
                      <wp:lineTo x="21511" y="10005"/>
                      <wp:lineTo x="21511" y="5748"/>
                      <wp:lineTo x="21158" y="3406"/>
                      <wp:lineTo x="21440" y="3406"/>
                      <wp:lineTo x="21511" y="2555"/>
                      <wp:lineTo x="21511" y="0"/>
                      <wp:lineTo x="0" y="0"/>
                    </wp:wrapPolygon>
                  </wp:wrapTight>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34380" cy="1932940"/>
                          </a:xfrm>
                          <a:prstGeom prst="rect">
                            <a:avLst/>
                          </a:prstGeom>
                          <a:noFill/>
                          <a:ln>
                            <a:noFill/>
                          </a:ln>
                        </pic:spPr>
                      </pic:pic>
                    </a:graphicData>
                  </a:graphic>
                  <wp14:sizeRelH relativeFrom="margin">
                    <wp14:pctWidth>0</wp14:pctWidth>
                  </wp14:sizeRelH>
                </wp:anchor>
              </w:drawing>
            </w:r>
          </w:p>
          <w:p w14:paraId="13B11E43"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0CE2AB16"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6ECA2E0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Le risorse impegnate per le spese in conto capitale pari a euro 62.234.844,98</w:t>
            </w:r>
            <w:r w:rsidRPr="00F56356">
              <w:rPr>
                <w:rFonts w:ascii="Times New Roman" w:eastAsia="Times New Roman" w:hAnsi="Times New Roman" w:cs="Times New Roman"/>
                <w:sz w:val="24"/>
                <w:szCs w:val="24"/>
                <w:lang w:eastAsia="it-IT"/>
              </w:rPr>
              <w:t xml:space="preserve">, di cui euro 188.078,37 </w:t>
            </w:r>
            <w:r w:rsidRPr="00F56356">
              <w:rPr>
                <w:rFonts w:ascii="Times New Roman" w:eastAsia="Times New Roman" w:hAnsi="Times New Roman" w:cs="Times New Roman"/>
                <w:color w:val="000000" w:themeColor="text1"/>
                <w:sz w:val="24"/>
                <w:szCs w:val="24"/>
                <w:lang w:eastAsia="it-IT"/>
              </w:rPr>
              <w:t xml:space="preserve">riferiti a reiscrizioni di residui passivi perenti, sono state destinate: </w:t>
            </w:r>
          </w:p>
          <w:p w14:paraId="5D55985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 xml:space="preserve">“Spese per il completamento del polo natatorio </w:t>
            </w:r>
            <w:proofErr w:type="spellStart"/>
            <w:r w:rsidRPr="00F56356">
              <w:rPr>
                <w:rFonts w:ascii="Times New Roman" w:eastAsia="Times New Roman" w:hAnsi="Times New Roman" w:cs="Times New Roman"/>
                <w:i/>
                <w:color w:val="000000" w:themeColor="text1"/>
                <w:sz w:val="24"/>
                <w:szCs w:val="24"/>
                <w:lang w:eastAsia="it-IT"/>
              </w:rPr>
              <w:t>Valco</w:t>
            </w:r>
            <w:proofErr w:type="spellEnd"/>
            <w:r w:rsidRPr="00F56356">
              <w:rPr>
                <w:rFonts w:ascii="Times New Roman" w:eastAsia="Times New Roman" w:hAnsi="Times New Roman" w:cs="Times New Roman"/>
                <w:i/>
                <w:color w:val="000000" w:themeColor="text1"/>
                <w:sz w:val="24"/>
                <w:szCs w:val="24"/>
                <w:lang w:eastAsia="it-IT"/>
              </w:rPr>
              <w:t xml:space="preserve"> San Paolo”</w:t>
            </w:r>
            <w:r w:rsidRPr="00F56356">
              <w:rPr>
                <w:rFonts w:ascii="Times New Roman" w:eastAsia="Times New Roman" w:hAnsi="Times New Roman" w:cs="Times New Roman"/>
                <w:color w:val="000000" w:themeColor="text1"/>
                <w:sz w:val="24"/>
                <w:szCs w:val="24"/>
                <w:lang w:eastAsia="it-IT"/>
              </w:rPr>
              <w:t xml:space="preserve"> (cap. 903)</w:t>
            </w:r>
          </w:p>
          <w:p w14:paraId="37C31A80" w14:textId="77777777" w:rsidR="00F56356" w:rsidRPr="00F56356" w:rsidRDefault="00F56356" w:rsidP="00F56356">
            <w:pPr>
              <w:tabs>
                <w:tab w:val="left" w:pos="9214"/>
              </w:tabs>
              <w:spacing w:after="0" w:line="360" w:lineRule="auto"/>
              <w:ind w:left="357"/>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267.753,67, di cui euro 128.010,82 riferiti a reiscrizioni di residui passivi perenti, in favore della </w:t>
            </w:r>
            <w:proofErr w:type="gramStart"/>
            <w:r w:rsidRPr="00F56356">
              <w:rPr>
                <w:rFonts w:ascii="Times New Roman" w:eastAsia="Times New Roman" w:hAnsi="Times New Roman" w:cs="Times New Roman"/>
                <w:color w:val="000000" w:themeColor="text1"/>
                <w:sz w:val="24"/>
                <w:szCs w:val="24"/>
                <w:lang w:eastAsia="it-IT"/>
              </w:rPr>
              <w:t>GE.DI.</w:t>
            </w:r>
            <w:proofErr w:type="gramEnd"/>
            <w:r w:rsidRPr="00F56356">
              <w:rPr>
                <w:rFonts w:ascii="Times New Roman" w:eastAsia="Times New Roman" w:hAnsi="Times New Roman" w:cs="Times New Roman"/>
                <w:color w:val="000000" w:themeColor="text1"/>
                <w:sz w:val="24"/>
                <w:szCs w:val="24"/>
                <w:lang w:eastAsia="it-IT"/>
              </w:rPr>
              <w:t xml:space="preserve"> GROUP S.p.A. per il 4° e ultimo SAL emesso nell’ambito del 2° stralcio dei lavori di ripristino e completamento edile e impiantistico del polo natatorio </w:t>
            </w:r>
            <w:proofErr w:type="spellStart"/>
            <w:r w:rsidRPr="00F56356">
              <w:rPr>
                <w:rFonts w:ascii="Times New Roman" w:eastAsia="Times New Roman" w:hAnsi="Times New Roman" w:cs="Times New Roman"/>
                <w:color w:val="000000" w:themeColor="text1"/>
                <w:sz w:val="24"/>
                <w:szCs w:val="24"/>
                <w:lang w:eastAsia="it-IT"/>
              </w:rPr>
              <w:t>Valco</w:t>
            </w:r>
            <w:proofErr w:type="spellEnd"/>
            <w:r w:rsidRPr="00F56356">
              <w:rPr>
                <w:rFonts w:ascii="Times New Roman" w:eastAsia="Times New Roman" w:hAnsi="Times New Roman" w:cs="Times New Roman"/>
                <w:color w:val="000000" w:themeColor="text1"/>
                <w:sz w:val="24"/>
                <w:szCs w:val="24"/>
                <w:lang w:eastAsia="it-IT"/>
              </w:rPr>
              <w:t xml:space="preserve"> S. Paolo, degli oneri COVID e delle opere integrative edili riferite al blocco piscine e in favore della SO.GEST IMPIANTI per gli interventi di riqualificazione dell’unità trattamento aria (UTA) delle strutture blocco piscine coperte nel Polo Natatorio </w:t>
            </w:r>
            <w:proofErr w:type="spellStart"/>
            <w:r w:rsidRPr="00F56356">
              <w:rPr>
                <w:rFonts w:ascii="Times New Roman" w:eastAsia="Times New Roman" w:hAnsi="Times New Roman" w:cs="Times New Roman"/>
                <w:color w:val="000000" w:themeColor="text1"/>
                <w:sz w:val="24"/>
                <w:szCs w:val="24"/>
                <w:lang w:eastAsia="it-IT"/>
              </w:rPr>
              <w:t>Valco</w:t>
            </w:r>
            <w:proofErr w:type="spellEnd"/>
            <w:r w:rsidRPr="00F56356">
              <w:rPr>
                <w:rFonts w:ascii="Times New Roman" w:eastAsia="Times New Roman" w:hAnsi="Times New Roman" w:cs="Times New Roman"/>
                <w:color w:val="000000" w:themeColor="text1"/>
                <w:sz w:val="24"/>
                <w:szCs w:val="24"/>
                <w:lang w:eastAsia="it-IT"/>
              </w:rPr>
              <w:t xml:space="preserve"> S. Paolo; </w:t>
            </w:r>
          </w:p>
          <w:p w14:paraId="52DC7DD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w:t>
            </w:r>
            <w:r w:rsidRPr="00F56356">
              <w:rPr>
                <w:rFonts w:ascii="Times New Roman" w:eastAsia="Times New Roman" w:hAnsi="Times New Roman" w:cs="Times New Roman"/>
                <w:i/>
                <w:color w:val="000000" w:themeColor="text1"/>
                <w:sz w:val="24"/>
                <w:szCs w:val="24"/>
                <w:lang w:eastAsia="it-IT"/>
              </w:rPr>
              <w:t xml:space="preserve"> “Spese per la messa in sicurezza, il restauro ed il ripristino del decoro dei Luoghi della Memoria per la celebrazione del centenario della Prima Guerra Mondiale” </w:t>
            </w:r>
            <w:r w:rsidRPr="00F56356">
              <w:rPr>
                <w:rFonts w:ascii="Times New Roman" w:eastAsia="Times New Roman" w:hAnsi="Times New Roman" w:cs="Times New Roman"/>
                <w:color w:val="000000" w:themeColor="text1"/>
                <w:sz w:val="24"/>
                <w:szCs w:val="24"/>
                <w:lang w:eastAsia="it-IT"/>
              </w:rPr>
              <w:t>(cap. 904)</w:t>
            </w:r>
          </w:p>
          <w:p w14:paraId="6FD5473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60.067,55 riferiti a reiscrizione di residui passivi perenti;</w:t>
            </w:r>
          </w:p>
          <w:p w14:paraId="6419470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Somme assegnate alla Presidenza del Consiglio dei Ministri per la riqualificazione dei luoghi connessi agli eventi storici anche di rilevanza internazionale”</w:t>
            </w:r>
            <w:r w:rsidRPr="00F56356">
              <w:rPr>
                <w:rFonts w:ascii="Times New Roman" w:eastAsia="Times New Roman" w:hAnsi="Times New Roman" w:cs="Times New Roman"/>
                <w:color w:val="000000" w:themeColor="text1"/>
                <w:sz w:val="24"/>
                <w:szCs w:val="24"/>
                <w:lang w:eastAsia="it-IT"/>
              </w:rPr>
              <w:t xml:space="preserve"> (cap. 916)</w:t>
            </w:r>
          </w:p>
          <w:p w14:paraId="38C750D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61.837.291,13, in particolare: </w:t>
            </w:r>
          </w:p>
          <w:p w14:paraId="5174BB1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960.000,00 ai “Lavori di riqualificazione della caserma Cefalonia – Corfù, progetto di recupero e valorizzazione di Forte Aurelia, realizzazione della sala ipogea”, in relazione al 150° anniversario della proclamazione di Roma capitale d’Italia, a cura del Comando Generale della Guardia di Finanza di Roma; </w:t>
            </w:r>
          </w:p>
          <w:p w14:paraId="0639642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58.000,00 alla realizzazione del centro di documentazione multimediale </w:t>
            </w:r>
            <w:proofErr w:type="spellStart"/>
            <w:r w:rsidRPr="00F56356">
              <w:rPr>
                <w:rFonts w:ascii="Times New Roman" w:eastAsia="Times New Roman" w:hAnsi="Times New Roman" w:cs="Times New Roman"/>
                <w:color w:val="000000" w:themeColor="text1"/>
                <w:sz w:val="24"/>
                <w:szCs w:val="24"/>
                <w:lang w:eastAsia="it-IT"/>
              </w:rPr>
              <w:t>ExtraLibera</w:t>
            </w:r>
            <w:proofErr w:type="spellEnd"/>
            <w:r w:rsidRPr="00F56356">
              <w:rPr>
                <w:rFonts w:ascii="Times New Roman" w:eastAsia="Times New Roman" w:hAnsi="Times New Roman" w:cs="Times New Roman"/>
                <w:color w:val="000000" w:themeColor="text1"/>
                <w:sz w:val="24"/>
                <w:szCs w:val="24"/>
                <w:lang w:eastAsia="it-IT"/>
              </w:rPr>
              <w:t xml:space="preserve">, nell’ambito del progetto “1992-1993: il biennio che svegliò le coscienze”, in occasione del 30° anniversario delle stragi di Capaci e Via d’Amelio, a cura di Libera. Associazioni, nomi e numeri contro le mafie; </w:t>
            </w:r>
          </w:p>
          <w:p w14:paraId="62C3F20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33.600,00 alla Mostra “L’ultimo Principe. Antonio Canova e l’Accademia di San Luca”, a cura dell’Accademia Nazionale San Luca; </w:t>
            </w:r>
          </w:p>
          <w:p w14:paraId="1227CEE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27.000,00 al “Restauro e risanamento del Sacrario partigiano di San Bernardo in Bastia Mondovì” in vista dell’80° anniversario dell’armistizio dell’8 settembre 1943, del Comune di Bastia di Mondovì;</w:t>
            </w:r>
          </w:p>
          <w:p w14:paraId="1C3A4DA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439.345,92 al “Museo </w:t>
            </w:r>
            <w:proofErr w:type="spellStart"/>
            <w:r w:rsidRPr="00F56356">
              <w:rPr>
                <w:rFonts w:ascii="Times New Roman" w:eastAsia="Times New Roman" w:hAnsi="Times New Roman" w:cs="Times New Roman"/>
                <w:color w:val="000000" w:themeColor="text1"/>
                <w:sz w:val="24"/>
                <w:szCs w:val="24"/>
                <w:lang w:eastAsia="it-IT"/>
              </w:rPr>
              <w:t>Ventimesi</w:t>
            </w:r>
            <w:proofErr w:type="spellEnd"/>
            <w:r w:rsidRPr="00F56356">
              <w:rPr>
                <w:rFonts w:ascii="Times New Roman" w:eastAsia="Times New Roman" w:hAnsi="Times New Roman" w:cs="Times New Roman"/>
                <w:color w:val="000000" w:themeColor="text1"/>
                <w:sz w:val="24"/>
                <w:szCs w:val="24"/>
                <w:lang w:eastAsia="it-IT"/>
              </w:rPr>
              <w:t xml:space="preserve">, intervento di valorizzazione dei luoghi della memoria della lotta di resistenza in Piemonte 1943-1945”, in vista dell’80° anniversario dell’armistizio dell’8 settembre 1943, del Comune di Bagnolo Piemonte; </w:t>
            </w:r>
          </w:p>
          <w:p w14:paraId="03C1438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144.000,00 a “Il fante di Bacoli. Storia di un monumento nazionale. Restauro del monumento e valorizzazione del recupero dell’area del parco pubblico e digitalizzazione dell’archivio storico comunale”, in connessione con il centenario della traslazione del Milite Ignoto, del Comune di Bacoli;</w:t>
            </w:r>
          </w:p>
          <w:p w14:paraId="284764D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60.000.000,00 al “Piano strategico di recupero e valorizzazione del Parco del Foro Italico”, in relazione al 150° anniversario della proclamazione di Roma capitale d’Italia, in favore di Sport e Salute S.p.A.;</w:t>
            </w:r>
          </w:p>
          <w:p w14:paraId="55F334D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507,42 in favore della società Istituto Poligrafico e Zecca dello Stato S.p.A., con riferimento alla pubblicazione dell’avviso relativo all’esito di gara per l’affidamento dei lavori di ripristino del decoro della Casa della III armata e spazio adiacenti, situato presso il Comune di San Pier d’Isonzo;</w:t>
            </w:r>
          </w:p>
          <w:p w14:paraId="6E3ED53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19.807,83 ed euro 126.782,40 rispettivamente ai lavori di restauro del Sacrario Militare di Redipuglia e del Sacrario Militare di Cima Grappa;</w:t>
            </w:r>
          </w:p>
          <w:p w14:paraId="7B85EF1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27.387,56 alle Commissioni giudicatrici, in particolare del servizio di “progettazione preliminare, definitiva, esecutiva e ideazione e produzione dell’allestimento multimediale degli spazi museali, comprese le attività di gestione informativa (Building Information Modeling), per i lavori di restauro conservativo del Sacrario Militare di Asiago e valorizzazione degli edifici annessi, sito nel Comune di Asiago”; dei lavori di restauro del Tempio Ossario di Bassano del Grappa e dei lavori di restauro conservativo e riallestimento del Memoriale Cavour di Santena (TO)”;</w:t>
            </w:r>
          </w:p>
          <w:p w14:paraId="5C328FB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860,00 in favore dell’Autorità Nazionale Anticorruzione destinati al pagamento dei contributi di gara;</w:t>
            </w:r>
          </w:p>
          <w:p w14:paraId="1AC110AA"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i/>
                <w:color w:val="000000" w:themeColor="text1"/>
                <w:sz w:val="24"/>
                <w:szCs w:val="24"/>
                <w:lang w:eastAsia="it-IT"/>
              </w:rPr>
              <w:t xml:space="preserve"> Spese per la realizzazione di opere, interventi ed iniziative cofinanziati dalla società </w:t>
            </w:r>
            <w:proofErr w:type="spellStart"/>
            <w:r w:rsidRPr="00F56356">
              <w:rPr>
                <w:rFonts w:ascii="Times New Roman" w:eastAsia="Times New Roman" w:hAnsi="Times New Roman" w:cs="Times New Roman"/>
                <w:i/>
                <w:color w:val="000000" w:themeColor="text1"/>
                <w:sz w:val="24"/>
                <w:szCs w:val="24"/>
                <w:lang w:eastAsia="it-IT"/>
              </w:rPr>
              <w:t>Arcus</w:t>
            </w:r>
            <w:proofErr w:type="spellEnd"/>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986)</w:t>
            </w:r>
          </w:p>
          <w:p w14:paraId="7BA91CC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69.732,63, in particolare:</w:t>
            </w:r>
          </w:p>
          <w:p w14:paraId="21C1E20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53.755,13 in favore della Energy Products s.r.l. a titolo di liquidazione del 7° </w:t>
            </w:r>
            <w:proofErr w:type="spellStart"/>
            <w:r w:rsidRPr="00F56356">
              <w:rPr>
                <w:rFonts w:ascii="Times New Roman" w:eastAsia="Times New Roman" w:hAnsi="Times New Roman" w:cs="Times New Roman"/>
                <w:color w:val="000000" w:themeColor="text1"/>
                <w:sz w:val="24"/>
                <w:szCs w:val="24"/>
                <w:lang w:eastAsia="it-IT"/>
              </w:rPr>
              <w:t>sal</w:t>
            </w:r>
            <w:proofErr w:type="spellEnd"/>
            <w:r w:rsidRPr="00F56356">
              <w:rPr>
                <w:rFonts w:ascii="Times New Roman" w:eastAsia="Times New Roman" w:hAnsi="Times New Roman" w:cs="Times New Roman"/>
                <w:color w:val="000000" w:themeColor="text1"/>
                <w:sz w:val="24"/>
                <w:szCs w:val="24"/>
                <w:lang w:eastAsia="it-IT"/>
              </w:rPr>
              <w:t xml:space="preserve"> straordinario relativo alla compensazione dei prezzi dei materiali da costruzione, ai sensi dell’articolo 1-septies del decreto-legge 31 maggio 2021, n. 77, convertito, con modificazioni, </w:t>
            </w:r>
            <w:r w:rsidRPr="00F56356">
              <w:rPr>
                <w:rFonts w:ascii="Times New Roman" w:eastAsia="Times New Roman" w:hAnsi="Times New Roman" w:cs="Times New Roman"/>
                <w:color w:val="000000" w:themeColor="text1"/>
                <w:sz w:val="24"/>
                <w:szCs w:val="24"/>
                <w:lang w:eastAsia="it-IT"/>
              </w:rPr>
              <w:lastRenderedPageBreak/>
              <w:t>dalla legge 29 luglio 2021, n. 108, dell’appalto di progettazione esecutiva ed esecuzione dei lavori di riqualificazione funzionale e restauro degli spazi museali, centro studi e biblioteca dell’“Istituto Giuseppe Garibaldi” a Roma, connesso al programma per le celebrazioni del 150° anniversario dell’unità nazionale;</w:t>
            </w:r>
          </w:p>
          <w:p w14:paraId="2608D10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15.977,50 a titolo di IVA relativa alla fattura n. 173 del 22 giugno 2022 della società ALES S.p.A. ai sensi della convenzione, stipulata in data 5 ottobre 2012 tra la Presidenza del Consiglio dei Ministri ed ALES S.p.A. (già ARCUS S.p.A.), concernente la concessione del finanziamento per la realizzazione del Progetto “I luoghi della memoria” e successivo Addendum del 4 dicembre 2014. </w:t>
            </w:r>
          </w:p>
          <w:p w14:paraId="3B47D302" w14:textId="77777777" w:rsidR="00F56356" w:rsidRPr="00F56356" w:rsidRDefault="00F56356" w:rsidP="00F56356">
            <w:pPr>
              <w:spacing w:after="0" w:line="360" w:lineRule="auto"/>
              <w:ind w:left="284" w:hanging="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79744" behindDoc="1" locked="0" layoutInCell="1" allowOverlap="1" wp14:anchorId="109C3F23" wp14:editId="552EDD0F">
                  <wp:simplePos x="0" y="0"/>
                  <wp:positionH relativeFrom="margin">
                    <wp:align>right</wp:align>
                  </wp:positionH>
                  <wp:positionV relativeFrom="paragraph">
                    <wp:posOffset>258445</wp:posOffset>
                  </wp:positionV>
                  <wp:extent cx="5786755" cy="1511300"/>
                  <wp:effectExtent l="0" t="0" r="4445" b="0"/>
                  <wp:wrapTight wrapText="bothSides">
                    <wp:wrapPolygon edited="0">
                      <wp:start x="0" y="0"/>
                      <wp:lineTo x="0" y="21237"/>
                      <wp:lineTo x="11875" y="21237"/>
                      <wp:lineTo x="21545" y="18787"/>
                      <wp:lineTo x="21545" y="7351"/>
                      <wp:lineTo x="21190" y="4356"/>
                      <wp:lineTo x="21474" y="4356"/>
                      <wp:lineTo x="21545" y="3267"/>
                      <wp:lineTo x="21545" y="0"/>
                      <wp:lineTo x="0" y="0"/>
                    </wp:wrapPolygon>
                  </wp:wrapTight>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86755" cy="151130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4D76C8EB"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6106CD5D"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p>
          <w:p w14:paraId="5D015B8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18201AD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185 - </w:t>
            </w:r>
            <w:r w:rsidRPr="00F56356">
              <w:rPr>
                <w:rFonts w:ascii="Times New Roman" w:eastAsia="Times New Roman" w:hAnsi="Times New Roman" w:cs="Times New Roman"/>
                <w:i/>
                <w:color w:val="000000" w:themeColor="text1"/>
                <w:sz w:val="24"/>
                <w:szCs w:val="24"/>
                <w:lang w:eastAsia="it-IT"/>
              </w:rPr>
              <w:t>Somme per la celebrazione della figura di Antonio Gramsci, in occasione dell’ottantesimo anno dalla sua scomparsa</w:t>
            </w:r>
            <w:r w:rsidRPr="00F56356">
              <w:rPr>
                <w:rFonts w:ascii="Times New Roman" w:eastAsia="Times New Roman" w:hAnsi="Times New Roman" w:cs="Times New Roman"/>
                <w:color w:val="000000" w:themeColor="text1"/>
                <w:sz w:val="24"/>
                <w:szCs w:val="24"/>
                <w:lang w:eastAsia="it-IT"/>
              </w:rPr>
              <w:t>, relativamente alla capacità di smaltimento dei residui, dal non completamento delle attività progettuali (attività prorogata a giugno 2023);</w:t>
            </w:r>
          </w:p>
          <w:p w14:paraId="22B3503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204 - </w:t>
            </w:r>
            <w:r w:rsidRPr="00F56356">
              <w:rPr>
                <w:rFonts w:ascii="Times New Roman" w:eastAsia="Times New Roman" w:hAnsi="Times New Roman" w:cs="Times New Roman"/>
                <w:i/>
                <w:color w:val="000000" w:themeColor="text1"/>
                <w:sz w:val="24"/>
                <w:szCs w:val="24"/>
                <w:lang w:eastAsia="it-IT"/>
              </w:rPr>
              <w:t>Somme destinate al Milan Center for Food Law and Policy</w:t>
            </w:r>
            <w:r w:rsidRPr="00F56356">
              <w:rPr>
                <w:rFonts w:ascii="Times New Roman" w:eastAsia="Times New Roman" w:hAnsi="Times New Roman" w:cs="Times New Roman"/>
                <w:color w:val="000000" w:themeColor="text1"/>
                <w:sz w:val="24"/>
                <w:szCs w:val="24"/>
                <w:lang w:eastAsia="it-IT"/>
              </w:rPr>
              <w:t>, relativamente alla capacità di pagamento, dalla richiesta di proroga delle attività progettuali avanzata dal Milan Center for Food Law and Policy, che non ha consentito l’erogazione del pagamento nell’</w:t>
            </w:r>
            <w:proofErr w:type="spellStart"/>
            <w:r w:rsidRPr="00F56356">
              <w:rPr>
                <w:rFonts w:ascii="Times New Roman" w:eastAsia="Times New Roman" w:hAnsi="Times New Roman" w:cs="Times New Roman"/>
                <w:color w:val="000000" w:themeColor="text1"/>
                <w:sz w:val="24"/>
                <w:szCs w:val="24"/>
                <w:lang w:eastAsia="it-IT"/>
              </w:rPr>
              <w:t>e.f</w:t>
            </w:r>
            <w:proofErr w:type="spellEnd"/>
            <w:r w:rsidRPr="00F56356">
              <w:rPr>
                <w:rFonts w:ascii="Times New Roman" w:eastAsia="Times New Roman" w:hAnsi="Times New Roman" w:cs="Times New Roman"/>
                <w:color w:val="000000" w:themeColor="text1"/>
                <w:sz w:val="24"/>
                <w:szCs w:val="24"/>
                <w:lang w:eastAsia="it-IT"/>
              </w:rPr>
              <w:t>. 2022, come previsto in programmazione (prorogata a giugno 2024);</w:t>
            </w:r>
          </w:p>
          <w:p w14:paraId="54188C0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216 - </w:t>
            </w:r>
            <w:r w:rsidRPr="00F56356">
              <w:rPr>
                <w:rFonts w:ascii="Times New Roman" w:eastAsia="Times New Roman" w:hAnsi="Times New Roman" w:cs="Times New Roman"/>
                <w:i/>
                <w:color w:val="000000" w:themeColor="text1"/>
                <w:sz w:val="24"/>
                <w:szCs w:val="24"/>
                <w:lang w:eastAsia="it-IT"/>
              </w:rPr>
              <w:t>Somme da destinare alle celebrazioni degli anniversari di interesse nazionale,</w:t>
            </w:r>
            <w:r w:rsidRPr="00F56356">
              <w:rPr>
                <w:rFonts w:ascii="Times New Roman" w:eastAsia="Times New Roman" w:hAnsi="Times New Roman" w:cs="Times New Roman"/>
                <w:color w:val="000000" w:themeColor="text1"/>
                <w:sz w:val="24"/>
                <w:szCs w:val="24"/>
                <w:lang w:eastAsia="it-IT"/>
              </w:rPr>
              <w:t xml:space="preserve"> dal successivo incremento dello stanziamento derivante dalle disposizioni contenute all’articolo 1, commi 785, 786 e 787 della legge n. 234/2021. Difatti, tale norma ha introdotto le commemorazioni delle figure di Matteotti, Pasolini e Berlinguer, che hanno comportato l’attivazione di un complesso iter per individuare le proposte progettuali meritevoli di contributo. Tali procedure, avviate dopo l’assegnazione in bilancio delle somme necessarie, pervenute nel mese di marzo 2022, si è conclusa con i DD.MM. 26 e 27 settembre 2022, che hanno individuato i beneficiari. Sono conseguentemente state avviate tutte le iniziative autorizzate e sottoscritte le </w:t>
            </w:r>
            <w:r w:rsidRPr="00F56356">
              <w:rPr>
                <w:rFonts w:ascii="Times New Roman" w:eastAsia="Times New Roman" w:hAnsi="Times New Roman" w:cs="Times New Roman"/>
                <w:color w:val="000000" w:themeColor="text1"/>
                <w:sz w:val="24"/>
                <w:szCs w:val="24"/>
                <w:lang w:eastAsia="it-IT"/>
              </w:rPr>
              <w:lastRenderedPageBreak/>
              <w:t>convenzioni per i soggetti per i quali le verifiche amministrative contabili hanno dato esito positivo;</w:t>
            </w:r>
          </w:p>
          <w:p w14:paraId="4CC161D4"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240 - </w:t>
            </w:r>
            <w:r w:rsidRPr="00F56356">
              <w:rPr>
                <w:rFonts w:ascii="Times New Roman" w:eastAsia="Times New Roman" w:hAnsi="Times New Roman" w:cs="Times New Roman"/>
                <w:i/>
                <w:color w:val="000000" w:themeColor="text1"/>
                <w:sz w:val="24"/>
                <w:szCs w:val="24"/>
                <w:lang w:eastAsia="it-IT"/>
              </w:rPr>
              <w:t>Somma destinata alla promozione di iniziative culturali e celebrative connesse al centenario della fondazione del partito comunista italiano</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sz w:val="24"/>
                <w:szCs w:val="24"/>
                <w:lang w:eastAsia="it-IT"/>
              </w:rPr>
              <w:t xml:space="preserve"> relativamente alla capacità di </w:t>
            </w:r>
            <w:r w:rsidRPr="00F56356">
              <w:rPr>
                <w:rFonts w:ascii="Times New Roman" w:eastAsia="Times New Roman" w:hAnsi="Times New Roman" w:cs="Times New Roman"/>
                <w:color w:val="000000" w:themeColor="text1"/>
                <w:sz w:val="24"/>
                <w:szCs w:val="24"/>
                <w:lang w:eastAsia="it-IT"/>
              </w:rPr>
              <w:t>smaltimento dei residui dal fatto che l’Avviso pubblico per l’individuazione delle proposte progettuali da ammettere a contributo è stato pubblicato in data 3 dicembre 2021, non consentendo, con ciò, l’assunzione di impegni nel corso di quell’esercizio finanziario. L’iter procedurale per l’individuazione dei beneficiari dei contributi si è pertanto perfezionato interamente nel settembre del 2022;</w:t>
            </w:r>
          </w:p>
          <w:p w14:paraId="31D2E812"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per il capitolo 267 - </w:t>
            </w:r>
            <w:r w:rsidRPr="00F56356">
              <w:rPr>
                <w:rFonts w:ascii="Times New Roman" w:eastAsia="Times New Roman" w:hAnsi="Times New Roman" w:cs="Times New Roman"/>
                <w:i/>
                <w:color w:val="000000" w:themeColor="text1"/>
                <w:sz w:val="24"/>
                <w:szCs w:val="24"/>
                <w:lang w:eastAsia="it-IT"/>
              </w:rPr>
              <w:t>Iniziative culturali a L’Aquila e nel territorio colpito dal terremoto, in occasione del decimo anniversario degli eventi sismici del 2009,</w:t>
            </w:r>
            <w:r w:rsidRPr="00F56356">
              <w:rPr>
                <w:rFonts w:ascii="Times New Roman" w:eastAsia="Times New Roman" w:hAnsi="Times New Roman" w:cs="Times New Roman"/>
                <w:color w:val="000000" w:themeColor="text1"/>
                <w:sz w:val="24"/>
                <w:szCs w:val="24"/>
                <w:lang w:eastAsia="it-IT"/>
              </w:rPr>
              <w:t xml:space="preserve"> relativamente alla capacità di smaltimento residui dall’esigenza, comunicata dal Comune de L’Aquila, di modificare il cronoprogramma delle attività progettuali, ponendo il termine ultimo a ottobre 2022. Pertanto, nel corso dell’</w:t>
            </w:r>
            <w:proofErr w:type="spellStart"/>
            <w:r w:rsidRPr="00F56356">
              <w:rPr>
                <w:rFonts w:ascii="Times New Roman" w:eastAsia="Times New Roman" w:hAnsi="Times New Roman" w:cs="Times New Roman"/>
                <w:color w:val="000000" w:themeColor="text1"/>
                <w:sz w:val="24"/>
                <w:szCs w:val="24"/>
                <w:lang w:eastAsia="it-IT"/>
              </w:rPr>
              <w:t>e.f</w:t>
            </w:r>
            <w:proofErr w:type="spellEnd"/>
            <w:r w:rsidRPr="00F56356">
              <w:rPr>
                <w:rFonts w:ascii="Times New Roman" w:eastAsia="Times New Roman" w:hAnsi="Times New Roman" w:cs="Times New Roman"/>
                <w:color w:val="000000" w:themeColor="text1"/>
                <w:sz w:val="24"/>
                <w:szCs w:val="24"/>
                <w:lang w:eastAsia="it-IT"/>
              </w:rPr>
              <w:t>. 2022 è stato erogato in conto residui l’anticipo del contributo. Inoltre, si è provveduto alla verifica della documentazione di rendicontazione, pervenuta nel mese di novembre 2022, con erogazione del saldo nel mese di gennaio 2023;</w:t>
            </w:r>
          </w:p>
          <w:p w14:paraId="031DBD28"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 per il capitolo 904 -</w:t>
            </w:r>
            <w:r w:rsidRPr="00F56356">
              <w:rPr>
                <w:rFonts w:ascii="Times New Roman" w:eastAsia="Times New Roman" w:hAnsi="Times New Roman" w:cs="Times New Roman"/>
                <w:i/>
                <w:color w:val="000000" w:themeColor="text1"/>
                <w:sz w:val="24"/>
                <w:szCs w:val="24"/>
                <w:lang w:eastAsia="it-IT"/>
              </w:rPr>
              <w:t xml:space="preserve"> Spese per la messa in sicurezza, il restauro ed il ripristino del decoro dei Luoghi della Memoria per la celebrazione del centenario della Prima Guerra Mondiale</w:t>
            </w:r>
            <w:r w:rsidRPr="00F56356">
              <w:rPr>
                <w:rFonts w:ascii="Times New Roman" w:eastAsia="Times New Roman" w:hAnsi="Times New Roman" w:cs="Times New Roman"/>
                <w:color w:val="000000" w:themeColor="text1"/>
                <w:sz w:val="24"/>
                <w:szCs w:val="24"/>
                <w:lang w:eastAsia="it-IT"/>
              </w:rPr>
              <w:t xml:space="preserve"> e cap. 986 -</w:t>
            </w:r>
            <w:r w:rsidRPr="00F56356">
              <w:rPr>
                <w:rFonts w:ascii="Times New Roman" w:eastAsia="Times New Roman" w:hAnsi="Times New Roman" w:cs="Times New Roman"/>
                <w:i/>
                <w:color w:val="000000" w:themeColor="text1"/>
                <w:sz w:val="24"/>
                <w:szCs w:val="24"/>
                <w:lang w:eastAsia="it-IT"/>
              </w:rPr>
              <w:t xml:space="preserve"> Spese per la realizzazione di opere, interventi ed iniziative cofinanziati dalla società </w:t>
            </w:r>
            <w:proofErr w:type="spellStart"/>
            <w:r w:rsidRPr="00F56356">
              <w:rPr>
                <w:rFonts w:ascii="Times New Roman" w:eastAsia="Times New Roman" w:hAnsi="Times New Roman" w:cs="Times New Roman"/>
                <w:i/>
                <w:color w:val="000000" w:themeColor="text1"/>
                <w:sz w:val="24"/>
                <w:szCs w:val="24"/>
                <w:lang w:eastAsia="it-IT"/>
              </w:rPr>
              <w:t>Arcus</w:t>
            </w:r>
            <w:proofErr w:type="spellEnd"/>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relativamente alla capacità di smaltimento dei residui, dalla tipologia delle modifiche dei cronoprogrammi dei lavori finanziati;</w:t>
            </w:r>
          </w:p>
          <w:p w14:paraId="26EE470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 per il capitolo 916 - </w:t>
            </w:r>
            <w:r w:rsidRPr="00F56356">
              <w:rPr>
                <w:rFonts w:ascii="Times New Roman" w:eastAsia="Times New Roman" w:hAnsi="Times New Roman" w:cs="Times New Roman"/>
                <w:i/>
                <w:color w:val="000000" w:themeColor="text1"/>
                <w:sz w:val="24"/>
                <w:szCs w:val="24"/>
                <w:lang w:eastAsia="it-IT"/>
              </w:rPr>
              <w:t>Somme assegnate alla Presidenza del Consiglio dei Ministri per la riqualificazione dei luoghi connessi agli eventi storici anche di rilevanza internazionale</w:t>
            </w:r>
            <w:r w:rsidRPr="00F56356">
              <w:rPr>
                <w:rFonts w:ascii="Times New Roman" w:eastAsia="Times New Roman" w:hAnsi="Times New Roman" w:cs="Times New Roman"/>
                <w:color w:val="000000" w:themeColor="text1"/>
                <w:sz w:val="24"/>
                <w:szCs w:val="24"/>
                <w:lang w:eastAsia="it-IT"/>
              </w:rPr>
              <w:t xml:space="preserve"> relativamente alla capacità di pagamento, dalla necessità di rimodulare il cronoprogramma dei pagamenti della convenzione di Sport e Salute.  In particolare, a seguito di rilievi della Corte dei conti, la nuova convenzione sottoscritta il 28 giugno 2022 ha richiesto l’assunzione del corrispondente impegno, ai sensi dell’art. 19 del DPCM 22 novembre 2010. </w:t>
            </w:r>
          </w:p>
          <w:p w14:paraId="1E26AFE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D3821A4"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D6F64CB"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57AC63E" w14:textId="670F2CEC" w:rsid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C3B38BE" w14:textId="16FCB727" w:rsidR="00B162D3" w:rsidRDefault="00B162D3"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80B1CBF" w14:textId="5D5AB376" w:rsidR="00B162D3" w:rsidRDefault="00B162D3"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BA39B3E" w14:textId="77777777" w:rsidR="00B162D3" w:rsidRPr="00F56356" w:rsidRDefault="00B162D3"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214142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r w:rsidRPr="00F56356">
              <w:rPr>
                <w:rFonts w:ascii="Times New Roman" w:eastAsia="Times New Roman" w:hAnsi="Times New Roman" w:cs="Times New Roman"/>
                <w:color w:val="000000" w:themeColor="text1"/>
                <w:sz w:val="24"/>
                <w:szCs w:val="24"/>
                <w:lang w:eastAsia="it-IT"/>
              </w:rPr>
              <w:tab/>
            </w:r>
          </w:p>
          <w:tbl>
            <w:tblPr>
              <w:tblW w:w="9493" w:type="dxa"/>
              <w:tblCellMar>
                <w:left w:w="70" w:type="dxa"/>
                <w:right w:w="70" w:type="dxa"/>
              </w:tblCellMar>
              <w:tblLook w:val="04A0" w:firstRow="1" w:lastRow="0" w:firstColumn="1" w:lastColumn="0" w:noHBand="0" w:noVBand="1"/>
            </w:tblPr>
            <w:tblGrid>
              <w:gridCol w:w="337"/>
              <w:gridCol w:w="2689"/>
              <w:gridCol w:w="532"/>
              <w:gridCol w:w="1218"/>
              <w:gridCol w:w="1120"/>
              <w:gridCol w:w="1160"/>
              <w:gridCol w:w="1317"/>
              <w:gridCol w:w="1120"/>
            </w:tblGrid>
            <w:tr w:rsidR="00F56356" w:rsidRPr="00F56356" w14:paraId="1CB8C449" w14:textId="77777777" w:rsidTr="00F56356">
              <w:trPr>
                <w:trHeight w:val="510"/>
              </w:trPr>
              <w:tc>
                <w:tcPr>
                  <w:tcW w:w="337" w:type="dxa"/>
                  <w:tcBorders>
                    <w:top w:val="nil"/>
                    <w:left w:val="nil"/>
                    <w:bottom w:val="nil"/>
                    <w:right w:val="nil"/>
                  </w:tcBorders>
                  <w:shd w:val="clear" w:color="auto" w:fill="auto"/>
                  <w:noWrap/>
                  <w:vAlign w:val="bottom"/>
                  <w:hideMark/>
                </w:tcPr>
                <w:p w14:paraId="1756485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15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28E4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143E57EF" w14:textId="77777777" w:rsidTr="00F56356">
              <w:trPr>
                <w:trHeight w:val="465"/>
              </w:trPr>
              <w:tc>
                <w:tcPr>
                  <w:tcW w:w="337" w:type="dxa"/>
                  <w:tcBorders>
                    <w:top w:val="nil"/>
                    <w:left w:val="nil"/>
                    <w:bottom w:val="nil"/>
                    <w:right w:val="nil"/>
                  </w:tcBorders>
                  <w:shd w:val="clear" w:color="auto" w:fill="auto"/>
                  <w:noWrap/>
                  <w:vAlign w:val="center"/>
                  <w:hideMark/>
                </w:tcPr>
                <w:p w14:paraId="774EE87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93986D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1EF7673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18 - Sviluppo sostenibile e tutela del territorio e dell'ambiente</w:t>
                  </w:r>
                </w:p>
              </w:tc>
            </w:tr>
            <w:tr w:rsidR="00F56356" w:rsidRPr="00F56356" w14:paraId="60D4B738" w14:textId="77777777" w:rsidTr="00F56356">
              <w:trPr>
                <w:trHeight w:val="330"/>
              </w:trPr>
              <w:tc>
                <w:tcPr>
                  <w:tcW w:w="337" w:type="dxa"/>
                  <w:tcBorders>
                    <w:top w:val="nil"/>
                    <w:left w:val="nil"/>
                    <w:bottom w:val="nil"/>
                    <w:right w:val="nil"/>
                  </w:tcBorders>
                  <w:shd w:val="clear" w:color="auto" w:fill="auto"/>
                  <w:noWrap/>
                  <w:vAlign w:val="center"/>
                  <w:hideMark/>
                </w:tcPr>
                <w:p w14:paraId="36C027D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4C54FE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4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09720D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18.14 - Sostegno allo sviluppo sostenibile</w:t>
                  </w:r>
                </w:p>
              </w:tc>
            </w:tr>
            <w:tr w:rsidR="00F56356" w:rsidRPr="00F56356" w14:paraId="09D682F6" w14:textId="77777777" w:rsidTr="00F56356">
              <w:trPr>
                <w:trHeight w:val="405"/>
              </w:trPr>
              <w:tc>
                <w:tcPr>
                  <w:tcW w:w="337" w:type="dxa"/>
                  <w:tcBorders>
                    <w:top w:val="nil"/>
                    <w:left w:val="nil"/>
                    <w:bottom w:val="nil"/>
                    <w:right w:val="nil"/>
                  </w:tcBorders>
                  <w:shd w:val="clear" w:color="auto" w:fill="auto"/>
                  <w:noWrap/>
                  <w:vAlign w:val="center"/>
                  <w:hideMark/>
                </w:tcPr>
                <w:p w14:paraId="5B85BFA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51546A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46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C43386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75D1F6B8" w14:textId="77777777" w:rsidTr="00F56356">
              <w:trPr>
                <w:trHeight w:val="1639"/>
              </w:trPr>
              <w:tc>
                <w:tcPr>
                  <w:tcW w:w="337" w:type="dxa"/>
                  <w:tcBorders>
                    <w:top w:val="nil"/>
                    <w:left w:val="nil"/>
                    <w:bottom w:val="nil"/>
                    <w:right w:val="nil"/>
                  </w:tcBorders>
                  <w:shd w:val="clear" w:color="auto" w:fill="auto"/>
                  <w:noWrap/>
                  <w:vAlign w:val="center"/>
                  <w:hideMark/>
                </w:tcPr>
                <w:p w14:paraId="056AC0C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B73637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44BBDB1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Avvio delle attività connesse alla realizzazione degli obiettivi che l'Italia si è impegnata a raggiungere nell'ambito dello sviluppo sostenibile, nonché per la realizzazione di eventi e iniziative ad essi collegati, per il tramite dell'Associazione Milan Center for Food Law and Policy (articolo 1, comma 500, della legge 27 dicembre 2017, n. 205, modificato dall'art. 28, comma 3-bis, del D.L. 30 dicembre 2019, n. 162, convertito, con modificazioni, dalla L. 28 febbraio 2020, n. 8) sulla base di nuova convenzione sottoscritta.</w:t>
                  </w:r>
                </w:p>
              </w:tc>
            </w:tr>
            <w:tr w:rsidR="00F56356" w:rsidRPr="00F56356" w14:paraId="5D44A094" w14:textId="77777777" w:rsidTr="00F56356">
              <w:trPr>
                <w:trHeight w:val="841"/>
              </w:trPr>
              <w:tc>
                <w:tcPr>
                  <w:tcW w:w="337" w:type="dxa"/>
                  <w:tcBorders>
                    <w:top w:val="nil"/>
                    <w:left w:val="nil"/>
                    <w:bottom w:val="nil"/>
                    <w:right w:val="nil"/>
                  </w:tcBorders>
                  <w:shd w:val="clear" w:color="auto" w:fill="auto"/>
                  <w:noWrap/>
                  <w:vAlign w:val="center"/>
                  <w:hideMark/>
                </w:tcPr>
                <w:p w14:paraId="12F2F57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DBFC3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10BDD29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tecnico-amministrative finalizzate al trasferimento del contributo destinato alla realizzazione degli obiettivi che il Milan Center for Food Law and Policy si è impegnato a raggiungere nell'ambito dello sviluppo sostenibile, per l'anno 2022.</w:t>
                  </w:r>
                </w:p>
              </w:tc>
            </w:tr>
            <w:tr w:rsidR="00F56356" w:rsidRPr="00F56356" w14:paraId="15070251" w14:textId="77777777" w:rsidTr="00F56356">
              <w:trPr>
                <w:trHeight w:val="344"/>
              </w:trPr>
              <w:tc>
                <w:tcPr>
                  <w:tcW w:w="337" w:type="dxa"/>
                  <w:tcBorders>
                    <w:top w:val="nil"/>
                    <w:left w:val="nil"/>
                    <w:bottom w:val="nil"/>
                    <w:right w:val="nil"/>
                  </w:tcBorders>
                  <w:shd w:val="clear" w:color="auto" w:fill="auto"/>
                  <w:noWrap/>
                  <w:vAlign w:val="center"/>
                  <w:hideMark/>
                </w:tcPr>
                <w:p w14:paraId="2CD130A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04507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2337215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A7BAC8E" w14:textId="77777777" w:rsidTr="00F56356">
              <w:trPr>
                <w:trHeight w:val="264"/>
              </w:trPr>
              <w:tc>
                <w:tcPr>
                  <w:tcW w:w="337" w:type="dxa"/>
                  <w:tcBorders>
                    <w:top w:val="nil"/>
                    <w:left w:val="nil"/>
                    <w:bottom w:val="nil"/>
                    <w:right w:val="nil"/>
                  </w:tcBorders>
                  <w:shd w:val="clear" w:color="auto" w:fill="auto"/>
                  <w:noWrap/>
                  <w:vAlign w:val="center"/>
                  <w:hideMark/>
                </w:tcPr>
                <w:p w14:paraId="48F08CA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F4FE6F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475C497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BDAB65E" w14:textId="77777777" w:rsidTr="00F56356">
              <w:trPr>
                <w:trHeight w:val="345"/>
              </w:trPr>
              <w:tc>
                <w:tcPr>
                  <w:tcW w:w="337" w:type="dxa"/>
                  <w:tcBorders>
                    <w:top w:val="nil"/>
                    <w:left w:val="nil"/>
                    <w:bottom w:val="nil"/>
                    <w:right w:val="nil"/>
                  </w:tcBorders>
                  <w:shd w:val="clear" w:color="auto" w:fill="auto"/>
                  <w:noWrap/>
                  <w:vAlign w:val="bottom"/>
                  <w:hideMark/>
                </w:tcPr>
                <w:p w14:paraId="3597984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vMerge w:val="restart"/>
                  <w:tcBorders>
                    <w:top w:val="nil"/>
                    <w:left w:val="single" w:sz="4" w:space="0" w:color="auto"/>
                    <w:bottom w:val="single" w:sz="4" w:space="0" w:color="000000"/>
                    <w:right w:val="single" w:sz="4" w:space="0" w:color="auto"/>
                  </w:tcBorders>
                  <w:shd w:val="clear" w:color="auto" w:fill="auto"/>
                  <w:vAlign w:val="center"/>
                  <w:hideMark/>
                </w:tcPr>
                <w:p w14:paraId="13B8D93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32" w:type="dxa"/>
                  <w:vMerge w:val="restart"/>
                  <w:tcBorders>
                    <w:top w:val="nil"/>
                    <w:left w:val="single" w:sz="4" w:space="0" w:color="auto"/>
                    <w:bottom w:val="single" w:sz="4" w:space="0" w:color="000000"/>
                    <w:right w:val="single" w:sz="4" w:space="0" w:color="auto"/>
                  </w:tcBorders>
                  <w:shd w:val="clear" w:color="auto" w:fill="auto"/>
                  <w:vAlign w:val="center"/>
                  <w:hideMark/>
                </w:tcPr>
                <w:p w14:paraId="3571160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204</w:t>
                  </w:r>
                </w:p>
              </w:tc>
              <w:tc>
                <w:tcPr>
                  <w:tcW w:w="233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65D8B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9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38A33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508B76A" w14:textId="77777777" w:rsidTr="00F56356">
              <w:trPr>
                <w:trHeight w:val="1066"/>
              </w:trPr>
              <w:tc>
                <w:tcPr>
                  <w:tcW w:w="337" w:type="dxa"/>
                  <w:tcBorders>
                    <w:top w:val="nil"/>
                    <w:left w:val="nil"/>
                    <w:bottom w:val="nil"/>
                    <w:right w:val="nil"/>
                  </w:tcBorders>
                  <w:shd w:val="clear" w:color="auto" w:fill="auto"/>
                  <w:noWrap/>
                  <w:vAlign w:val="bottom"/>
                  <w:hideMark/>
                </w:tcPr>
                <w:p w14:paraId="10932D3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689" w:type="dxa"/>
                  <w:vMerge/>
                  <w:tcBorders>
                    <w:top w:val="nil"/>
                    <w:left w:val="single" w:sz="4" w:space="0" w:color="auto"/>
                    <w:bottom w:val="single" w:sz="4" w:space="0" w:color="000000"/>
                    <w:right w:val="single" w:sz="4" w:space="0" w:color="auto"/>
                  </w:tcBorders>
                  <w:vAlign w:val="center"/>
                  <w:hideMark/>
                </w:tcPr>
                <w:p w14:paraId="793B1EA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32" w:type="dxa"/>
                  <w:vMerge/>
                  <w:tcBorders>
                    <w:top w:val="nil"/>
                    <w:left w:val="single" w:sz="4" w:space="0" w:color="auto"/>
                    <w:bottom w:val="single" w:sz="4" w:space="0" w:color="000000"/>
                    <w:right w:val="single" w:sz="4" w:space="0" w:color="auto"/>
                  </w:tcBorders>
                  <w:vAlign w:val="center"/>
                  <w:hideMark/>
                </w:tcPr>
                <w:p w14:paraId="6C13CDE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18" w:type="dxa"/>
                  <w:tcBorders>
                    <w:top w:val="nil"/>
                    <w:left w:val="nil"/>
                    <w:bottom w:val="single" w:sz="4" w:space="0" w:color="auto"/>
                    <w:right w:val="single" w:sz="4" w:space="0" w:color="auto"/>
                  </w:tcBorders>
                  <w:shd w:val="clear" w:color="auto" w:fill="auto"/>
                  <w:vAlign w:val="center"/>
                  <w:hideMark/>
                </w:tcPr>
                <w:p w14:paraId="4ECFCE3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20" w:type="dxa"/>
                  <w:tcBorders>
                    <w:top w:val="nil"/>
                    <w:left w:val="nil"/>
                    <w:bottom w:val="single" w:sz="4" w:space="0" w:color="auto"/>
                    <w:right w:val="single" w:sz="4" w:space="0" w:color="auto"/>
                  </w:tcBorders>
                  <w:shd w:val="clear" w:color="auto" w:fill="auto"/>
                  <w:vAlign w:val="center"/>
                  <w:hideMark/>
                </w:tcPr>
                <w:p w14:paraId="152815F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60" w:type="dxa"/>
                  <w:tcBorders>
                    <w:top w:val="nil"/>
                    <w:left w:val="nil"/>
                    <w:bottom w:val="single" w:sz="4" w:space="0" w:color="auto"/>
                    <w:right w:val="single" w:sz="4" w:space="0" w:color="auto"/>
                  </w:tcBorders>
                  <w:shd w:val="clear" w:color="auto" w:fill="auto"/>
                  <w:vAlign w:val="center"/>
                  <w:hideMark/>
                </w:tcPr>
                <w:p w14:paraId="3DDE63D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17" w:type="dxa"/>
                  <w:tcBorders>
                    <w:top w:val="nil"/>
                    <w:left w:val="nil"/>
                    <w:bottom w:val="single" w:sz="4" w:space="0" w:color="auto"/>
                    <w:right w:val="single" w:sz="4" w:space="0" w:color="auto"/>
                  </w:tcBorders>
                  <w:shd w:val="clear" w:color="auto" w:fill="auto"/>
                  <w:vAlign w:val="center"/>
                  <w:hideMark/>
                </w:tcPr>
                <w:p w14:paraId="17AA00A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20" w:type="dxa"/>
                  <w:tcBorders>
                    <w:top w:val="nil"/>
                    <w:left w:val="nil"/>
                    <w:bottom w:val="single" w:sz="4" w:space="0" w:color="auto"/>
                    <w:right w:val="single" w:sz="4" w:space="0" w:color="auto"/>
                  </w:tcBorders>
                  <w:shd w:val="clear" w:color="auto" w:fill="auto"/>
                  <w:vAlign w:val="center"/>
                  <w:hideMark/>
                </w:tcPr>
                <w:p w14:paraId="6FE8120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7FB7D03" w14:textId="77777777" w:rsidTr="00F56356">
              <w:trPr>
                <w:trHeight w:val="415"/>
              </w:trPr>
              <w:tc>
                <w:tcPr>
                  <w:tcW w:w="337" w:type="dxa"/>
                  <w:tcBorders>
                    <w:top w:val="nil"/>
                    <w:left w:val="nil"/>
                    <w:bottom w:val="nil"/>
                    <w:right w:val="nil"/>
                  </w:tcBorders>
                  <w:shd w:val="clear" w:color="auto" w:fill="auto"/>
                  <w:noWrap/>
                  <w:vAlign w:val="bottom"/>
                  <w:hideMark/>
                </w:tcPr>
                <w:p w14:paraId="2A7136C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689" w:type="dxa"/>
                  <w:vMerge/>
                  <w:tcBorders>
                    <w:top w:val="nil"/>
                    <w:left w:val="single" w:sz="4" w:space="0" w:color="auto"/>
                    <w:bottom w:val="single" w:sz="4" w:space="0" w:color="000000"/>
                    <w:right w:val="single" w:sz="4" w:space="0" w:color="auto"/>
                  </w:tcBorders>
                  <w:vAlign w:val="center"/>
                  <w:hideMark/>
                </w:tcPr>
                <w:p w14:paraId="544E240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32" w:type="dxa"/>
                  <w:vMerge/>
                  <w:tcBorders>
                    <w:top w:val="nil"/>
                    <w:left w:val="single" w:sz="4" w:space="0" w:color="auto"/>
                    <w:bottom w:val="single" w:sz="4" w:space="0" w:color="000000"/>
                    <w:right w:val="single" w:sz="4" w:space="0" w:color="auto"/>
                  </w:tcBorders>
                  <w:vAlign w:val="center"/>
                  <w:hideMark/>
                </w:tcPr>
                <w:p w14:paraId="54C967A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18" w:type="dxa"/>
                  <w:tcBorders>
                    <w:top w:val="nil"/>
                    <w:left w:val="nil"/>
                    <w:bottom w:val="single" w:sz="4" w:space="0" w:color="auto"/>
                    <w:right w:val="single" w:sz="4" w:space="0" w:color="auto"/>
                  </w:tcBorders>
                  <w:shd w:val="clear" w:color="auto" w:fill="auto"/>
                  <w:noWrap/>
                  <w:vAlign w:val="center"/>
                  <w:hideMark/>
                </w:tcPr>
                <w:p w14:paraId="4D9956B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500.000,00</w:t>
                  </w:r>
                </w:p>
              </w:tc>
              <w:tc>
                <w:tcPr>
                  <w:tcW w:w="1120" w:type="dxa"/>
                  <w:tcBorders>
                    <w:top w:val="nil"/>
                    <w:left w:val="nil"/>
                    <w:bottom w:val="single" w:sz="4" w:space="0" w:color="auto"/>
                    <w:right w:val="single" w:sz="4" w:space="0" w:color="auto"/>
                  </w:tcBorders>
                  <w:shd w:val="clear" w:color="auto" w:fill="auto"/>
                  <w:noWrap/>
                  <w:vAlign w:val="center"/>
                  <w:hideMark/>
                </w:tcPr>
                <w:p w14:paraId="0EA0926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500.000,00</w:t>
                  </w:r>
                </w:p>
              </w:tc>
              <w:tc>
                <w:tcPr>
                  <w:tcW w:w="1160" w:type="dxa"/>
                  <w:tcBorders>
                    <w:top w:val="nil"/>
                    <w:left w:val="nil"/>
                    <w:bottom w:val="single" w:sz="4" w:space="0" w:color="auto"/>
                    <w:right w:val="single" w:sz="4" w:space="0" w:color="auto"/>
                  </w:tcBorders>
                  <w:shd w:val="clear" w:color="auto" w:fill="auto"/>
                  <w:noWrap/>
                  <w:vAlign w:val="center"/>
                  <w:hideMark/>
                </w:tcPr>
                <w:p w14:paraId="411D772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17" w:type="dxa"/>
                  <w:tcBorders>
                    <w:top w:val="nil"/>
                    <w:left w:val="nil"/>
                    <w:bottom w:val="single" w:sz="4" w:space="0" w:color="auto"/>
                    <w:right w:val="single" w:sz="4" w:space="0" w:color="auto"/>
                  </w:tcBorders>
                  <w:shd w:val="clear" w:color="auto" w:fill="auto"/>
                  <w:noWrap/>
                  <w:vAlign w:val="center"/>
                  <w:hideMark/>
                </w:tcPr>
                <w:p w14:paraId="2270BEB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500.000,00</w:t>
                  </w:r>
                </w:p>
              </w:tc>
              <w:tc>
                <w:tcPr>
                  <w:tcW w:w="1120" w:type="dxa"/>
                  <w:tcBorders>
                    <w:top w:val="nil"/>
                    <w:left w:val="nil"/>
                    <w:bottom w:val="single" w:sz="4" w:space="0" w:color="auto"/>
                    <w:right w:val="single" w:sz="4" w:space="0" w:color="auto"/>
                  </w:tcBorders>
                  <w:shd w:val="clear" w:color="auto" w:fill="auto"/>
                  <w:noWrap/>
                  <w:vAlign w:val="center"/>
                  <w:hideMark/>
                </w:tcPr>
                <w:p w14:paraId="5A50C75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500.000,00</w:t>
                  </w:r>
                </w:p>
              </w:tc>
            </w:tr>
            <w:tr w:rsidR="00F56356" w:rsidRPr="00F56356" w14:paraId="2DB33B98" w14:textId="77777777" w:rsidTr="00F56356">
              <w:trPr>
                <w:trHeight w:val="330"/>
              </w:trPr>
              <w:tc>
                <w:tcPr>
                  <w:tcW w:w="337" w:type="dxa"/>
                  <w:tcBorders>
                    <w:top w:val="nil"/>
                    <w:left w:val="nil"/>
                    <w:bottom w:val="nil"/>
                    <w:right w:val="nil"/>
                  </w:tcBorders>
                  <w:shd w:val="clear" w:color="auto" w:fill="auto"/>
                  <w:noWrap/>
                  <w:vAlign w:val="bottom"/>
                  <w:hideMark/>
                </w:tcPr>
                <w:p w14:paraId="35F7CF5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689" w:type="dxa"/>
                  <w:tcBorders>
                    <w:top w:val="nil"/>
                    <w:left w:val="single" w:sz="4" w:space="0" w:color="auto"/>
                    <w:bottom w:val="nil"/>
                    <w:right w:val="nil"/>
                  </w:tcBorders>
                  <w:shd w:val="clear" w:color="auto" w:fill="auto"/>
                  <w:noWrap/>
                  <w:vAlign w:val="center"/>
                  <w:hideMark/>
                </w:tcPr>
                <w:p w14:paraId="7ED9B14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32" w:type="dxa"/>
                  <w:tcBorders>
                    <w:top w:val="nil"/>
                    <w:left w:val="nil"/>
                    <w:bottom w:val="nil"/>
                    <w:right w:val="nil"/>
                  </w:tcBorders>
                  <w:shd w:val="clear" w:color="auto" w:fill="auto"/>
                  <w:noWrap/>
                  <w:vAlign w:val="bottom"/>
                  <w:hideMark/>
                </w:tcPr>
                <w:p w14:paraId="007353AE"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18" w:type="dxa"/>
                  <w:tcBorders>
                    <w:top w:val="nil"/>
                    <w:left w:val="nil"/>
                    <w:bottom w:val="nil"/>
                    <w:right w:val="nil"/>
                  </w:tcBorders>
                  <w:shd w:val="clear" w:color="auto" w:fill="auto"/>
                  <w:noWrap/>
                  <w:vAlign w:val="bottom"/>
                  <w:hideMark/>
                </w:tcPr>
                <w:p w14:paraId="635DEDF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nil"/>
                  </w:tcBorders>
                  <w:shd w:val="clear" w:color="auto" w:fill="auto"/>
                  <w:noWrap/>
                  <w:vAlign w:val="bottom"/>
                  <w:hideMark/>
                </w:tcPr>
                <w:p w14:paraId="257FCA1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60" w:type="dxa"/>
                  <w:tcBorders>
                    <w:top w:val="nil"/>
                    <w:left w:val="nil"/>
                    <w:bottom w:val="nil"/>
                    <w:right w:val="nil"/>
                  </w:tcBorders>
                  <w:shd w:val="clear" w:color="auto" w:fill="auto"/>
                  <w:noWrap/>
                  <w:vAlign w:val="bottom"/>
                  <w:hideMark/>
                </w:tcPr>
                <w:p w14:paraId="3278CF1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17" w:type="dxa"/>
                  <w:tcBorders>
                    <w:top w:val="nil"/>
                    <w:left w:val="nil"/>
                    <w:bottom w:val="nil"/>
                    <w:right w:val="nil"/>
                  </w:tcBorders>
                  <w:shd w:val="clear" w:color="auto" w:fill="auto"/>
                  <w:noWrap/>
                  <w:vAlign w:val="bottom"/>
                  <w:hideMark/>
                </w:tcPr>
                <w:p w14:paraId="5FAD6D0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single" w:sz="4" w:space="0" w:color="auto"/>
                  </w:tcBorders>
                  <w:shd w:val="clear" w:color="auto" w:fill="auto"/>
                  <w:noWrap/>
                  <w:vAlign w:val="bottom"/>
                  <w:hideMark/>
                </w:tcPr>
                <w:p w14:paraId="1B3DD22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FB42EF0" w14:textId="77777777" w:rsidTr="00F56356">
              <w:trPr>
                <w:trHeight w:val="540"/>
              </w:trPr>
              <w:tc>
                <w:tcPr>
                  <w:tcW w:w="337" w:type="dxa"/>
                  <w:tcBorders>
                    <w:top w:val="nil"/>
                    <w:left w:val="nil"/>
                    <w:bottom w:val="nil"/>
                    <w:right w:val="nil"/>
                  </w:tcBorders>
                  <w:shd w:val="clear" w:color="auto" w:fill="auto"/>
                  <w:noWrap/>
                  <w:vAlign w:val="bottom"/>
                  <w:hideMark/>
                </w:tcPr>
                <w:p w14:paraId="5001F68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56" w:type="dxa"/>
                  <w:gridSpan w:val="7"/>
                  <w:tcBorders>
                    <w:top w:val="nil"/>
                    <w:left w:val="single" w:sz="4" w:space="0" w:color="auto"/>
                    <w:bottom w:val="nil"/>
                    <w:right w:val="single" w:sz="4" w:space="0" w:color="000000"/>
                  </w:tcBorders>
                  <w:shd w:val="clear" w:color="auto" w:fill="auto"/>
                  <w:vAlign w:val="center"/>
                  <w:hideMark/>
                </w:tcPr>
                <w:p w14:paraId="765AAD3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3C0AB7CC" w14:textId="77777777" w:rsidTr="00F56356">
              <w:trPr>
                <w:trHeight w:val="345"/>
              </w:trPr>
              <w:tc>
                <w:tcPr>
                  <w:tcW w:w="337" w:type="dxa"/>
                  <w:tcBorders>
                    <w:top w:val="nil"/>
                    <w:left w:val="nil"/>
                    <w:bottom w:val="nil"/>
                    <w:right w:val="nil"/>
                  </w:tcBorders>
                  <w:shd w:val="clear" w:color="auto" w:fill="auto"/>
                  <w:noWrap/>
                  <w:vAlign w:val="bottom"/>
                  <w:hideMark/>
                </w:tcPr>
                <w:p w14:paraId="0E796EC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56" w:type="dxa"/>
                  <w:gridSpan w:val="7"/>
                  <w:tcBorders>
                    <w:top w:val="nil"/>
                    <w:left w:val="single" w:sz="4" w:space="0" w:color="auto"/>
                    <w:bottom w:val="nil"/>
                    <w:right w:val="single" w:sz="4" w:space="0" w:color="000000"/>
                  </w:tcBorders>
                  <w:shd w:val="clear" w:color="auto" w:fill="auto"/>
                  <w:vAlign w:val="center"/>
                  <w:hideMark/>
                </w:tcPr>
                <w:p w14:paraId="639A931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6F5C6CCC" w14:textId="77777777" w:rsidTr="00F56356">
              <w:trPr>
                <w:trHeight w:val="345"/>
              </w:trPr>
              <w:tc>
                <w:tcPr>
                  <w:tcW w:w="337" w:type="dxa"/>
                  <w:tcBorders>
                    <w:top w:val="nil"/>
                    <w:left w:val="nil"/>
                    <w:bottom w:val="nil"/>
                    <w:right w:val="nil"/>
                  </w:tcBorders>
                  <w:shd w:val="clear" w:color="auto" w:fill="auto"/>
                  <w:noWrap/>
                  <w:vAlign w:val="bottom"/>
                  <w:hideMark/>
                </w:tcPr>
                <w:p w14:paraId="0239D50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56" w:type="dxa"/>
                  <w:gridSpan w:val="7"/>
                  <w:tcBorders>
                    <w:top w:val="nil"/>
                    <w:left w:val="single" w:sz="4" w:space="0" w:color="auto"/>
                    <w:bottom w:val="single" w:sz="4" w:space="0" w:color="auto"/>
                    <w:right w:val="single" w:sz="4" w:space="0" w:color="000000"/>
                  </w:tcBorders>
                  <w:shd w:val="clear" w:color="auto" w:fill="auto"/>
                  <w:vAlign w:val="center"/>
                  <w:hideMark/>
                </w:tcPr>
                <w:p w14:paraId="7FAEC8DB"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33FD0787" w14:textId="77777777" w:rsidTr="00F56356">
              <w:trPr>
                <w:trHeight w:val="480"/>
              </w:trPr>
              <w:tc>
                <w:tcPr>
                  <w:tcW w:w="337" w:type="dxa"/>
                  <w:tcBorders>
                    <w:top w:val="nil"/>
                    <w:left w:val="nil"/>
                    <w:bottom w:val="nil"/>
                    <w:right w:val="nil"/>
                  </w:tcBorders>
                  <w:shd w:val="clear" w:color="auto" w:fill="auto"/>
                  <w:noWrap/>
                  <w:vAlign w:val="bottom"/>
                  <w:hideMark/>
                </w:tcPr>
                <w:p w14:paraId="47C6CCF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15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B1E72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65EEE2F" w14:textId="77777777" w:rsidTr="00F56356">
              <w:trPr>
                <w:trHeight w:val="870"/>
              </w:trPr>
              <w:tc>
                <w:tcPr>
                  <w:tcW w:w="337" w:type="dxa"/>
                  <w:tcBorders>
                    <w:top w:val="nil"/>
                    <w:left w:val="nil"/>
                    <w:bottom w:val="nil"/>
                    <w:right w:val="nil"/>
                  </w:tcBorders>
                  <w:shd w:val="clear" w:color="auto" w:fill="auto"/>
                  <w:noWrap/>
                  <w:vAlign w:val="center"/>
                  <w:hideMark/>
                </w:tcPr>
                <w:p w14:paraId="0D16896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4A2199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49BBD81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erogazione dei contributi dovuti ovvero relativi a richieste di contributo erogabili previa verifica di regolarità amministrativa ai sensi della normativa vigente, nei limiti delle disponibilità di bilancio.</w:t>
                  </w:r>
                </w:p>
              </w:tc>
            </w:tr>
            <w:tr w:rsidR="00F56356" w:rsidRPr="00F56356" w14:paraId="14C36404" w14:textId="77777777" w:rsidTr="00F56356">
              <w:trPr>
                <w:trHeight w:val="449"/>
              </w:trPr>
              <w:tc>
                <w:tcPr>
                  <w:tcW w:w="337" w:type="dxa"/>
                  <w:tcBorders>
                    <w:top w:val="nil"/>
                    <w:left w:val="nil"/>
                    <w:bottom w:val="nil"/>
                    <w:right w:val="nil"/>
                  </w:tcBorders>
                  <w:shd w:val="clear" w:color="auto" w:fill="auto"/>
                  <w:noWrap/>
                  <w:vAlign w:val="center"/>
                  <w:hideMark/>
                </w:tcPr>
                <w:p w14:paraId="42E4618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E7D894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467" w:type="dxa"/>
                  <w:gridSpan w:val="6"/>
                  <w:tcBorders>
                    <w:top w:val="single" w:sz="4" w:space="0" w:color="auto"/>
                    <w:left w:val="nil"/>
                    <w:bottom w:val="single" w:sz="4" w:space="0" w:color="auto"/>
                    <w:right w:val="single" w:sz="4" w:space="0" w:color="000000"/>
                  </w:tcBorders>
                  <w:shd w:val="clear" w:color="auto" w:fill="auto"/>
                  <w:vAlign w:val="center"/>
                  <w:hideMark/>
                </w:tcPr>
                <w:p w14:paraId="410916F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SICOGE/protocollo informatico, posta elettronica certificata.</w:t>
                  </w:r>
                </w:p>
              </w:tc>
            </w:tr>
            <w:tr w:rsidR="00F56356" w:rsidRPr="00F56356" w14:paraId="492F4B81" w14:textId="77777777" w:rsidTr="00F56356">
              <w:trPr>
                <w:trHeight w:val="1408"/>
              </w:trPr>
              <w:tc>
                <w:tcPr>
                  <w:tcW w:w="337" w:type="dxa"/>
                  <w:tcBorders>
                    <w:top w:val="nil"/>
                    <w:left w:val="nil"/>
                    <w:bottom w:val="nil"/>
                    <w:right w:val="nil"/>
                  </w:tcBorders>
                  <w:shd w:val="clear" w:color="auto" w:fill="auto"/>
                  <w:noWrap/>
                  <w:vAlign w:val="center"/>
                  <w:hideMark/>
                </w:tcPr>
                <w:p w14:paraId="26E0B63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5BAF76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870" w:type="dxa"/>
                  <w:gridSpan w:val="3"/>
                  <w:tcBorders>
                    <w:top w:val="single" w:sz="4" w:space="0" w:color="auto"/>
                    <w:left w:val="nil"/>
                    <w:bottom w:val="single" w:sz="4" w:space="0" w:color="auto"/>
                    <w:right w:val="single" w:sz="4" w:space="0" w:color="000000"/>
                  </w:tcBorders>
                  <w:shd w:val="clear" w:color="auto" w:fill="auto"/>
                  <w:vAlign w:val="center"/>
                  <w:hideMark/>
                </w:tcPr>
                <w:p w14:paraId="40B216B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 richieste di contributi evase (erogazione delle somme </w:t>
                  </w:r>
                  <w:proofErr w:type="gramStart"/>
                  <w:r w:rsidRPr="00F56356">
                    <w:rPr>
                      <w:rFonts w:ascii="Times New Roman" w:eastAsia="Times New Roman" w:hAnsi="Times New Roman" w:cs="Times New Roman"/>
                      <w:color w:val="000000"/>
                      <w:sz w:val="20"/>
                      <w:szCs w:val="20"/>
                      <w:lang w:eastAsia="it-IT"/>
                    </w:rPr>
                    <w:t>richieste)/</w:t>
                  </w:r>
                  <w:proofErr w:type="gramEnd"/>
                  <w:r w:rsidRPr="00F56356">
                    <w:rPr>
                      <w:rFonts w:ascii="Times New Roman" w:eastAsia="Times New Roman" w:hAnsi="Times New Roman" w:cs="Times New Roman"/>
                      <w:color w:val="000000"/>
                      <w:sz w:val="20"/>
                      <w:szCs w:val="20"/>
                      <w:lang w:eastAsia="it-IT"/>
                    </w:rPr>
                    <w:t>N. richieste di contributi erogabili previa verifica di regolarità amministrativa ai sensi della normativa vigente</w:t>
                  </w:r>
                </w:p>
              </w:tc>
              <w:tc>
                <w:tcPr>
                  <w:tcW w:w="1160" w:type="dxa"/>
                  <w:tcBorders>
                    <w:top w:val="nil"/>
                    <w:left w:val="nil"/>
                    <w:bottom w:val="single" w:sz="4" w:space="0" w:color="auto"/>
                    <w:right w:val="nil"/>
                  </w:tcBorders>
                  <w:shd w:val="clear" w:color="auto" w:fill="auto"/>
                  <w:vAlign w:val="center"/>
                  <w:hideMark/>
                </w:tcPr>
                <w:p w14:paraId="0B1D49D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17" w:type="dxa"/>
                  <w:tcBorders>
                    <w:top w:val="nil"/>
                    <w:left w:val="single" w:sz="4" w:space="0" w:color="auto"/>
                    <w:bottom w:val="single" w:sz="4" w:space="0" w:color="auto"/>
                    <w:right w:val="nil"/>
                  </w:tcBorders>
                  <w:shd w:val="clear" w:color="auto" w:fill="auto"/>
                  <w:vAlign w:val="center"/>
                  <w:hideMark/>
                </w:tcPr>
                <w:p w14:paraId="7DA65FC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2B5F2C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F43F4EF" w14:textId="77777777" w:rsidTr="00F56356">
              <w:trPr>
                <w:trHeight w:val="312"/>
              </w:trPr>
              <w:tc>
                <w:tcPr>
                  <w:tcW w:w="337" w:type="dxa"/>
                  <w:tcBorders>
                    <w:top w:val="nil"/>
                    <w:left w:val="nil"/>
                    <w:bottom w:val="nil"/>
                    <w:right w:val="nil"/>
                  </w:tcBorders>
                  <w:shd w:val="clear" w:color="auto" w:fill="auto"/>
                  <w:noWrap/>
                  <w:vAlign w:val="bottom"/>
                  <w:hideMark/>
                </w:tcPr>
                <w:p w14:paraId="367068E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689" w:type="dxa"/>
                  <w:tcBorders>
                    <w:top w:val="nil"/>
                    <w:left w:val="single" w:sz="4" w:space="0" w:color="auto"/>
                    <w:bottom w:val="single" w:sz="4" w:space="0" w:color="auto"/>
                    <w:right w:val="single" w:sz="4" w:space="0" w:color="auto"/>
                  </w:tcBorders>
                  <w:shd w:val="clear" w:color="auto" w:fill="auto"/>
                  <w:vAlign w:val="center"/>
                  <w:hideMark/>
                </w:tcPr>
                <w:p w14:paraId="11756C5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87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CA1A3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60" w:type="dxa"/>
                  <w:tcBorders>
                    <w:top w:val="nil"/>
                    <w:left w:val="nil"/>
                    <w:bottom w:val="single" w:sz="4" w:space="0" w:color="auto"/>
                    <w:right w:val="single" w:sz="4" w:space="0" w:color="auto"/>
                  </w:tcBorders>
                  <w:shd w:val="clear" w:color="auto" w:fill="auto"/>
                  <w:noWrap/>
                  <w:vAlign w:val="center"/>
                  <w:hideMark/>
                </w:tcPr>
                <w:p w14:paraId="445BF32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17" w:type="dxa"/>
                  <w:tcBorders>
                    <w:top w:val="nil"/>
                    <w:left w:val="nil"/>
                    <w:bottom w:val="single" w:sz="4" w:space="0" w:color="auto"/>
                    <w:right w:val="nil"/>
                  </w:tcBorders>
                  <w:shd w:val="clear" w:color="auto" w:fill="auto"/>
                  <w:vAlign w:val="center"/>
                  <w:hideMark/>
                </w:tcPr>
                <w:p w14:paraId="168B730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7EC8FAA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r>
            <w:tr w:rsidR="00F56356" w:rsidRPr="00F56356" w14:paraId="0D38F0FB" w14:textId="77777777" w:rsidTr="00F56356">
              <w:trPr>
                <w:trHeight w:val="1360"/>
              </w:trPr>
              <w:tc>
                <w:tcPr>
                  <w:tcW w:w="337" w:type="dxa"/>
                  <w:tcBorders>
                    <w:top w:val="nil"/>
                    <w:left w:val="nil"/>
                    <w:bottom w:val="nil"/>
                    <w:right w:val="nil"/>
                  </w:tcBorders>
                  <w:shd w:val="clear" w:color="auto" w:fill="auto"/>
                  <w:noWrap/>
                  <w:vAlign w:val="bottom"/>
                  <w:hideMark/>
                </w:tcPr>
                <w:p w14:paraId="6D187E2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15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FAD0F83" w14:textId="77777777" w:rsidR="00F56356" w:rsidRPr="00F56356" w:rsidRDefault="00F56356" w:rsidP="00F56356">
                  <w:pPr>
                    <w:spacing w:after="0" w:line="240" w:lineRule="auto"/>
                    <w:jc w:val="both"/>
                    <w:rPr>
                      <w:rFonts w:ascii="Times New Roman" w:eastAsia="Times New Roman" w:hAnsi="Times New Roman" w:cs="Times New Roman"/>
                      <w:sz w:val="18"/>
                      <w:szCs w:val="18"/>
                      <w:lang w:eastAsia="it-IT"/>
                    </w:rPr>
                  </w:pPr>
                  <w:r w:rsidRPr="00F56356">
                    <w:rPr>
                      <w:rFonts w:ascii="Times New Roman" w:eastAsia="Times New Roman" w:hAnsi="Times New Roman" w:cs="Times New Roman"/>
                      <w:sz w:val="18"/>
                      <w:szCs w:val="18"/>
                      <w:lang w:eastAsia="it-IT"/>
                    </w:rPr>
                    <w:t>Motivazioni degli eventuali scostamenti tra valori target a preventivo e valori target a consuntivo:</w:t>
                  </w:r>
                  <w:r w:rsidRPr="00F56356">
                    <w:rPr>
                      <w:rFonts w:ascii="Times New Roman" w:eastAsia="Times New Roman" w:hAnsi="Times New Roman" w:cs="Times New Roman"/>
                      <w:sz w:val="18"/>
                      <w:szCs w:val="18"/>
                      <w:lang w:eastAsia="it-IT"/>
                    </w:rPr>
                    <w:br/>
                    <w:t>La Struttura ha provveduto a erogare in conto residui la prima tranche di contributo - pari a euro 500.000 e riferita all'E.F. 2021 - su richiesta del Milan Center e ai sensi di quanto previsto dalla Convenzione sottoscritta il 9 dicembre del 2021.</w:t>
                  </w:r>
                  <w:r w:rsidRPr="00F56356">
                    <w:rPr>
                      <w:rFonts w:ascii="Times New Roman" w:eastAsia="Times New Roman" w:hAnsi="Times New Roman" w:cs="Times New Roman"/>
                      <w:sz w:val="18"/>
                      <w:szCs w:val="18"/>
                      <w:lang w:eastAsia="it-IT"/>
                    </w:rPr>
                    <w:br/>
                    <w:t>L'erogazione della seconda e ultima tranche di 500.000 euro, prevista nel 2022, è stata posticipata all'E.F. 2024, a seguito della richiesta di proroga della durata della Convenzione, avanzata dal Milan Center nel settembre 2022. La concessione della proroga è stata formalizzata con la sottoscrizione di un Addendum modificativo della Convenzione.</w:t>
                  </w:r>
                </w:p>
              </w:tc>
            </w:tr>
          </w:tbl>
          <w:p w14:paraId="5C817F3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6EFB0785"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39"/>
              <w:gridCol w:w="2733"/>
              <w:gridCol w:w="539"/>
              <w:gridCol w:w="1237"/>
              <w:gridCol w:w="1137"/>
              <w:gridCol w:w="1177"/>
              <w:gridCol w:w="1337"/>
              <w:gridCol w:w="1137"/>
            </w:tblGrid>
            <w:tr w:rsidR="00F56356" w:rsidRPr="00F56356" w14:paraId="04881B68" w14:textId="77777777" w:rsidTr="00F56356">
              <w:trPr>
                <w:trHeight w:val="510"/>
              </w:trPr>
              <w:tc>
                <w:tcPr>
                  <w:tcW w:w="340" w:type="dxa"/>
                  <w:tcBorders>
                    <w:top w:val="nil"/>
                    <w:left w:val="nil"/>
                    <w:bottom w:val="nil"/>
                    <w:right w:val="nil"/>
                  </w:tcBorders>
                  <w:shd w:val="clear" w:color="auto" w:fill="auto"/>
                  <w:noWrap/>
                  <w:vAlign w:val="bottom"/>
                  <w:hideMark/>
                </w:tcPr>
                <w:p w14:paraId="2F5C7AA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D9D33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3B3BE5D" w14:textId="77777777" w:rsidTr="00F56356">
              <w:trPr>
                <w:trHeight w:val="690"/>
              </w:trPr>
              <w:tc>
                <w:tcPr>
                  <w:tcW w:w="340" w:type="dxa"/>
                  <w:tcBorders>
                    <w:top w:val="nil"/>
                    <w:left w:val="nil"/>
                    <w:bottom w:val="nil"/>
                    <w:right w:val="nil"/>
                  </w:tcBorders>
                  <w:shd w:val="clear" w:color="auto" w:fill="auto"/>
                  <w:noWrap/>
                  <w:vAlign w:val="center"/>
                  <w:hideMark/>
                </w:tcPr>
                <w:p w14:paraId="74900A0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DD463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7DBBB7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5E9C316E" w14:textId="77777777" w:rsidTr="00F56356">
              <w:trPr>
                <w:trHeight w:val="690"/>
              </w:trPr>
              <w:tc>
                <w:tcPr>
                  <w:tcW w:w="340" w:type="dxa"/>
                  <w:tcBorders>
                    <w:top w:val="nil"/>
                    <w:left w:val="nil"/>
                    <w:bottom w:val="nil"/>
                    <w:right w:val="nil"/>
                  </w:tcBorders>
                  <w:shd w:val="clear" w:color="auto" w:fill="auto"/>
                  <w:noWrap/>
                  <w:vAlign w:val="center"/>
                  <w:hideMark/>
                </w:tcPr>
                <w:p w14:paraId="319AD27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8939E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A7E695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4CA1E117" w14:textId="77777777" w:rsidTr="00F56356">
              <w:trPr>
                <w:trHeight w:val="690"/>
              </w:trPr>
              <w:tc>
                <w:tcPr>
                  <w:tcW w:w="340" w:type="dxa"/>
                  <w:tcBorders>
                    <w:top w:val="nil"/>
                    <w:left w:val="nil"/>
                    <w:bottom w:val="nil"/>
                    <w:right w:val="nil"/>
                  </w:tcBorders>
                  <w:shd w:val="clear" w:color="auto" w:fill="auto"/>
                  <w:noWrap/>
                  <w:vAlign w:val="center"/>
                  <w:hideMark/>
                </w:tcPr>
                <w:p w14:paraId="2921287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1B5A5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C64A88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7E30589D" w14:textId="77777777" w:rsidTr="00F56356">
              <w:trPr>
                <w:trHeight w:val="435"/>
              </w:trPr>
              <w:tc>
                <w:tcPr>
                  <w:tcW w:w="340" w:type="dxa"/>
                  <w:tcBorders>
                    <w:top w:val="nil"/>
                    <w:left w:val="nil"/>
                    <w:bottom w:val="nil"/>
                    <w:right w:val="nil"/>
                  </w:tcBorders>
                  <w:shd w:val="clear" w:color="auto" w:fill="auto"/>
                  <w:noWrap/>
                  <w:vAlign w:val="center"/>
                  <w:hideMark/>
                </w:tcPr>
                <w:p w14:paraId="794502F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78FFF9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A4C5A4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607F8B1" w14:textId="77777777" w:rsidTr="00F56356">
              <w:trPr>
                <w:trHeight w:val="435"/>
              </w:trPr>
              <w:tc>
                <w:tcPr>
                  <w:tcW w:w="340" w:type="dxa"/>
                  <w:tcBorders>
                    <w:top w:val="nil"/>
                    <w:left w:val="nil"/>
                    <w:bottom w:val="nil"/>
                    <w:right w:val="nil"/>
                  </w:tcBorders>
                  <w:shd w:val="clear" w:color="auto" w:fill="auto"/>
                  <w:noWrap/>
                  <w:vAlign w:val="center"/>
                  <w:hideMark/>
                </w:tcPr>
                <w:p w14:paraId="1FC484C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126CF5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8ECF88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96F2CE1" w14:textId="77777777" w:rsidTr="00F56356">
              <w:trPr>
                <w:trHeight w:val="855"/>
              </w:trPr>
              <w:tc>
                <w:tcPr>
                  <w:tcW w:w="340" w:type="dxa"/>
                  <w:tcBorders>
                    <w:top w:val="nil"/>
                    <w:left w:val="nil"/>
                    <w:bottom w:val="nil"/>
                    <w:right w:val="nil"/>
                  </w:tcBorders>
                  <w:shd w:val="clear" w:color="auto" w:fill="auto"/>
                  <w:noWrap/>
                  <w:vAlign w:val="center"/>
                  <w:hideMark/>
                </w:tcPr>
                <w:p w14:paraId="4ADC4C0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05CBAE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07BD38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Attuazione del programma di iniziative commemorative, aventi rilevanza nazionale</w:t>
                  </w:r>
                </w:p>
              </w:tc>
            </w:tr>
            <w:tr w:rsidR="00F56356" w:rsidRPr="00F56356" w14:paraId="02FA3826" w14:textId="77777777" w:rsidTr="00F56356">
              <w:trPr>
                <w:trHeight w:val="900"/>
              </w:trPr>
              <w:tc>
                <w:tcPr>
                  <w:tcW w:w="340" w:type="dxa"/>
                  <w:tcBorders>
                    <w:top w:val="nil"/>
                    <w:left w:val="nil"/>
                    <w:bottom w:val="nil"/>
                    <w:right w:val="nil"/>
                  </w:tcBorders>
                  <w:shd w:val="clear" w:color="auto" w:fill="auto"/>
                  <w:noWrap/>
                  <w:vAlign w:val="center"/>
                  <w:hideMark/>
                </w:tcPr>
                <w:p w14:paraId="29196A2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F09172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AC92E1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Avvio delle procedure tecnico-amministrative per la realizzazione del programma di iniziative culturali programmate dal Comitato per gli anniversari di interesse nazionale ovvero dall'Autorità politica delegata, per l’anno 2022</w:t>
                  </w:r>
                </w:p>
              </w:tc>
            </w:tr>
            <w:tr w:rsidR="00F56356" w:rsidRPr="00F56356" w14:paraId="3652F4E2" w14:textId="77777777" w:rsidTr="00F56356">
              <w:trPr>
                <w:trHeight w:val="525"/>
              </w:trPr>
              <w:tc>
                <w:tcPr>
                  <w:tcW w:w="340" w:type="dxa"/>
                  <w:tcBorders>
                    <w:top w:val="nil"/>
                    <w:left w:val="nil"/>
                    <w:bottom w:val="nil"/>
                    <w:right w:val="nil"/>
                  </w:tcBorders>
                  <w:shd w:val="clear" w:color="auto" w:fill="auto"/>
                  <w:noWrap/>
                  <w:vAlign w:val="bottom"/>
                  <w:hideMark/>
                </w:tcPr>
                <w:p w14:paraId="5448ACB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317016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49DFF9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216</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62697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675F55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29F8C0EF" w14:textId="77777777" w:rsidTr="00F56356">
              <w:trPr>
                <w:trHeight w:val="1305"/>
              </w:trPr>
              <w:tc>
                <w:tcPr>
                  <w:tcW w:w="340" w:type="dxa"/>
                  <w:tcBorders>
                    <w:top w:val="nil"/>
                    <w:left w:val="nil"/>
                    <w:bottom w:val="nil"/>
                    <w:right w:val="nil"/>
                  </w:tcBorders>
                  <w:shd w:val="clear" w:color="auto" w:fill="auto"/>
                  <w:noWrap/>
                  <w:vAlign w:val="bottom"/>
                  <w:hideMark/>
                </w:tcPr>
                <w:p w14:paraId="278964D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CEF0ED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A18E31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7CC977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EDA725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D6228F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9CB252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15D790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63E7B4D" w14:textId="77777777" w:rsidTr="00F56356">
              <w:trPr>
                <w:trHeight w:val="720"/>
              </w:trPr>
              <w:tc>
                <w:tcPr>
                  <w:tcW w:w="340" w:type="dxa"/>
                  <w:tcBorders>
                    <w:top w:val="nil"/>
                    <w:left w:val="nil"/>
                    <w:bottom w:val="nil"/>
                    <w:right w:val="nil"/>
                  </w:tcBorders>
                  <w:shd w:val="clear" w:color="auto" w:fill="auto"/>
                  <w:noWrap/>
                  <w:vAlign w:val="bottom"/>
                  <w:hideMark/>
                </w:tcPr>
                <w:p w14:paraId="470E5E1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D3BE32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D8650B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4D37ED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2.000.000,00</w:t>
                  </w:r>
                </w:p>
              </w:tc>
              <w:tc>
                <w:tcPr>
                  <w:tcW w:w="1140" w:type="dxa"/>
                  <w:tcBorders>
                    <w:top w:val="nil"/>
                    <w:left w:val="nil"/>
                    <w:bottom w:val="single" w:sz="4" w:space="0" w:color="auto"/>
                    <w:right w:val="single" w:sz="4" w:space="0" w:color="auto"/>
                  </w:tcBorders>
                  <w:shd w:val="clear" w:color="auto" w:fill="auto"/>
                  <w:noWrap/>
                  <w:vAlign w:val="center"/>
                  <w:hideMark/>
                </w:tcPr>
                <w:p w14:paraId="30B6737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3.754.695,23</w:t>
                  </w:r>
                </w:p>
              </w:tc>
              <w:tc>
                <w:tcPr>
                  <w:tcW w:w="1180" w:type="dxa"/>
                  <w:tcBorders>
                    <w:top w:val="nil"/>
                    <w:left w:val="nil"/>
                    <w:bottom w:val="single" w:sz="4" w:space="0" w:color="auto"/>
                    <w:right w:val="single" w:sz="4" w:space="0" w:color="auto"/>
                  </w:tcBorders>
                  <w:shd w:val="clear" w:color="auto" w:fill="auto"/>
                  <w:noWrap/>
                  <w:vAlign w:val="center"/>
                  <w:hideMark/>
                </w:tcPr>
                <w:p w14:paraId="6279A41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1.416.292,92</w:t>
                  </w:r>
                </w:p>
              </w:tc>
              <w:tc>
                <w:tcPr>
                  <w:tcW w:w="1340" w:type="dxa"/>
                  <w:tcBorders>
                    <w:top w:val="nil"/>
                    <w:left w:val="nil"/>
                    <w:bottom w:val="single" w:sz="4" w:space="0" w:color="auto"/>
                    <w:right w:val="single" w:sz="4" w:space="0" w:color="auto"/>
                  </w:tcBorders>
                  <w:shd w:val="clear" w:color="auto" w:fill="auto"/>
                  <w:noWrap/>
                  <w:vAlign w:val="center"/>
                  <w:hideMark/>
                </w:tcPr>
                <w:p w14:paraId="6F9978E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784.046,32</w:t>
                  </w:r>
                </w:p>
              </w:tc>
              <w:tc>
                <w:tcPr>
                  <w:tcW w:w="1140" w:type="dxa"/>
                  <w:tcBorders>
                    <w:top w:val="nil"/>
                    <w:left w:val="nil"/>
                    <w:bottom w:val="single" w:sz="4" w:space="0" w:color="auto"/>
                    <w:right w:val="single" w:sz="4" w:space="0" w:color="auto"/>
                  </w:tcBorders>
                  <w:shd w:val="clear" w:color="auto" w:fill="auto"/>
                  <w:noWrap/>
                  <w:vAlign w:val="center"/>
                  <w:hideMark/>
                </w:tcPr>
                <w:p w14:paraId="6DBFE84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2.200.339,24</w:t>
                  </w:r>
                </w:p>
              </w:tc>
            </w:tr>
            <w:tr w:rsidR="00F56356" w:rsidRPr="00F56356" w14:paraId="69473FE4" w14:textId="77777777" w:rsidTr="00F56356">
              <w:trPr>
                <w:trHeight w:val="330"/>
              </w:trPr>
              <w:tc>
                <w:tcPr>
                  <w:tcW w:w="340" w:type="dxa"/>
                  <w:tcBorders>
                    <w:top w:val="nil"/>
                    <w:left w:val="nil"/>
                    <w:bottom w:val="nil"/>
                    <w:right w:val="nil"/>
                  </w:tcBorders>
                  <w:shd w:val="clear" w:color="auto" w:fill="auto"/>
                  <w:noWrap/>
                  <w:vAlign w:val="bottom"/>
                  <w:hideMark/>
                </w:tcPr>
                <w:p w14:paraId="560D29E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20CDF7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2E6286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2A8020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6261C85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5C50761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5D0510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73C1B4F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CFD2A49" w14:textId="77777777" w:rsidTr="00F56356">
              <w:trPr>
                <w:trHeight w:val="540"/>
              </w:trPr>
              <w:tc>
                <w:tcPr>
                  <w:tcW w:w="340" w:type="dxa"/>
                  <w:tcBorders>
                    <w:top w:val="nil"/>
                    <w:left w:val="nil"/>
                    <w:bottom w:val="nil"/>
                    <w:right w:val="nil"/>
                  </w:tcBorders>
                  <w:shd w:val="clear" w:color="auto" w:fill="auto"/>
                  <w:noWrap/>
                  <w:vAlign w:val="bottom"/>
                  <w:hideMark/>
                </w:tcPr>
                <w:p w14:paraId="6D6AEC7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9FE548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2CDF1C79" w14:textId="77777777" w:rsidTr="00F56356">
              <w:trPr>
                <w:trHeight w:val="345"/>
              </w:trPr>
              <w:tc>
                <w:tcPr>
                  <w:tcW w:w="340" w:type="dxa"/>
                  <w:tcBorders>
                    <w:top w:val="nil"/>
                    <w:left w:val="nil"/>
                    <w:bottom w:val="nil"/>
                    <w:right w:val="nil"/>
                  </w:tcBorders>
                  <w:shd w:val="clear" w:color="auto" w:fill="auto"/>
                  <w:noWrap/>
                  <w:vAlign w:val="bottom"/>
                  <w:hideMark/>
                </w:tcPr>
                <w:p w14:paraId="474C26A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F73E9D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4BD66113" w14:textId="77777777" w:rsidTr="00F56356">
              <w:trPr>
                <w:trHeight w:val="345"/>
              </w:trPr>
              <w:tc>
                <w:tcPr>
                  <w:tcW w:w="340" w:type="dxa"/>
                  <w:tcBorders>
                    <w:top w:val="nil"/>
                    <w:left w:val="nil"/>
                    <w:bottom w:val="nil"/>
                    <w:right w:val="nil"/>
                  </w:tcBorders>
                  <w:shd w:val="clear" w:color="auto" w:fill="auto"/>
                  <w:noWrap/>
                  <w:vAlign w:val="bottom"/>
                  <w:hideMark/>
                </w:tcPr>
                <w:p w14:paraId="0654245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50354BA"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5CC6973E" w14:textId="77777777" w:rsidTr="00F56356">
              <w:trPr>
                <w:trHeight w:val="480"/>
              </w:trPr>
              <w:tc>
                <w:tcPr>
                  <w:tcW w:w="340" w:type="dxa"/>
                  <w:tcBorders>
                    <w:top w:val="nil"/>
                    <w:left w:val="nil"/>
                    <w:bottom w:val="nil"/>
                    <w:right w:val="nil"/>
                  </w:tcBorders>
                  <w:shd w:val="clear" w:color="auto" w:fill="auto"/>
                  <w:noWrap/>
                  <w:vAlign w:val="bottom"/>
                  <w:hideMark/>
                </w:tcPr>
                <w:p w14:paraId="7A56F941"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A52D4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0094CFD" w14:textId="77777777" w:rsidTr="00F56356">
              <w:trPr>
                <w:trHeight w:val="870"/>
              </w:trPr>
              <w:tc>
                <w:tcPr>
                  <w:tcW w:w="340" w:type="dxa"/>
                  <w:tcBorders>
                    <w:top w:val="nil"/>
                    <w:left w:val="nil"/>
                    <w:bottom w:val="nil"/>
                    <w:right w:val="nil"/>
                  </w:tcBorders>
                  <w:shd w:val="clear" w:color="auto" w:fill="auto"/>
                  <w:noWrap/>
                  <w:vAlign w:val="center"/>
                  <w:hideMark/>
                </w:tcPr>
                <w:p w14:paraId="49A5040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979C7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5595B1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autorizzati</w:t>
                  </w:r>
                </w:p>
              </w:tc>
            </w:tr>
            <w:tr w:rsidR="00F56356" w:rsidRPr="00F56356" w14:paraId="1092B458" w14:textId="77777777" w:rsidTr="00F56356">
              <w:trPr>
                <w:trHeight w:val="585"/>
              </w:trPr>
              <w:tc>
                <w:tcPr>
                  <w:tcW w:w="340" w:type="dxa"/>
                  <w:tcBorders>
                    <w:top w:val="nil"/>
                    <w:left w:val="nil"/>
                    <w:bottom w:val="nil"/>
                    <w:right w:val="nil"/>
                  </w:tcBorders>
                  <w:shd w:val="clear" w:color="auto" w:fill="auto"/>
                  <w:noWrap/>
                  <w:vAlign w:val="center"/>
                  <w:hideMark/>
                </w:tcPr>
                <w:p w14:paraId="0FDB5D8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9EDE4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2C311E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SICOGE/protocollo informatico, posta elettronica certificata.</w:t>
                  </w:r>
                </w:p>
              </w:tc>
            </w:tr>
            <w:tr w:rsidR="00F56356" w:rsidRPr="00F56356" w14:paraId="3C805B9F" w14:textId="77777777" w:rsidTr="00F56356">
              <w:trPr>
                <w:trHeight w:val="1650"/>
              </w:trPr>
              <w:tc>
                <w:tcPr>
                  <w:tcW w:w="340" w:type="dxa"/>
                  <w:tcBorders>
                    <w:top w:val="nil"/>
                    <w:left w:val="nil"/>
                    <w:bottom w:val="nil"/>
                    <w:right w:val="nil"/>
                  </w:tcBorders>
                  <w:shd w:val="clear" w:color="auto" w:fill="auto"/>
                  <w:noWrap/>
                  <w:vAlign w:val="center"/>
                  <w:hideMark/>
                </w:tcPr>
                <w:p w14:paraId="671D5D4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C8F437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4F1BA5D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progetti-iniziative avviati/N° totale dei progetti-iniziative autorizzati sulla base della Direttiva per l'Azione Amministrativa e la gestione dell'Autorità politica delegata per l'anno 2022</w:t>
                  </w:r>
                </w:p>
              </w:tc>
              <w:tc>
                <w:tcPr>
                  <w:tcW w:w="1180" w:type="dxa"/>
                  <w:tcBorders>
                    <w:top w:val="nil"/>
                    <w:left w:val="nil"/>
                    <w:bottom w:val="single" w:sz="4" w:space="0" w:color="auto"/>
                    <w:right w:val="nil"/>
                  </w:tcBorders>
                  <w:shd w:val="clear" w:color="auto" w:fill="auto"/>
                  <w:vAlign w:val="center"/>
                  <w:hideMark/>
                </w:tcPr>
                <w:p w14:paraId="72B6D85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B965F4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2D18FA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31FCF02A" w14:textId="77777777" w:rsidTr="00F56356">
              <w:trPr>
                <w:trHeight w:val="615"/>
              </w:trPr>
              <w:tc>
                <w:tcPr>
                  <w:tcW w:w="340" w:type="dxa"/>
                  <w:tcBorders>
                    <w:top w:val="nil"/>
                    <w:left w:val="nil"/>
                    <w:bottom w:val="nil"/>
                    <w:right w:val="nil"/>
                  </w:tcBorders>
                  <w:shd w:val="clear" w:color="auto" w:fill="auto"/>
                  <w:noWrap/>
                  <w:vAlign w:val="bottom"/>
                  <w:hideMark/>
                </w:tcPr>
                <w:p w14:paraId="2347C2D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309DDE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C92210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D0937E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35B1407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C025ED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4F964C8E"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564" w:type="dxa"/>
              <w:tblCellMar>
                <w:left w:w="70" w:type="dxa"/>
                <w:right w:w="70" w:type="dxa"/>
              </w:tblCellMar>
              <w:tblLook w:val="04A0" w:firstRow="1" w:lastRow="0" w:firstColumn="1" w:lastColumn="0" w:noHBand="0" w:noVBand="1"/>
            </w:tblPr>
            <w:tblGrid>
              <w:gridCol w:w="319"/>
              <w:gridCol w:w="2450"/>
              <w:gridCol w:w="502"/>
              <w:gridCol w:w="1283"/>
              <w:gridCol w:w="1321"/>
              <w:gridCol w:w="1130"/>
              <w:gridCol w:w="1371"/>
              <w:gridCol w:w="1216"/>
            </w:tblGrid>
            <w:tr w:rsidR="00F56356" w:rsidRPr="00F56356" w14:paraId="2E37B5F9" w14:textId="77777777" w:rsidTr="00F56356">
              <w:trPr>
                <w:trHeight w:val="510"/>
              </w:trPr>
              <w:tc>
                <w:tcPr>
                  <w:tcW w:w="319" w:type="dxa"/>
                  <w:tcBorders>
                    <w:top w:val="nil"/>
                    <w:left w:val="nil"/>
                    <w:bottom w:val="nil"/>
                    <w:right w:val="nil"/>
                  </w:tcBorders>
                  <w:shd w:val="clear" w:color="auto" w:fill="auto"/>
                  <w:noWrap/>
                  <w:vAlign w:val="bottom"/>
                  <w:hideMark/>
                </w:tcPr>
                <w:p w14:paraId="5403C07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24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CAAF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660CDE39" w14:textId="77777777" w:rsidTr="00F56356">
              <w:trPr>
                <w:trHeight w:val="690"/>
              </w:trPr>
              <w:tc>
                <w:tcPr>
                  <w:tcW w:w="319" w:type="dxa"/>
                  <w:tcBorders>
                    <w:top w:val="nil"/>
                    <w:left w:val="nil"/>
                    <w:bottom w:val="nil"/>
                    <w:right w:val="nil"/>
                  </w:tcBorders>
                  <w:shd w:val="clear" w:color="auto" w:fill="auto"/>
                  <w:noWrap/>
                  <w:vAlign w:val="center"/>
                  <w:hideMark/>
                </w:tcPr>
                <w:p w14:paraId="2A4CEF0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647B4DD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6965161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09EBB4CD" w14:textId="77777777" w:rsidTr="00F56356">
              <w:trPr>
                <w:trHeight w:val="690"/>
              </w:trPr>
              <w:tc>
                <w:tcPr>
                  <w:tcW w:w="319" w:type="dxa"/>
                  <w:tcBorders>
                    <w:top w:val="nil"/>
                    <w:left w:val="nil"/>
                    <w:bottom w:val="nil"/>
                    <w:right w:val="nil"/>
                  </w:tcBorders>
                  <w:shd w:val="clear" w:color="auto" w:fill="auto"/>
                  <w:noWrap/>
                  <w:vAlign w:val="center"/>
                  <w:hideMark/>
                </w:tcPr>
                <w:p w14:paraId="16B60C3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60FEABA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79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50D4A6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09791B34" w14:textId="77777777" w:rsidTr="00F56356">
              <w:trPr>
                <w:trHeight w:val="690"/>
              </w:trPr>
              <w:tc>
                <w:tcPr>
                  <w:tcW w:w="319" w:type="dxa"/>
                  <w:tcBorders>
                    <w:top w:val="nil"/>
                    <w:left w:val="nil"/>
                    <w:bottom w:val="nil"/>
                    <w:right w:val="nil"/>
                  </w:tcBorders>
                  <w:shd w:val="clear" w:color="auto" w:fill="auto"/>
                  <w:noWrap/>
                  <w:vAlign w:val="center"/>
                  <w:hideMark/>
                </w:tcPr>
                <w:p w14:paraId="3283C11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0394488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79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AB0535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Segretariato Generale</w:t>
                  </w:r>
                </w:p>
              </w:tc>
            </w:tr>
            <w:tr w:rsidR="00F56356" w:rsidRPr="00F56356" w14:paraId="024C7AA5" w14:textId="77777777" w:rsidTr="00F56356">
              <w:trPr>
                <w:trHeight w:val="435"/>
              </w:trPr>
              <w:tc>
                <w:tcPr>
                  <w:tcW w:w="319" w:type="dxa"/>
                  <w:tcBorders>
                    <w:top w:val="nil"/>
                    <w:left w:val="nil"/>
                    <w:bottom w:val="nil"/>
                    <w:right w:val="nil"/>
                  </w:tcBorders>
                  <w:shd w:val="clear" w:color="auto" w:fill="auto"/>
                  <w:noWrap/>
                  <w:vAlign w:val="center"/>
                  <w:hideMark/>
                </w:tcPr>
                <w:p w14:paraId="0615460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792C2D7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2EDA286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7A2A551" w14:textId="77777777" w:rsidTr="00F56356">
              <w:trPr>
                <w:trHeight w:val="435"/>
              </w:trPr>
              <w:tc>
                <w:tcPr>
                  <w:tcW w:w="319" w:type="dxa"/>
                  <w:tcBorders>
                    <w:top w:val="nil"/>
                    <w:left w:val="nil"/>
                    <w:bottom w:val="nil"/>
                    <w:right w:val="nil"/>
                  </w:tcBorders>
                  <w:shd w:val="clear" w:color="auto" w:fill="auto"/>
                  <w:noWrap/>
                  <w:vAlign w:val="center"/>
                  <w:hideMark/>
                </w:tcPr>
                <w:p w14:paraId="4B09B82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4EEA6A1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11F4CE7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C4706D0" w14:textId="77777777" w:rsidTr="00F56356">
              <w:trPr>
                <w:trHeight w:val="855"/>
              </w:trPr>
              <w:tc>
                <w:tcPr>
                  <w:tcW w:w="319" w:type="dxa"/>
                  <w:tcBorders>
                    <w:top w:val="nil"/>
                    <w:left w:val="nil"/>
                    <w:bottom w:val="nil"/>
                    <w:right w:val="nil"/>
                  </w:tcBorders>
                  <w:shd w:val="clear" w:color="auto" w:fill="auto"/>
                  <w:noWrap/>
                  <w:vAlign w:val="center"/>
                  <w:hideMark/>
                </w:tcPr>
                <w:p w14:paraId="35AD03B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4973937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71ED00D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connesse all'attuazione del programma di investimento per la riqualificazione dei luoghi connessi agli eventi storici anche di rilevanza internazionale</w:t>
                  </w:r>
                </w:p>
              </w:tc>
            </w:tr>
            <w:tr w:rsidR="00F56356" w:rsidRPr="00F56356" w14:paraId="7E8AF558" w14:textId="77777777" w:rsidTr="00F56356">
              <w:trPr>
                <w:trHeight w:val="900"/>
              </w:trPr>
              <w:tc>
                <w:tcPr>
                  <w:tcW w:w="319" w:type="dxa"/>
                  <w:tcBorders>
                    <w:top w:val="nil"/>
                    <w:left w:val="nil"/>
                    <w:bottom w:val="nil"/>
                    <w:right w:val="nil"/>
                  </w:tcBorders>
                  <w:shd w:val="clear" w:color="auto" w:fill="auto"/>
                  <w:noWrap/>
                  <w:vAlign w:val="center"/>
                  <w:hideMark/>
                </w:tcPr>
                <w:p w14:paraId="3BDD1C0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2C88F0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1C7CE5D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Avvio dei procedimenti tecnico-amministrativi per la realizzazione del programma di investimenti connesso alla riqualificazione dei luoghi connessi agli eventi storici anche di rilevanza internazionale</w:t>
                  </w:r>
                </w:p>
              </w:tc>
            </w:tr>
            <w:tr w:rsidR="00F56356" w:rsidRPr="00F56356" w14:paraId="44123903" w14:textId="77777777" w:rsidTr="00F56356">
              <w:trPr>
                <w:trHeight w:val="525"/>
              </w:trPr>
              <w:tc>
                <w:tcPr>
                  <w:tcW w:w="319" w:type="dxa"/>
                  <w:tcBorders>
                    <w:top w:val="nil"/>
                    <w:left w:val="nil"/>
                    <w:bottom w:val="nil"/>
                    <w:right w:val="nil"/>
                  </w:tcBorders>
                  <w:shd w:val="clear" w:color="auto" w:fill="auto"/>
                  <w:noWrap/>
                  <w:vAlign w:val="bottom"/>
                  <w:hideMark/>
                </w:tcPr>
                <w:p w14:paraId="33F33BA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vMerge w:val="restart"/>
                  <w:tcBorders>
                    <w:top w:val="nil"/>
                    <w:left w:val="single" w:sz="4" w:space="0" w:color="auto"/>
                    <w:bottom w:val="single" w:sz="4" w:space="0" w:color="000000"/>
                    <w:right w:val="single" w:sz="4" w:space="0" w:color="auto"/>
                  </w:tcBorders>
                  <w:shd w:val="clear" w:color="auto" w:fill="auto"/>
                  <w:vAlign w:val="center"/>
                  <w:hideMark/>
                </w:tcPr>
                <w:p w14:paraId="1544A4A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02" w:type="dxa"/>
                  <w:vMerge w:val="restart"/>
                  <w:tcBorders>
                    <w:top w:val="nil"/>
                    <w:left w:val="single" w:sz="4" w:space="0" w:color="auto"/>
                    <w:bottom w:val="single" w:sz="4" w:space="0" w:color="000000"/>
                    <w:right w:val="single" w:sz="4" w:space="0" w:color="auto"/>
                  </w:tcBorders>
                  <w:shd w:val="clear" w:color="auto" w:fill="auto"/>
                  <w:vAlign w:val="center"/>
                  <w:hideMark/>
                </w:tcPr>
                <w:p w14:paraId="056C6CF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916</w:t>
                  </w:r>
                </w:p>
              </w:tc>
              <w:tc>
                <w:tcPr>
                  <w:tcW w:w="26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9DD7B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8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6A3F7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4B3B8B16" w14:textId="77777777" w:rsidTr="00F56356">
              <w:trPr>
                <w:trHeight w:val="1305"/>
              </w:trPr>
              <w:tc>
                <w:tcPr>
                  <w:tcW w:w="319" w:type="dxa"/>
                  <w:tcBorders>
                    <w:top w:val="nil"/>
                    <w:left w:val="nil"/>
                    <w:bottom w:val="nil"/>
                    <w:right w:val="nil"/>
                  </w:tcBorders>
                  <w:shd w:val="clear" w:color="auto" w:fill="auto"/>
                  <w:noWrap/>
                  <w:vAlign w:val="bottom"/>
                  <w:hideMark/>
                </w:tcPr>
                <w:p w14:paraId="0A21EE1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450" w:type="dxa"/>
                  <w:vMerge/>
                  <w:tcBorders>
                    <w:top w:val="nil"/>
                    <w:left w:val="single" w:sz="4" w:space="0" w:color="auto"/>
                    <w:bottom w:val="single" w:sz="4" w:space="0" w:color="000000"/>
                    <w:right w:val="single" w:sz="4" w:space="0" w:color="auto"/>
                  </w:tcBorders>
                  <w:vAlign w:val="center"/>
                  <w:hideMark/>
                </w:tcPr>
                <w:p w14:paraId="52B71B6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02" w:type="dxa"/>
                  <w:vMerge/>
                  <w:tcBorders>
                    <w:top w:val="nil"/>
                    <w:left w:val="single" w:sz="4" w:space="0" w:color="auto"/>
                    <w:bottom w:val="single" w:sz="4" w:space="0" w:color="000000"/>
                    <w:right w:val="single" w:sz="4" w:space="0" w:color="auto"/>
                  </w:tcBorders>
                  <w:vAlign w:val="center"/>
                  <w:hideMark/>
                </w:tcPr>
                <w:p w14:paraId="55A329B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83" w:type="dxa"/>
                  <w:tcBorders>
                    <w:top w:val="nil"/>
                    <w:left w:val="nil"/>
                    <w:bottom w:val="single" w:sz="4" w:space="0" w:color="auto"/>
                    <w:right w:val="single" w:sz="4" w:space="0" w:color="auto"/>
                  </w:tcBorders>
                  <w:shd w:val="clear" w:color="auto" w:fill="auto"/>
                  <w:vAlign w:val="center"/>
                  <w:hideMark/>
                </w:tcPr>
                <w:p w14:paraId="6F842F8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21" w:type="dxa"/>
                  <w:tcBorders>
                    <w:top w:val="nil"/>
                    <w:left w:val="nil"/>
                    <w:bottom w:val="single" w:sz="4" w:space="0" w:color="auto"/>
                    <w:right w:val="single" w:sz="4" w:space="0" w:color="auto"/>
                  </w:tcBorders>
                  <w:shd w:val="clear" w:color="auto" w:fill="auto"/>
                  <w:vAlign w:val="center"/>
                  <w:hideMark/>
                </w:tcPr>
                <w:p w14:paraId="3D1FB33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02" w:type="dxa"/>
                  <w:tcBorders>
                    <w:top w:val="nil"/>
                    <w:left w:val="nil"/>
                    <w:bottom w:val="single" w:sz="4" w:space="0" w:color="auto"/>
                    <w:right w:val="single" w:sz="4" w:space="0" w:color="auto"/>
                  </w:tcBorders>
                  <w:shd w:val="clear" w:color="auto" w:fill="auto"/>
                  <w:vAlign w:val="center"/>
                  <w:hideMark/>
                </w:tcPr>
                <w:p w14:paraId="042B444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71" w:type="dxa"/>
                  <w:tcBorders>
                    <w:top w:val="nil"/>
                    <w:left w:val="nil"/>
                    <w:bottom w:val="single" w:sz="4" w:space="0" w:color="auto"/>
                    <w:right w:val="single" w:sz="4" w:space="0" w:color="auto"/>
                  </w:tcBorders>
                  <w:shd w:val="clear" w:color="auto" w:fill="auto"/>
                  <w:vAlign w:val="center"/>
                  <w:hideMark/>
                </w:tcPr>
                <w:p w14:paraId="0AE76F4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216" w:type="dxa"/>
                  <w:tcBorders>
                    <w:top w:val="nil"/>
                    <w:left w:val="nil"/>
                    <w:bottom w:val="single" w:sz="4" w:space="0" w:color="auto"/>
                    <w:right w:val="single" w:sz="4" w:space="0" w:color="auto"/>
                  </w:tcBorders>
                  <w:shd w:val="clear" w:color="auto" w:fill="auto"/>
                  <w:vAlign w:val="center"/>
                  <w:hideMark/>
                </w:tcPr>
                <w:p w14:paraId="6BA59B1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36C11E0" w14:textId="77777777" w:rsidTr="00F56356">
              <w:trPr>
                <w:trHeight w:val="512"/>
              </w:trPr>
              <w:tc>
                <w:tcPr>
                  <w:tcW w:w="319" w:type="dxa"/>
                  <w:tcBorders>
                    <w:top w:val="nil"/>
                    <w:left w:val="nil"/>
                    <w:bottom w:val="nil"/>
                    <w:right w:val="nil"/>
                  </w:tcBorders>
                  <w:shd w:val="clear" w:color="auto" w:fill="auto"/>
                  <w:noWrap/>
                  <w:vAlign w:val="bottom"/>
                  <w:hideMark/>
                </w:tcPr>
                <w:p w14:paraId="46539AA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50" w:type="dxa"/>
                  <w:vMerge/>
                  <w:tcBorders>
                    <w:top w:val="nil"/>
                    <w:left w:val="single" w:sz="4" w:space="0" w:color="auto"/>
                    <w:bottom w:val="single" w:sz="4" w:space="0" w:color="000000"/>
                    <w:right w:val="single" w:sz="4" w:space="0" w:color="auto"/>
                  </w:tcBorders>
                  <w:vAlign w:val="center"/>
                  <w:hideMark/>
                </w:tcPr>
                <w:p w14:paraId="106062A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02" w:type="dxa"/>
                  <w:vMerge/>
                  <w:tcBorders>
                    <w:top w:val="nil"/>
                    <w:left w:val="single" w:sz="4" w:space="0" w:color="auto"/>
                    <w:bottom w:val="single" w:sz="4" w:space="0" w:color="000000"/>
                    <w:right w:val="single" w:sz="4" w:space="0" w:color="auto"/>
                  </w:tcBorders>
                  <w:vAlign w:val="center"/>
                  <w:hideMark/>
                </w:tcPr>
                <w:p w14:paraId="5CB4F7F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83" w:type="dxa"/>
                  <w:tcBorders>
                    <w:top w:val="nil"/>
                    <w:left w:val="nil"/>
                    <w:bottom w:val="single" w:sz="4" w:space="0" w:color="auto"/>
                    <w:right w:val="single" w:sz="4" w:space="0" w:color="auto"/>
                  </w:tcBorders>
                  <w:shd w:val="clear" w:color="auto" w:fill="auto"/>
                  <w:noWrap/>
                  <w:vAlign w:val="center"/>
                  <w:hideMark/>
                </w:tcPr>
                <w:p w14:paraId="259A403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77.000.000,00</w:t>
                  </w:r>
                </w:p>
              </w:tc>
              <w:tc>
                <w:tcPr>
                  <w:tcW w:w="1321" w:type="dxa"/>
                  <w:tcBorders>
                    <w:top w:val="nil"/>
                    <w:left w:val="nil"/>
                    <w:bottom w:val="single" w:sz="4" w:space="0" w:color="auto"/>
                    <w:right w:val="single" w:sz="4" w:space="0" w:color="auto"/>
                  </w:tcBorders>
                  <w:shd w:val="clear" w:color="auto" w:fill="auto"/>
                  <w:noWrap/>
                  <w:vAlign w:val="center"/>
                  <w:hideMark/>
                </w:tcPr>
                <w:p w14:paraId="299D296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77.731.895,04</w:t>
                  </w:r>
                </w:p>
              </w:tc>
              <w:tc>
                <w:tcPr>
                  <w:tcW w:w="1102" w:type="dxa"/>
                  <w:tcBorders>
                    <w:top w:val="nil"/>
                    <w:left w:val="nil"/>
                    <w:bottom w:val="single" w:sz="4" w:space="0" w:color="auto"/>
                    <w:right w:val="single" w:sz="4" w:space="0" w:color="auto"/>
                  </w:tcBorders>
                  <w:shd w:val="clear" w:color="auto" w:fill="auto"/>
                  <w:noWrap/>
                  <w:vAlign w:val="center"/>
                  <w:hideMark/>
                </w:tcPr>
                <w:p w14:paraId="0D4A6EE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748.737,14</w:t>
                  </w:r>
                </w:p>
              </w:tc>
              <w:tc>
                <w:tcPr>
                  <w:tcW w:w="1371" w:type="dxa"/>
                  <w:tcBorders>
                    <w:top w:val="nil"/>
                    <w:left w:val="nil"/>
                    <w:bottom w:val="single" w:sz="4" w:space="0" w:color="auto"/>
                    <w:right w:val="single" w:sz="4" w:space="0" w:color="auto"/>
                  </w:tcBorders>
                  <w:shd w:val="clear" w:color="auto" w:fill="auto"/>
                  <w:noWrap/>
                  <w:vAlign w:val="center"/>
                  <w:hideMark/>
                </w:tcPr>
                <w:p w14:paraId="7B8E1C0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61.088.553,99</w:t>
                  </w:r>
                </w:p>
              </w:tc>
              <w:tc>
                <w:tcPr>
                  <w:tcW w:w="1216" w:type="dxa"/>
                  <w:tcBorders>
                    <w:top w:val="nil"/>
                    <w:left w:val="nil"/>
                    <w:bottom w:val="single" w:sz="4" w:space="0" w:color="auto"/>
                    <w:right w:val="single" w:sz="4" w:space="0" w:color="auto"/>
                  </w:tcBorders>
                  <w:shd w:val="clear" w:color="auto" w:fill="auto"/>
                  <w:noWrap/>
                  <w:vAlign w:val="center"/>
                  <w:hideMark/>
                </w:tcPr>
                <w:p w14:paraId="15D6905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61.837.291,13</w:t>
                  </w:r>
                </w:p>
              </w:tc>
            </w:tr>
            <w:tr w:rsidR="00F56356" w:rsidRPr="00F56356" w14:paraId="653F4E5B" w14:textId="77777777" w:rsidTr="00F56356">
              <w:trPr>
                <w:trHeight w:val="330"/>
              </w:trPr>
              <w:tc>
                <w:tcPr>
                  <w:tcW w:w="319" w:type="dxa"/>
                  <w:tcBorders>
                    <w:top w:val="nil"/>
                    <w:left w:val="nil"/>
                    <w:bottom w:val="nil"/>
                    <w:right w:val="nil"/>
                  </w:tcBorders>
                  <w:shd w:val="clear" w:color="auto" w:fill="auto"/>
                  <w:noWrap/>
                  <w:vAlign w:val="bottom"/>
                  <w:hideMark/>
                </w:tcPr>
                <w:p w14:paraId="43F6A80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450" w:type="dxa"/>
                  <w:tcBorders>
                    <w:top w:val="nil"/>
                    <w:left w:val="single" w:sz="4" w:space="0" w:color="auto"/>
                    <w:bottom w:val="nil"/>
                    <w:right w:val="nil"/>
                  </w:tcBorders>
                  <w:shd w:val="clear" w:color="auto" w:fill="auto"/>
                  <w:noWrap/>
                  <w:vAlign w:val="center"/>
                  <w:hideMark/>
                </w:tcPr>
                <w:p w14:paraId="6898CC5D"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02" w:type="dxa"/>
                  <w:tcBorders>
                    <w:top w:val="nil"/>
                    <w:left w:val="nil"/>
                    <w:bottom w:val="nil"/>
                    <w:right w:val="nil"/>
                  </w:tcBorders>
                  <w:shd w:val="clear" w:color="auto" w:fill="auto"/>
                  <w:noWrap/>
                  <w:vAlign w:val="bottom"/>
                  <w:hideMark/>
                </w:tcPr>
                <w:p w14:paraId="48E4F1FD"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83" w:type="dxa"/>
                  <w:tcBorders>
                    <w:top w:val="nil"/>
                    <w:left w:val="nil"/>
                    <w:bottom w:val="nil"/>
                    <w:right w:val="nil"/>
                  </w:tcBorders>
                  <w:shd w:val="clear" w:color="auto" w:fill="auto"/>
                  <w:noWrap/>
                  <w:vAlign w:val="bottom"/>
                  <w:hideMark/>
                </w:tcPr>
                <w:p w14:paraId="1224477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21" w:type="dxa"/>
                  <w:tcBorders>
                    <w:top w:val="nil"/>
                    <w:left w:val="nil"/>
                    <w:bottom w:val="nil"/>
                    <w:right w:val="nil"/>
                  </w:tcBorders>
                  <w:shd w:val="clear" w:color="auto" w:fill="auto"/>
                  <w:noWrap/>
                  <w:vAlign w:val="bottom"/>
                  <w:hideMark/>
                </w:tcPr>
                <w:p w14:paraId="14D6377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02" w:type="dxa"/>
                  <w:tcBorders>
                    <w:top w:val="nil"/>
                    <w:left w:val="nil"/>
                    <w:bottom w:val="nil"/>
                    <w:right w:val="nil"/>
                  </w:tcBorders>
                  <w:shd w:val="clear" w:color="auto" w:fill="auto"/>
                  <w:noWrap/>
                  <w:vAlign w:val="bottom"/>
                  <w:hideMark/>
                </w:tcPr>
                <w:p w14:paraId="791A692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71" w:type="dxa"/>
                  <w:tcBorders>
                    <w:top w:val="nil"/>
                    <w:left w:val="nil"/>
                    <w:bottom w:val="nil"/>
                    <w:right w:val="nil"/>
                  </w:tcBorders>
                  <w:shd w:val="clear" w:color="auto" w:fill="auto"/>
                  <w:noWrap/>
                  <w:vAlign w:val="bottom"/>
                  <w:hideMark/>
                </w:tcPr>
                <w:p w14:paraId="0541F63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16" w:type="dxa"/>
                  <w:tcBorders>
                    <w:top w:val="nil"/>
                    <w:left w:val="nil"/>
                    <w:bottom w:val="nil"/>
                    <w:right w:val="single" w:sz="4" w:space="0" w:color="auto"/>
                  </w:tcBorders>
                  <w:shd w:val="clear" w:color="auto" w:fill="auto"/>
                  <w:noWrap/>
                  <w:vAlign w:val="bottom"/>
                  <w:hideMark/>
                </w:tcPr>
                <w:p w14:paraId="4E8F29B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0C43E3F" w14:textId="77777777" w:rsidTr="00F56356">
              <w:trPr>
                <w:trHeight w:val="540"/>
              </w:trPr>
              <w:tc>
                <w:tcPr>
                  <w:tcW w:w="319" w:type="dxa"/>
                  <w:tcBorders>
                    <w:top w:val="nil"/>
                    <w:left w:val="nil"/>
                    <w:bottom w:val="nil"/>
                    <w:right w:val="nil"/>
                  </w:tcBorders>
                  <w:shd w:val="clear" w:color="auto" w:fill="auto"/>
                  <w:noWrap/>
                  <w:vAlign w:val="bottom"/>
                  <w:hideMark/>
                </w:tcPr>
                <w:p w14:paraId="48ADD7D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45" w:type="dxa"/>
                  <w:gridSpan w:val="7"/>
                  <w:tcBorders>
                    <w:top w:val="nil"/>
                    <w:left w:val="single" w:sz="4" w:space="0" w:color="auto"/>
                    <w:bottom w:val="nil"/>
                    <w:right w:val="single" w:sz="4" w:space="0" w:color="000000"/>
                  </w:tcBorders>
                  <w:shd w:val="clear" w:color="auto" w:fill="auto"/>
                  <w:vAlign w:val="center"/>
                  <w:hideMark/>
                </w:tcPr>
                <w:p w14:paraId="503E4AB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35DA6742" w14:textId="77777777" w:rsidTr="00F56356">
              <w:trPr>
                <w:trHeight w:val="345"/>
              </w:trPr>
              <w:tc>
                <w:tcPr>
                  <w:tcW w:w="319" w:type="dxa"/>
                  <w:tcBorders>
                    <w:top w:val="nil"/>
                    <w:left w:val="nil"/>
                    <w:bottom w:val="nil"/>
                    <w:right w:val="nil"/>
                  </w:tcBorders>
                  <w:shd w:val="clear" w:color="auto" w:fill="auto"/>
                  <w:noWrap/>
                  <w:vAlign w:val="bottom"/>
                  <w:hideMark/>
                </w:tcPr>
                <w:p w14:paraId="0394B77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245" w:type="dxa"/>
                  <w:gridSpan w:val="7"/>
                  <w:tcBorders>
                    <w:top w:val="nil"/>
                    <w:left w:val="single" w:sz="4" w:space="0" w:color="auto"/>
                    <w:bottom w:val="nil"/>
                    <w:right w:val="single" w:sz="4" w:space="0" w:color="000000"/>
                  </w:tcBorders>
                  <w:shd w:val="clear" w:color="auto" w:fill="auto"/>
                  <w:vAlign w:val="center"/>
                  <w:hideMark/>
                </w:tcPr>
                <w:p w14:paraId="7B4F8CD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35BB08EF" w14:textId="77777777" w:rsidTr="00F56356">
              <w:trPr>
                <w:trHeight w:val="345"/>
              </w:trPr>
              <w:tc>
                <w:tcPr>
                  <w:tcW w:w="319" w:type="dxa"/>
                  <w:tcBorders>
                    <w:top w:val="nil"/>
                    <w:left w:val="nil"/>
                    <w:bottom w:val="nil"/>
                    <w:right w:val="nil"/>
                  </w:tcBorders>
                  <w:shd w:val="clear" w:color="auto" w:fill="auto"/>
                  <w:noWrap/>
                  <w:vAlign w:val="bottom"/>
                  <w:hideMark/>
                </w:tcPr>
                <w:p w14:paraId="16B8191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45" w:type="dxa"/>
                  <w:gridSpan w:val="7"/>
                  <w:tcBorders>
                    <w:top w:val="nil"/>
                    <w:left w:val="single" w:sz="4" w:space="0" w:color="auto"/>
                    <w:bottom w:val="single" w:sz="4" w:space="0" w:color="auto"/>
                    <w:right w:val="single" w:sz="4" w:space="0" w:color="000000"/>
                  </w:tcBorders>
                  <w:shd w:val="clear" w:color="auto" w:fill="auto"/>
                  <w:vAlign w:val="center"/>
                  <w:hideMark/>
                </w:tcPr>
                <w:p w14:paraId="2FA706C2"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0EFE5825" w14:textId="77777777" w:rsidTr="00F56356">
              <w:trPr>
                <w:trHeight w:val="480"/>
              </w:trPr>
              <w:tc>
                <w:tcPr>
                  <w:tcW w:w="319" w:type="dxa"/>
                  <w:tcBorders>
                    <w:top w:val="nil"/>
                    <w:left w:val="nil"/>
                    <w:bottom w:val="nil"/>
                    <w:right w:val="nil"/>
                  </w:tcBorders>
                  <w:shd w:val="clear" w:color="auto" w:fill="auto"/>
                  <w:noWrap/>
                  <w:vAlign w:val="bottom"/>
                  <w:hideMark/>
                </w:tcPr>
                <w:p w14:paraId="63528519"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24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90CD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AB39EE5" w14:textId="77777777" w:rsidTr="00F56356">
              <w:trPr>
                <w:trHeight w:val="870"/>
              </w:trPr>
              <w:tc>
                <w:tcPr>
                  <w:tcW w:w="319" w:type="dxa"/>
                  <w:tcBorders>
                    <w:top w:val="nil"/>
                    <w:left w:val="nil"/>
                    <w:bottom w:val="nil"/>
                    <w:right w:val="nil"/>
                  </w:tcBorders>
                  <w:shd w:val="clear" w:color="auto" w:fill="auto"/>
                  <w:noWrap/>
                  <w:vAlign w:val="center"/>
                  <w:hideMark/>
                </w:tcPr>
                <w:p w14:paraId="4E88343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5A482BB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1DC146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autorizzati.</w:t>
                  </w:r>
                </w:p>
              </w:tc>
            </w:tr>
            <w:tr w:rsidR="00F56356" w:rsidRPr="00F56356" w14:paraId="5E60A231" w14:textId="77777777" w:rsidTr="00F56356">
              <w:trPr>
                <w:trHeight w:val="536"/>
              </w:trPr>
              <w:tc>
                <w:tcPr>
                  <w:tcW w:w="319" w:type="dxa"/>
                  <w:tcBorders>
                    <w:top w:val="nil"/>
                    <w:left w:val="nil"/>
                    <w:bottom w:val="nil"/>
                    <w:right w:val="nil"/>
                  </w:tcBorders>
                  <w:shd w:val="clear" w:color="auto" w:fill="auto"/>
                  <w:noWrap/>
                  <w:vAlign w:val="center"/>
                  <w:hideMark/>
                </w:tcPr>
                <w:p w14:paraId="77E3684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6A23F7E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795" w:type="dxa"/>
                  <w:gridSpan w:val="6"/>
                  <w:tcBorders>
                    <w:top w:val="single" w:sz="4" w:space="0" w:color="auto"/>
                    <w:left w:val="nil"/>
                    <w:bottom w:val="single" w:sz="4" w:space="0" w:color="auto"/>
                    <w:right w:val="single" w:sz="4" w:space="0" w:color="000000"/>
                  </w:tcBorders>
                  <w:shd w:val="clear" w:color="auto" w:fill="auto"/>
                  <w:vAlign w:val="center"/>
                  <w:hideMark/>
                </w:tcPr>
                <w:p w14:paraId="00EB4FC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SICOGE/protocollo informatico, posta elettronica certificata.</w:t>
                  </w:r>
                </w:p>
              </w:tc>
            </w:tr>
            <w:tr w:rsidR="00F56356" w:rsidRPr="00F56356" w14:paraId="0C917C5C" w14:textId="77777777" w:rsidTr="00F56356">
              <w:trPr>
                <w:trHeight w:val="1746"/>
              </w:trPr>
              <w:tc>
                <w:tcPr>
                  <w:tcW w:w="319" w:type="dxa"/>
                  <w:tcBorders>
                    <w:top w:val="nil"/>
                    <w:left w:val="nil"/>
                    <w:bottom w:val="nil"/>
                    <w:right w:val="nil"/>
                  </w:tcBorders>
                  <w:shd w:val="clear" w:color="auto" w:fill="auto"/>
                  <w:noWrap/>
                  <w:vAlign w:val="center"/>
                  <w:hideMark/>
                </w:tcPr>
                <w:p w14:paraId="3C3B194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50" w:type="dxa"/>
                  <w:tcBorders>
                    <w:top w:val="nil"/>
                    <w:left w:val="single" w:sz="4" w:space="0" w:color="auto"/>
                    <w:bottom w:val="single" w:sz="4" w:space="0" w:color="auto"/>
                    <w:right w:val="single" w:sz="4" w:space="0" w:color="auto"/>
                  </w:tcBorders>
                  <w:shd w:val="clear" w:color="auto" w:fill="auto"/>
                  <w:noWrap/>
                  <w:vAlign w:val="center"/>
                  <w:hideMark/>
                </w:tcPr>
                <w:p w14:paraId="4245982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06" w:type="dxa"/>
                  <w:gridSpan w:val="3"/>
                  <w:tcBorders>
                    <w:top w:val="single" w:sz="4" w:space="0" w:color="auto"/>
                    <w:left w:val="nil"/>
                    <w:bottom w:val="single" w:sz="4" w:space="0" w:color="auto"/>
                    <w:right w:val="single" w:sz="4" w:space="0" w:color="000000"/>
                  </w:tcBorders>
                  <w:shd w:val="clear" w:color="auto" w:fill="auto"/>
                  <w:vAlign w:val="center"/>
                  <w:hideMark/>
                </w:tcPr>
                <w:p w14:paraId="02EBD8F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progetti-iniziative avviati/N° totale dei progetti-iniziative autorizzati sulla base della Direttiva generale per l'Azione Amministrativa e la gestione dall'Autorità politica delegata per l'anno 2022</w:t>
                  </w:r>
                </w:p>
              </w:tc>
              <w:tc>
                <w:tcPr>
                  <w:tcW w:w="1102" w:type="dxa"/>
                  <w:tcBorders>
                    <w:top w:val="nil"/>
                    <w:left w:val="nil"/>
                    <w:bottom w:val="single" w:sz="4" w:space="0" w:color="auto"/>
                    <w:right w:val="nil"/>
                  </w:tcBorders>
                  <w:shd w:val="clear" w:color="auto" w:fill="auto"/>
                  <w:vAlign w:val="center"/>
                  <w:hideMark/>
                </w:tcPr>
                <w:p w14:paraId="2CEEE3F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71" w:type="dxa"/>
                  <w:tcBorders>
                    <w:top w:val="nil"/>
                    <w:left w:val="single" w:sz="4" w:space="0" w:color="auto"/>
                    <w:bottom w:val="single" w:sz="4" w:space="0" w:color="auto"/>
                    <w:right w:val="nil"/>
                  </w:tcBorders>
                  <w:shd w:val="clear" w:color="auto" w:fill="auto"/>
                  <w:vAlign w:val="center"/>
                  <w:hideMark/>
                </w:tcPr>
                <w:p w14:paraId="63ACD7C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16" w:type="dxa"/>
                  <w:tcBorders>
                    <w:top w:val="nil"/>
                    <w:left w:val="single" w:sz="4" w:space="0" w:color="auto"/>
                    <w:bottom w:val="single" w:sz="4" w:space="0" w:color="auto"/>
                    <w:right w:val="single" w:sz="4" w:space="0" w:color="auto"/>
                  </w:tcBorders>
                  <w:shd w:val="clear" w:color="auto" w:fill="auto"/>
                  <w:vAlign w:val="center"/>
                  <w:hideMark/>
                </w:tcPr>
                <w:p w14:paraId="78DE8B4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3420387F" w14:textId="77777777" w:rsidTr="00F56356">
              <w:trPr>
                <w:trHeight w:val="429"/>
              </w:trPr>
              <w:tc>
                <w:tcPr>
                  <w:tcW w:w="319" w:type="dxa"/>
                  <w:tcBorders>
                    <w:top w:val="nil"/>
                    <w:left w:val="nil"/>
                    <w:bottom w:val="nil"/>
                    <w:right w:val="nil"/>
                  </w:tcBorders>
                  <w:shd w:val="clear" w:color="auto" w:fill="auto"/>
                  <w:noWrap/>
                  <w:vAlign w:val="bottom"/>
                  <w:hideMark/>
                </w:tcPr>
                <w:p w14:paraId="445C820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50" w:type="dxa"/>
                  <w:tcBorders>
                    <w:top w:val="nil"/>
                    <w:left w:val="single" w:sz="4" w:space="0" w:color="auto"/>
                    <w:bottom w:val="single" w:sz="4" w:space="0" w:color="auto"/>
                    <w:right w:val="single" w:sz="4" w:space="0" w:color="auto"/>
                  </w:tcBorders>
                  <w:shd w:val="clear" w:color="auto" w:fill="auto"/>
                  <w:vAlign w:val="center"/>
                  <w:hideMark/>
                </w:tcPr>
                <w:p w14:paraId="2BF43D2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0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D9C98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02" w:type="dxa"/>
                  <w:tcBorders>
                    <w:top w:val="nil"/>
                    <w:left w:val="nil"/>
                    <w:bottom w:val="single" w:sz="4" w:space="0" w:color="auto"/>
                    <w:right w:val="single" w:sz="4" w:space="0" w:color="auto"/>
                  </w:tcBorders>
                  <w:shd w:val="clear" w:color="auto" w:fill="auto"/>
                  <w:noWrap/>
                  <w:vAlign w:val="center"/>
                  <w:hideMark/>
                </w:tcPr>
                <w:p w14:paraId="6514C57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71" w:type="dxa"/>
                  <w:tcBorders>
                    <w:top w:val="nil"/>
                    <w:left w:val="nil"/>
                    <w:bottom w:val="single" w:sz="4" w:space="0" w:color="auto"/>
                    <w:right w:val="nil"/>
                  </w:tcBorders>
                  <w:shd w:val="clear" w:color="auto" w:fill="auto"/>
                  <w:vAlign w:val="center"/>
                  <w:hideMark/>
                </w:tcPr>
                <w:p w14:paraId="68E7368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216" w:type="dxa"/>
                  <w:tcBorders>
                    <w:top w:val="nil"/>
                    <w:left w:val="single" w:sz="4" w:space="0" w:color="auto"/>
                    <w:bottom w:val="single" w:sz="4" w:space="0" w:color="auto"/>
                    <w:right w:val="single" w:sz="4" w:space="0" w:color="auto"/>
                  </w:tcBorders>
                  <w:shd w:val="clear" w:color="000000" w:fill="FFFFFF"/>
                  <w:vAlign w:val="center"/>
                  <w:hideMark/>
                </w:tcPr>
                <w:p w14:paraId="09238E8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53243D5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05257AC" w14:textId="77777777" w:rsidR="00F56356" w:rsidRPr="00F56356" w:rsidRDefault="00F56356" w:rsidP="00F56356">
            <w:pPr>
              <w:spacing w:after="0" w:line="240" w:lineRule="auto"/>
              <w:rPr>
                <w:rFonts w:ascii="Times New Roman" w:eastAsia="Times New Roman" w:hAnsi="Times New Roman" w:cs="Times New Roman"/>
                <w:b/>
                <w:bCs/>
                <w:color w:val="000000"/>
                <w:sz w:val="16"/>
                <w:szCs w:val="16"/>
                <w:lang w:eastAsia="it-IT"/>
              </w:rPr>
            </w:pPr>
          </w:p>
        </w:tc>
      </w:tr>
      <w:tr w:rsidR="00F56356" w:rsidRPr="00F56356" w14:paraId="28AB0176" w14:textId="77777777" w:rsidTr="00F56356">
        <w:trPr>
          <w:trHeight w:val="751"/>
        </w:trPr>
        <w:tc>
          <w:tcPr>
            <w:tcW w:w="9638" w:type="dxa"/>
            <w:tcBorders>
              <w:top w:val="nil"/>
              <w:left w:val="nil"/>
              <w:bottom w:val="nil"/>
              <w:right w:val="nil"/>
            </w:tcBorders>
            <w:shd w:val="clear" w:color="auto" w:fill="auto"/>
            <w:noWrap/>
            <w:vAlign w:val="center"/>
            <w:hideMark/>
          </w:tcPr>
          <w:p w14:paraId="41BFB626" w14:textId="77777777" w:rsidR="00B162D3" w:rsidRDefault="00B162D3" w:rsidP="00F56356">
            <w:pPr>
              <w:autoSpaceDE w:val="0"/>
              <w:autoSpaceDN w:val="0"/>
              <w:adjustRightInd w:val="0"/>
              <w:spacing w:after="0" w:line="360" w:lineRule="auto"/>
              <w:ind w:left="284"/>
              <w:jc w:val="both"/>
              <w:rPr>
                <w:rFonts w:ascii="Times New Roman" w:hAnsi="Times New Roman"/>
                <w:b/>
                <w:sz w:val="24"/>
                <w:szCs w:val="24"/>
                <w:u w:val="single"/>
              </w:rPr>
            </w:pPr>
          </w:p>
          <w:p w14:paraId="58A5C69B" w14:textId="4E879082" w:rsidR="00F56356" w:rsidRPr="00F56356" w:rsidRDefault="00F56356" w:rsidP="00F56356">
            <w:pPr>
              <w:autoSpaceDE w:val="0"/>
              <w:autoSpaceDN w:val="0"/>
              <w:adjustRightInd w:val="0"/>
              <w:spacing w:after="0" w:line="360" w:lineRule="auto"/>
              <w:ind w:left="284"/>
              <w:jc w:val="both"/>
              <w:rPr>
                <w:rFonts w:ascii="Times New Roman" w:hAnsi="Times New Roman"/>
                <w:b/>
                <w:sz w:val="24"/>
                <w:szCs w:val="24"/>
                <w:u w:val="single"/>
              </w:rPr>
            </w:pPr>
            <w:r w:rsidRPr="00F56356">
              <w:rPr>
                <w:rFonts w:ascii="Times New Roman" w:hAnsi="Times New Roman"/>
                <w:b/>
                <w:sz w:val="24"/>
                <w:szCs w:val="24"/>
                <w:u w:val="single"/>
              </w:rPr>
              <w:lastRenderedPageBreak/>
              <w:t>Dipartimento Casa Italia</w:t>
            </w:r>
          </w:p>
          <w:p w14:paraId="6AC11567" w14:textId="77777777" w:rsidR="00F56356" w:rsidRPr="00F56356" w:rsidRDefault="00F56356" w:rsidP="00F56356">
            <w:pPr>
              <w:autoSpaceDE w:val="0"/>
              <w:autoSpaceDN w:val="0"/>
              <w:adjustRightInd w:val="0"/>
              <w:spacing w:after="0" w:line="360" w:lineRule="auto"/>
              <w:ind w:left="284"/>
              <w:jc w:val="both"/>
              <w:rPr>
                <w:rFonts w:ascii="Times New Roman" w:hAnsi="Times New Roman"/>
                <w:i/>
                <w:sz w:val="24"/>
                <w:szCs w:val="24"/>
              </w:rPr>
            </w:pPr>
          </w:p>
          <w:p w14:paraId="0C5EFC3E" w14:textId="77777777" w:rsidR="00F56356" w:rsidRPr="00F56356" w:rsidRDefault="00F56356" w:rsidP="00F56356">
            <w:pPr>
              <w:autoSpaceDE w:val="0"/>
              <w:autoSpaceDN w:val="0"/>
              <w:adjustRightInd w:val="0"/>
              <w:spacing w:after="0" w:line="360" w:lineRule="auto"/>
              <w:ind w:left="207"/>
              <w:jc w:val="both"/>
              <w:rPr>
                <w:rFonts w:ascii="Times New Roman" w:hAnsi="Times New Roman"/>
                <w:b/>
                <w:i/>
                <w:sz w:val="24"/>
                <w:szCs w:val="24"/>
              </w:rPr>
            </w:pPr>
            <w:r w:rsidRPr="00F56356">
              <w:rPr>
                <w:rFonts w:ascii="Times New Roman" w:hAnsi="Times New Roman"/>
                <w:i/>
                <w:sz w:val="24"/>
                <w:szCs w:val="24"/>
              </w:rPr>
              <w:t xml:space="preserve"> </w:t>
            </w:r>
            <w:r w:rsidRPr="00F56356">
              <w:rPr>
                <w:rFonts w:ascii="Times New Roman" w:hAnsi="Times New Roman"/>
                <w:b/>
                <w:sz w:val="24"/>
                <w:szCs w:val="24"/>
              </w:rPr>
              <w:t>1</w:t>
            </w:r>
            <w:r w:rsidRPr="00F56356">
              <w:rPr>
                <w:rFonts w:ascii="Times New Roman" w:hAnsi="Times New Roman"/>
                <w:b/>
                <w:i/>
                <w:sz w:val="24"/>
                <w:szCs w:val="24"/>
              </w:rPr>
              <w:t>. Mission</w:t>
            </w:r>
          </w:p>
          <w:p w14:paraId="32FF989C"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Il Dipartimento “Casa Italia” è la struttura di supporto al Presidente che opera nell’area funzionale relativa all’esercizio delle funzioni di indirizzo e coordinamento dell’azione strategica del Governo connesse al progetto “Casa Italia” e delle funzioni di indirizzo e coordinamento dell’operato dei soggetti istituzionali competenti per le attività di ripristino e di ricostruzione di territori colpiti da eventi calamitosi di origine naturale o derivanti dall’attività dell’uomo, successive agli interventi di protezione civile. Tali funzioni attengono allo sviluppo, all’ottimizzazione e all’integrazione degli strumenti finalizzati alla cura e alla valorizzazione del territorio e delle aree urbane nonché del patrimonio abitativo, anche in riferimento alla sicurezza e all’efficienza energetica degli edifici. </w:t>
            </w:r>
          </w:p>
          <w:p w14:paraId="128E7A75"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Il Dipartimento, in particolare, elabora linee guida per la promozione della sicurezza e per la valorizzazione del territorio, delle aree urbane e del patrimonio abitativo adottando un approccio integrato al problema della sicurezza antisismica degli edifici; individua il fabbisogno di dati e informazioni rilevanti per la sicurezza del patrimonio abitativo e promuove il coordinamento delle fonti informative esistenti e la loro accessibilità, monitorando l’andamento degli investimenti pubblici nel settore di riferimento; individua le forme di finanziamento più adeguate per ridurre la pericolosità, la vulnerabilità e l’esposizione, a fronte di rischi naturali, del territorio, delle aree urbane e del patrimonio abitativo e propone misure di coordinamento e semplificazione dei diversi strumenti di finanziamento esistenti; elabora proposte, gestisce progetti per il perseguimento degli obiettivi prefissati e promuove attività di formazione e informazione nelle materie di competenza.</w:t>
            </w:r>
          </w:p>
          <w:p w14:paraId="7EFC8F8D" w14:textId="77777777" w:rsidR="00F56356" w:rsidRPr="00F56356" w:rsidRDefault="00F56356" w:rsidP="00F56356">
            <w:pPr>
              <w:autoSpaceDE w:val="0"/>
              <w:autoSpaceDN w:val="0"/>
              <w:adjustRightInd w:val="0"/>
              <w:spacing w:after="0" w:line="360" w:lineRule="auto"/>
              <w:ind w:left="284"/>
              <w:jc w:val="both"/>
              <w:rPr>
                <w:rFonts w:ascii="Times New Roman" w:hAnsi="Times New Roman"/>
                <w:i/>
                <w:color w:val="000000" w:themeColor="text1"/>
                <w:sz w:val="24"/>
                <w:szCs w:val="24"/>
              </w:rPr>
            </w:pPr>
            <w:r w:rsidRPr="00F56356">
              <w:rPr>
                <w:rFonts w:ascii="Times New Roman" w:hAnsi="Times New Roman"/>
                <w:color w:val="000000" w:themeColor="text1"/>
                <w:sz w:val="24"/>
                <w:szCs w:val="24"/>
              </w:rPr>
              <w:t xml:space="preserve">Inoltre, provvede, alle attività di cui all’articolo 41, comma 3, lettere b) e c), del decreto-legge n. 50 del 2017, convertito, con modificazioni, dalla legge 21 giugno 2017, n. 96, inerenti le verifiche di vulnerabilità degli edifici scolastici situati nei Comuni delle zone a rischio sismico 1, diversi da quelli colpiti dagli eventi sismici del 2016 e 2017 e ai relativi progetti di adeguamento, previa intesa con il Ministero dell’istruzione, dell’università e della ricerca, nonché alle attività relative alle verifiche di vulnerabilità degli edifici privati delle zone a rischio sismico 1 e ad incentivare piani sperimentali per la difesa sismica degli edifici pubblici, attraverso il finanziamento di dieci cantieri pilota. </w:t>
            </w:r>
          </w:p>
          <w:p w14:paraId="3A1C0524" w14:textId="77777777" w:rsidR="00F56356" w:rsidRPr="00F56356" w:rsidRDefault="00F56356" w:rsidP="00F56356">
            <w:pPr>
              <w:spacing w:after="0" w:line="360" w:lineRule="auto"/>
              <w:ind w:left="284"/>
              <w:jc w:val="both"/>
              <w:rPr>
                <w:rFonts w:ascii="Times New Roman" w:hAnsi="Times New Roman" w:cs="Times New Roman"/>
                <w:b/>
                <w:sz w:val="24"/>
                <w:szCs w:val="24"/>
              </w:rPr>
            </w:pPr>
          </w:p>
          <w:p w14:paraId="5FFE05BA" w14:textId="77777777" w:rsidR="00F56356" w:rsidRPr="00F56356" w:rsidRDefault="00F56356" w:rsidP="00F56356">
            <w:pPr>
              <w:spacing w:after="0" w:line="360" w:lineRule="auto"/>
              <w:ind w:left="284"/>
              <w:jc w:val="both"/>
              <w:rPr>
                <w:rFonts w:ascii="Times New Roman" w:hAnsi="Times New Roman" w:cs="Times New Roman"/>
                <w:b/>
                <w:sz w:val="24"/>
                <w:szCs w:val="24"/>
              </w:rPr>
            </w:pPr>
          </w:p>
          <w:p w14:paraId="2F2E8DA2" w14:textId="72BBB15C" w:rsidR="00F56356" w:rsidRDefault="00F56356" w:rsidP="00F56356">
            <w:pPr>
              <w:spacing w:after="0" w:line="360" w:lineRule="auto"/>
              <w:ind w:left="284"/>
              <w:jc w:val="both"/>
              <w:rPr>
                <w:rFonts w:ascii="Times New Roman" w:hAnsi="Times New Roman" w:cs="Times New Roman"/>
                <w:b/>
                <w:sz w:val="24"/>
                <w:szCs w:val="24"/>
              </w:rPr>
            </w:pPr>
          </w:p>
          <w:p w14:paraId="2590034B" w14:textId="20DB2B3D" w:rsidR="00B162D3" w:rsidRDefault="00B162D3" w:rsidP="00F56356">
            <w:pPr>
              <w:spacing w:after="0" w:line="360" w:lineRule="auto"/>
              <w:ind w:left="284"/>
              <w:jc w:val="both"/>
              <w:rPr>
                <w:rFonts w:ascii="Times New Roman" w:hAnsi="Times New Roman" w:cs="Times New Roman"/>
                <w:b/>
                <w:sz w:val="24"/>
                <w:szCs w:val="24"/>
              </w:rPr>
            </w:pPr>
          </w:p>
          <w:p w14:paraId="13169895" w14:textId="77777777" w:rsidR="00B162D3" w:rsidRPr="00F56356" w:rsidRDefault="00B162D3" w:rsidP="00F56356">
            <w:pPr>
              <w:spacing w:after="0" w:line="360" w:lineRule="auto"/>
              <w:ind w:left="284"/>
              <w:jc w:val="both"/>
              <w:rPr>
                <w:rFonts w:ascii="Times New Roman" w:hAnsi="Times New Roman" w:cs="Times New Roman"/>
                <w:b/>
                <w:sz w:val="24"/>
                <w:szCs w:val="24"/>
              </w:rPr>
            </w:pPr>
          </w:p>
          <w:p w14:paraId="27FC4A42" w14:textId="77777777" w:rsidR="00F56356" w:rsidRPr="00F56356" w:rsidRDefault="00F56356" w:rsidP="00F56356">
            <w:pPr>
              <w:spacing w:after="0" w:line="360" w:lineRule="auto"/>
              <w:ind w:left="284"/>
              <w:jc w:val="both"/>
              <w:rPr>
                <w:rFonts w:ascii="Times New Roman" w:hAnsi="Times New Roman" w:cs="Times New Roman"/>
                <w:b/>
                <w:sz w:val="24"/>
                <w:szCs w:val="24"/>
              </w:rPr>
            </w:pPr>
            <w:r w:rsidRPr="00F56356">
              <w:rPr>
                <w:rFonts w:ascii="Times New Roman" w:hAnsi="Times New Roman" w:cs="Times New Roman"/>
                <w:b/>
                <w:sz w:val="24"/>
                <w:szCs w:val="24"/>
              </w:rPr>
              <w:lastRenderedPageBreak/>
              <w:t xml:space="preserve">2. Ricostruzione flussi finanziari e aspetti rilevanti della gestione </w:t>
            </w:r>
          </w:p>
          <w:p w14:paraId="14B9879E" w14:textId="77777777" w:rsidR="00F56356" w:rsidRPr="00F56356" w:rsidRDefault="00F56356" w:rsidP="00F56356">
            <w:pPr>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b/>
                <w:color w:val="000000" w:themeColor="text1"/>
                <w:sz w:val="24"/>
                <w:szCs w:val="24"/>
              </w:rPr>
              <w:t>2.1</w:t>
            </w:r>
            <w:r w:rsidRPr="00F56356">
              <w:rPr>
                <w:rFonts w:ascii="Times New Roman" w:hAnsi="Times New Roman" w:cs="Times New Roman"/>
                <w:color w:val="000000" w:themeColor="text1"/>
                <w:sz w:val="24"/>
                <w:szCs w:val="24"/>
              </w:rPr>
              <w:t xml:space="preserve"> Le risorse complessivamente assegnate sono state pari a euro 184.571.017,46, nell’ambito delle quali euro 7.764.889,75 riferiti a reiscrizioni di residui passivi perenti ed euro 104.301.754,71 riferiti a riassegnazioni dall’avanzo di esercizio 2021. </w:t>
            </w:r>
          </w:p>
          <w:p w14:paraId="2C94705F" w14:textId="77777777" w:rsidR="00F56356" w:rsidRPr="00F56356" w:rsidRDefault="00F56356" w:rsidP="00F56356">
            <w:pPr>
              <w:tabs>
                <w:tab w:val="left" w:pos="0"/>
                <w:tab w:val="left" w:pos="9356"/>
              </w:tabs>
              <w:spacing w:after="0" w:line="360" w:lineRule="auto"/>
              <w:ind w:left="284"/>
              <w:jc w:val="both"/>
              <w:rPr>
                <w:rFonts w:ascii="Times New Roman" w:hAnsi="Times New Roman" w:cs="Times New Roman"/>
                <w:color w:val="FF0000"/>
                <w:sz w:val="24"/>
                <w:szCs w:val="24"/>
              </w:rPr>
            </w:pPr>
            <w:r w:rsidRPr="00F56356">
              <w:rPr>
                <w:rFonts w:ascii="Times New Roman" w:hAnsi="Times New Roman" w:cs="Times New Roman"/>
                <w:color w:val="000000" w:themeColor="text1"/>
                <w:sz w:val="24"/>
                <w:szCs w:val="24"/>
              </w:rPr>
              <w:t>Gli impegni assunti ammontano a euro 156.414.008,22, con una economia di bilancio di euro 28.157.009,24.</w:t>
            </w:r>
            <w:r w:rsidRPr="00F56356">
              <w:rPr>
                <w:rFonts w:ascii="Times New Roman" w:hAnsi="Times New Roman" w:cs="Times New Roman"/>
                <w:color w:val="FF0000"/>
                <w:sz w:val="24"/>
                <w:szCs w:val="24"/>
              </w:rPr>
              <w:t xml:space="preserve"> </w:t>
            </w:r>
            <w:r w:rsidRPr="00F56356">
              <w:rPr>
                <w:rFonts w:ascii="Times New Roman" w:hAnsi="Times New Roman" w:cs="Times New Roman"/>
                <w:color w:val="000000" w:themeColor="text1"/>
                <w:sz w:val="24"/>
                <w:szCs w:val="24"/>
              </w:rPr>
              <w:t>Il totale dei pagamenti riferiti alla competenza è stato pari a euro 14.734.758,36 con un indice di capacità di pagamento (rapporto pagato/impegnato) che si attesta al 9,42 per cento.</w:t>
            </w:r>
          </w:p>
          <w:p w14:paraId="55A7BA49" w14:textId="77777777" w:rsidR="00F56356" w:rsidRPr="00F56356" w:rsidRDefault="00F56356" w:rsidP="00F56356">
            <w:pPr>
              <w:tabs>
                <w:tab w:val="left" w:pos="0"/>
                <w:tab w:val="left" w:pos="9356"/>
              </w:tabs>
              <w:spacing w:after="0" w:line="360" w:lineRule="auto"/>
              <w:ind w:left="284"/>
              <w:jc w:val="both"/>
              <w:rPr>
                <w:rFonts w:ascii="Times New Roman" w:hAnsi="Times New Roman" w:cs="Times New Roman"/>
                <w:color w:val="000000" w:themeColor="text1"/>
                <w:sz w:val="24"/>
                <w:szCs w:val="24"/>
              </w:rPr>
            </w:pPr>
          </w:p>
          <w:p w14:paraId="1EA27131" w14:textId="77777777" w:rsidR="00F56356" w:rsidRPr="00F56356" w:rsidRDefault="00F56356" w:rsidP="00F56356">
            <w:pPr>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I residui passivi al 1° gennaio 2022 erano pari a euro 309.204.927,97.</w:t>
            </w:r>
            <w:r w:rsidRPr="00F56356">
              <w:rPr>
                <w:rFonts w:ascii="Times New Roman" w:hAnsi="Times New Roman" w:cs="Times New Roman"/>
                <w:color w:val="FF0000"/>
                <w:sz w:val="24"/>
                <w:szCs w:val="24"/>
              </w:rPr>
              <w:t xml:space="preserve"> </w:t>
            </w:r>
            <w:r w:rsidRPr="00F56356">
              <w:rPr>
                <w:rFonts w:ascii="Times New Roman" w:hAnsi="Times New Roman" w:cs="Times New Roman"/>
                <w:color w:val="000000" w:themeColor="text1"/>
                <w:sz w:val="24"/>
                <w:szCs w:val="24"/>
              </w:rPr>
              <w:t>Su questi sono stati effettuati pagamenti per euro 69.471.402,99 e realizzate economie per euro 496.740,98.</w:t>
            </w:r>
          </w:p>
          <w:p w14:paraId="58DD2324" w14:textId="77777777" w:rsidR="00F56356" w:rsidRPr="00F56356" w:rsidRDefault="00F56356" w:rsidP="00F56356">
            <w:pPr>
              <w:spacing w:after="0" w:line="360" w:lineRule="auto"/>
              <w:ind w:left="284"/>
              <w:jc w:val="both"/>
              <w:rPr>
                <w:rFonts w:ascii="Times New Roman" w:hAnsi="Times New Roman" w:cs="Times New Roman"/>
                <w:color w:val="000000" w:themeColor="text1"/>
                <w:sz w:val="18"/>
                <w:szCs w:val="24"/>
              </w:rPr>
            </w:pPr>
          </w:p>
          <w:p w14:paraId="3699FAB7" w14:textId="77777777" w:rsidR="00F56356" w:rsidRPr="00F56356" w:rsidRDefault="00F56356" w:rsidP="00F56356">
            <w:pPr>
              <w:tabs>
                <w:tab w:val="left" w:pos="0"/>
                <w:tab w:val="left" w:pos="9356"/>
              </w:tabs>
              <w:spacing w:line="360" w:lineRule="auto"/>
              <w:ind w:left="284"/>
              <w:jc w:val="center"/>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Indicatori di bilancio </w:t>
            </w: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02349A64"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401C4"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72511631"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3AE2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090D782D"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64C8049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68647E6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38426563"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2BCD5687"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7F7D5547"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063D75A4"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7ED6B6F7"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0E36303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4FE5A6F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53EF28C6"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63847C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218</w:t>
                  </w:r>
                </w:p>
              </w:tc>
              <w:tc>
                <w:tcPr>
                  <w:tcW w:w="1574" w:type="dxa"/>
                  <w:tcBorders>
                    <w:top w:val="nil"/>
                    <w:left w:val="nil"/>
                    <w:bottom w:val="single" w:sz="4" w:space="0" w:color="auto"/>
                    <w:right w:val="single" w:sz="4" w:space="0" w:color="auto"/>
                  </w:tcBorders>
                  <w:shd w:val="clear" w:color="auto" w:fill="auto"/>
                  <w:noWrap/>
                  <w:vAlign w:val="center"/>
                  <w:hideMark/>
                </w:tcPr>
                <w:p w14:paraId="18267BB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1.927,96</w:t>
                  </w:r>
                </w:p>
              </w:tc>
              <w:tc>
                <w:tcPr>
                  <w:tcW w:w="1440" w:type="dxa"/>
                  <w:tcBorders>
                    <w:top w:val="nil"/>
                    <w:left w:val="nil"/>
                    <w:bottom w:val="single" w:sz="4" w:space="0" w:color="auto"/>
                    <w:right w:val="single" w:sz="4" w:space="0" w:color="auto"/>
                  </w:tcBorders>
                  <w:shd w:val="clear" w:color="auto" w:fill="auto"/>
                  <w:noWrap/>
                  <w:vAlign w:val="center"/>
                  <w:hideMark/>
                </w:tcPr>
                <w:p w14:paraId="17647D2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5216BE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single" w:sz="4" w:space="0" w:color="auto"/>
                  </w:tcBorders>
                  <w:shd w:val="clear" w:color="auto" w:fill="auto"/>
                  <w:noWrap/>
                  <w:vAlign w:val="center"/>
                  <w:hideMark/>
                </w:tcPr>
                <w:p w14:paraId="6E353BA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0B3D90F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2B3BD4D"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18FC13F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1997A582"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1.927,96</w:t>
                  </w:r>
                </w:p>
              </w:tc>
              <w:tc>
                <w:tcPr>
                  <w:tcW w:w="1440" w:type="dxa"/>
                  <w:tcBorders>
                    <w:top w:val="nil"/>
                    <w:left w:val="nil"/>
                    <w:bottom w:val="single" w:sz="4" w:space="0" w:color="auto"/>
                    <w:right w:val="single" w:sz="4" w:space="0" w:color="auto"/>
                  </w:tcBorders>
                  <w:shd w:val="clear" w:color="auto" w:fill="auto"/>
                  <w:noWrap/>
                  <w:vAlign w:val="center"/>
                  <w:hideMark/>
                </w:tcPr>
                <w:p w14:paraId="69B52279"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96" w:type="dxa"/>
                  <w:tcBorders>
                    <w:top w:val="nil"/>
                    <w:left w:val="nil"/>
                    <w:bottom w:val="nil"/>
                    <w:right w:val="nil"/>
                  </w:tcBorders>
                  <w:shd w:val="clear" w:color="auto" w:fill="auto"/>
                  <w:noWrap/>
                  <w:vAlign w:val="center"/>
                  <w:hideMark/>
                </w:tcPr>
                <w:p w14:paraId="64F8694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28EBA32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72DF119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4722A2E" w14:textId="77777777" w:rsidR="00F56356" w:rsidRPr="00F56356" w:rsidRDefault="00F56356" w:rsidP="00F56356">
            <w:pPr>
              <w:tabs>
                <w:tab w:val="left" w:pos="0"/>
                <w:tab w:val="left" w:pos="9356"/>
              </w:tabs>
              <w:spacing w:line="360" w:lineRule="auto"/>
              <w:ind w:left="284"/>
              <w:jc w:val="center"/>
              <w:rPr>
                <w:rFonts w:ascii="Times New Roman" w:hAnsi="Times New Roman" w:cs="Times New Roman"/>
                <w:color w:val="000000" w:themeColor="text1"/>
                <w:sz w:val="24"/>
                <w:szCs w:val="24"/>
              </w:rPr>
            </w:pPr>
          </w:p>
          <w:tbl>
            <w:tblPr>
              <w:tblW w:w="6860" w:type="dxa"/>
              <w:jc w:val="center"/>
              <w:tblCellMar>
                <w:left w:w="70" w:type="dxa"/>
                <w:right w:w="70" w:type="dxa"/>
              </w:tblCellMar>
              <w:tblLook w:val="04A0" w:firstRow="1" w:lastRow="0" w:firstColumn="1" w:lastColumn="0" w:noHBand="0" w:noVBand="1"/>
            </w:tblPr>
            <w:tblGrid>
              <w:gridCol w:w="469"/>
              <w:gridCol w:w="1598"/>
              <w:gridCol w:w="1598"/>
              <w:gridCol w:w="947"/>
              <w:gridCol w:w="1160"/>
              <w:gridCol w:w="1101"/>
            </w:tblGrid>
            <w:tr w:rsidR="00F56356" w:rsidRPr="00F56356" w14:paraId="71DB3145"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9269D"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IN CONTO CAPITALE</w:t>
                  </w:r>
                </w:p>
              </w:tc>
            </w:tr>
            <w:tr w:rsidR="00F56356" w:rsidRPr="00F56356" w14:paraId="0D0D13FB" w14:textId="77777777" w:rsidTr="00F56356">
              <w:trPr>
                <w:trHeight w:val="465"/>
                <w:jc w:val="center"/>
              </w:trPr>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FE14EA"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98" w:type="dxa"/>
                  <w:vMerge w:val="restart"/>
                  <w:tcBorders>
                    <w:top w:val="nil"/>
                    <w:left w:val="single" w:sz="4" w:space="0" w:color="auto"/>
                    <w:bottom w:val="single" w:sz="4" w:space="0" w:color="auto"/>
                    <w:right w:val="single" w:sz="4" w:space="0" w:color="auto"/>
                  </w:tcBorders>
                  <w:shd w:val="clear" w:color="auto" w:fill="auto"/>
                  <w:vAlign w:val="center"/>
                  <w:hideMark/>
                </w:tcPr>
                <w:p w14:paraId="2E74F76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98" w:type="dxa"/>
                  <w:vMerge w:val="restart"/>
                  <w:tcBorders>
                    <w:top w:val="nil"/>
                    <w:left w:val="single" w:sz="4" w:space="0" w:color="auto"/>
                    <w:bottom w:val="single" w:sz="4" w:space="0" w:color="auto"/>
                    <w:right w:val="single" w:sz="4" w:space="0" w:color="auto"/>
                  </w:tcBorders>
                  <w:shd w:val="clear" w:color="auto" w:fill="auto"/>
                  <w:vAlign w:val="center"/>
                  <w:hideMark/>
                </w:tcPr>
                <w:p w14:paraId="5843EC3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08" w:type="dxa"/>
                  <w:gridSpan w:val="3"/>
                  <w:tcBorders>
                    <w:top w:val="single" w:sz="4" w:space="0" w:color="auto"/>
                    <w:left w:val="nil"/>
                    <w:bottom w:val="single" w:sz="4" w:space="0" w:color="auto"/>
                    <w:right w:val="single" w:sz="4" w:space="0" w:color="000000"/>
                  </w:tcBorders>
                  <w:shd w:val="clear" w:color="auto" w:fill="auto"/>
                  <w:vAlign w:val="center"/>
                  <w:hideMark/>
                </w:tcPr>
                <w:p w14:paraId="40C97EA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46D4B498" w14:textId="77777777" w:rsidTr="00F56356">
              <w:trPr>
                <w:trHeight w:val="300"/>
                <w:jc w:val="center"/>
              </w:trPr>
              <w:tc>
                <w:tcPr>
                  <w:tcW w:w="456" w:type="dxa"/>
                  <w:vMerge/>
                  <w:tcBorders>
                    <w:top w:val="nil"/>
                    <w:left w:val="single" w:sz="4" w:space="0" w:color="auto"/>
                    <w:bottom w:val="single" w:sz="4" w:space="0" w:color="auto"/>
                    <w:right w:val="single" w:sz="4" w:space="0" w:color="auto"/>
                  </w:tcBorders>
                  <w:vAlign w:val="center"/>
                  <w:hideMark/>
                </w:tcPr>
                <w:p w14:paraId="49C43DF4"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98" w:type="dxa"/>
                  <w:vMerge/>
                  <w:tcBorders>
                    <w:top w:val="nil"/>
                    <w:left w:val="single" w:sz="4" w:space="0" w:color="auto"/>
                    <w:bottom w:val="single" w:sz="4" w:space="0" w:color="auto"/>
                    <w:right w:val="single" w:sz="4" w:space="0" w:color="auto"/>
                  </w:tcBorders>
                  <w:vAlign w:val="center"/>
                  <w:hideMark/>
                </w:tcPr>
                <w:p w14:paraId="0889953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98" w:type="dxa"/>
                  <w:vMerge/>
                  <w:tcBorders>
                    <w:top w:val="nil"/>
                    <w:left w:val="single" w:sz="4" w:space="0" w:color="auto"/>
                    <w:bottom w:val="single" w:sz="4" w:space="0" w:color="auto"/>
                    <w:right w:val="single" w:sz="4" w:space="0" w:color="auto"/>
                  </w:tcBorders>
                  <w:vAlign w:val="center"/>
                  <w:hideMark/>
                </w:tcPr>
                <w:p w14:paraId="212DC462"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47" w:type="dxa"/>
                  <w:tcBorders>
                    <w:top w:val="nil"/>
                    <w:left w:val="nil"/>
                    <w:bottom w:val="single" w:sz="4" w:space="0" w:color="auto"/>
                    <w:right w:val="single" w:sz="4" w:space="0" w:color="auto"/>
                  </w:tcBorders>
                  <w:shd w:val="clear" w:color="auto" w:fill="auto"/>
                  <w:vAlign w:val="center"/>
                  <w:hideMark/>
                </w:tcPr>
                <w:p w14:paraId="73D3AAE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60" w:type="dxa"/>
                  <w:tcBorders>
                    <w:top w:val="nil"/>
                    <w:left w:val="nil"/>
                    <w:bottom w:val="single" w:sz="4" w:space="0" w:color="auto"/>
                    <w:right w:val="single" w:sz="4" w:space="0" w:color="auto"/>
                  </w:tcBorders>
                  <w:shd w:val="clear" w:color="auto" w:fill="auto"/>
                  <w:vAlign w:val="center"/>
                  <w:hideMark/>
                </w:tcPr>
                <w:p w14:paraId="1A5169A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01" w:type="dxa"/>
                  <w:tcBorders>
                    <w:top w:val="nil"/>
                    <w:left w:val="nil"/>
                    <w:bottom w:val="single" w:sz="4" w:space="0" w:color="auto"/>
                    <w:right w:val="single" w:sz="4" w:space="0" w:color="auto"/>
                  </w:tcBorders>
                  <w:shd w:val="clear" w:color="auto" w:fill="auto"/>
                  <w:vAlign w:val="center"/>
                  <w:hideMark/>
                </w:tcPr>
                <w:p w14:paraId="404F8CA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63384677"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69210CB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906</w:t>
                  </w:r>
                </w:p>
              </w:tc>
              <w:tc>
                <w:tcPr>
                  <w:tcW w:w="1598" w:type="dxa"/>
                  <w:tcBorders>
                    <w:top w:val="nil"/>
                    <w:left w:val="nil"/>
                    <w:bottom w:val="single" w:sz="4" w:space="0" w:color="auto"/>
                    <w:right w:val="single" w:sz="4" w:space="0" w:color="auto"/>
                  </w:tcBorders>
                  <w:shd w:val="clear" w:color="auto" w:fill="auto"/>
                  <w:noWrap/>
                  <w:vAlign w:val="center"/>
                  <w:hideMark/>
                </w:tcPr>
                <w:p w14:paraId="33F114E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7.568.076,28</w:t>
                  </w:r>
                </w:p>
              </w:tc>
              <w:tc>
                <w:tcPr>
                  <w:tcW w:w="1598" w:type="dxa"/>
                  <w:tcBorders>
                    <w:top w:val="nil"/>
                    <w:left w:val="nil"/>
                    <w:bottom w:val="single" w:sz="4" w:space="0" w:color="auto"/>
                    <w:right w:val="single" w:sz="4" w:space="0" w:color="auto"/>
                  </w:tcBorders>
                  <w:shd w:val="clear" w:color="auto" w:fill="auto"/>
                  <w:noWrap/>
                  <w:vAlign w:val="center"/>
                  <w:hideMark/>
                </w:tcPr>
                <w:p w14:paraId="42BCC98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2.527.072,24</w:t>
                  </w:r>
                </w:p>
              </w:tc>
              <w:tc>
                <w:tcPr>
                  <w:tcW w:w="947" w:type="dxa"/>
                  <w:tcBorders>
                    <w:top w:val="nil"/>
                    <w:left w:val="nil"/>
                    <w:bottom w:val="single" w:sz="4" w:space="0" w:color="auto"/>
                    <w:right w:val="single" w:sz="4" w:space="0" w:color="auto"/>
                  </w:tcBorders>
                  <w:shd w:val="clear" w:color="auto" w:fill="auto"/>
                  <w:noWrap/>
                  <w:vAlign w:val="center"/>
                  <w:hideMark/>
                </w:tcPr>
                <w:p w14:paraId="5F8B019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w:t>
                  </w:r>
                </w:p>
              </w:tc>
              <w:tc>
                <w:tcPr>
                  <w:tcW w:w="1160" w:type="dxa"/>
                  <w:tcBorders>
                    <w:top w:val="nil"/>
                    <w:left w:val="nil"/>
                    <w:bottom w:val="single" w:sz="4" w:space="0" w:color="auto"/>
                    <w:right w:val="single" w:sz="4" w:space="0" w:color="auto"/>
                  </w:tcBorders>
                  <w:shd w:val="clear" w:color="auto" w:fill="auto"/>
                  <w:noWrap/>
                  <w:vAlign w:val="center"/>
                  <w:hideMark/>
                </w:tcPr>
                <w:p w14:paraId="72C8489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66,61</w:t>
                  </w:r>
                </w:p>
              </w:tc>
              <w:tc>
                <w:tcPr>
                  <w:tcW w:w="1101" w:type="dxa"/>
                  <w:tcBorders>
                    <w:top w:val="nil"/>
                    <w:left w:val="nil"/>
                    <w:bottom w:val="single" w:sz="4" w:space="0" w:color="auto"/>
                    <w:right w:val="single" w:sz="4" w:space="0" w:color="auto"/>
                  </w:tcBorders>
                  <w:shd w:val="clear" w:color="auto" w:fill="auto"/>
                  <w:noWrap/>
                  <w:vAlign w:val="center"/>
                  <w:hideMark/>
                </w:tcPr>
                <w:p w14:paraId="0895505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51,61</w:t>
                  </w:r>
                </w:p>
              </w:tc>
            </w:tr>
            <w:tr w:rsidR="00F56356" w:rsidRPr="00F56356" w14:paraId="0DE50EA1"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0F41EC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907</w:t>
                  </w:r>
                </w:p>
              </w:tc>
              <w:tc>
                <w:tcPr>
                  <w:tcW w:w="1598" w:type="dxa"/>
                  <w:tcBorders>
                    <w:top w:val="nil"/>
                    <w:left w:val="nil"/>
                    <w:bottom w:val="single" w:sz="4" w:space="0" w:color="auto"/>
                    <w:right w:val="single" w:sz="4" w:space="0" w:color="auto"/>
                  </w:tcBorders>
                  <w:shd w:val="clear" w:color="auto" w:fill="auto"/>
                  <w:noWrap/>
                  <w:vAlign w:val="center"/>
                  <w:hideMark/>
                </w:tcPr>
                <w:p w14:paraId="304E2A3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220.228.324,00</w:t>
                  </w:r>
                </w:p>
              </w:tc>
              <w:tc>
                <w:tcPr>
                  <w:tcW w:w="1598" w:type="dxa"/>
                  <w:tcBorders>
                    <w:top w:val="nil"/>
                    <w:left w:val="nil"/>
                    <w:bottom w:val="single" w:sz="4" w:space="0" w:color="auto"/>
                    <w:right w:val="single" w:sz="4" w:space="0" w:color="auto"/>
                  </w:tcBorders>
                  <w:shd w:val="clear" w:color="auto" w:fill="auto"/>
                  <w:noWrap/>
                  <w:vAlign w:val="center"/>
                  <w:hideMark/>
                </w:tcPr>
                <w:p w14:paraId="41B72D7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158.300.738,05</w:t>
                  </w:r>
                </w:p>
              </w:tc>
              <w:tc>
                <w:tcPr>
                  <w:tcW w:w="947" w:type="dxa"/>
                  <w:tcBorders>
                    <w:top w:val="nil"/>
                    <w:left w:val="nil"/>
                    <w:bottom w:val="single" w:sz="4" w:space="0" w:color="auto"/>
                    <w:right w:val="single" w:sz="4" w:space="0" w:color="auto"/>
                  </w:tcBorders>
                  <w:shd w:val="clear" w:color="auto" w:fill="auto"/>
                  <w:noWrap/>
                  <w:vAlign w:val="center"/>
                  <w:hideMark/>
                </w:tcPr>
                <w:p w14:paraId="2B591D1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0" w:type="dxa"/>
                  <w:tcBorders>
                    <w:top w:val="nil"/>
                    <w:left w:val="nil"/>
                    <w:bottom w:val="single" w:sz="4" w:space="0" w:color="auto"/>
                    <w:right w:val="single" w:sz="4" w:space="0" w:color="auto"/>
                  </w:tcBorders>
                  <w:shd w:val="clear" w:color="auto" w:fill="auto"/>
                  <w:noWrap/>
                  <w:vAlign w:val="center"/>
                  <w:hideMark/>
                </w:tcPr>
                <w:p w14:paraId="14BEDE1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28,12</w:t>
                  </w:r>
                </w:p>
              </w:tc>
              <w:tc>
                <w:tcPr>
                  <w:tcW w:w="1101" w:type="dxa"/>
                  <w:tcBorders>
                    <w:top w:val="nil"/>
                    <w:left w:val="nil"/>
                    <w:bottom w:val="single" w:sz="4" w:space="0" w:color="auto"/>
                    <w:right w:val="single" w:sz="4" w:space="0" w:color="auto"/>
                  </w:tcBorders>
                  <w:shd w:val="clear" w:color="auto" w:fill="auto"/>
                  <w:noWrap/>
                  <w:vAlign w:val="center"/>
                  <w:hideMark/>
                </w:tcPr>
                <w:p w14:paraId="795A07A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E27A2AA"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76EF25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908</w:t>
                  </w:r>
                </w:p>
              </w:tc>
              <w:tc>
                <w:tcPr>
                  <w:tcW w:w="1598" w:type="dxa"/>
                  <w:tcBorders>
                    <w:top w:val="nil"/>
                    <w:left w:val="nil"/>
                    <w:bottom w:val="single" w:sz="4" w:space="0" w:color="auto"/>
                    <w:right w:val="single" w:sz="4" w:space="0" w:color="auto"/>
                  </w:tcBorders>
                  <w:shd w:val="clear" w:color="auto" w:fill="auto"/>
                  <w:noWrap/>
                  <w:vAlign w:val="center"/>
                  <w:hideMark/>
                </w:tcPr>
                <w:p w14:paraId="66546BE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56.048.888,54</w:t>
                  </w:r>
                </w:p>
              </w:tc>
              <w:tc>
                <w:tcPr>
                  <w:tcW w:w="1598" w:type="dxa"/>
                  <w:tcBorders>
                    <w:top w:val="nil"/>
                    <w:left w:val="nil"/>
                    <w:bottom w:val="single" w:sz="4" w:space="0" w:color="auto"/>
                    <w:right w:val="single" w:sz="4" w:space="0" w:color="auto"/>
                  </w:tcBorders>
                  <w:shd w:val="clear" w:color="auto" w:fill="auto"/>
                  <w:noWrap/>
                  <w:vAlign w:val="center"/>
                  <w:hideMark/>
                </w:tcPr>
                <w:p w14:paraId="4FBCEE9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56.017.480,58</w:t>
                  </w:r>
                </w:p>
              </w:tc>
              <w:tc>
                <w:tcPr>
                  <w:tcW w:w="947" w:type="dxa"/>
                  <w:tcBorders>
                    <w:top w:val="nil"/>
                    <w:left w:val="nil"/>
                    <w:bottom w:val="single" w:sz="4" w:space="0" w:color="auto"/>
                    <w:right w:val="single" w:sz="4" w:space="0" w:color="auto"/>
                  </w:tcBorders>
                  <w:shd w:val="clear" w:color="auto" w:fill="auto"/>
                  <w:noWrap/>
                  <w:vAlign w:val="center"/>
                  <w:hideMark/>
                </w:tcPr>
                <w:p w14:paraId="1E18DC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w:t>
                  </w:r>
                </w:p>
              </w:tc>
              <w:tc>
                <w:tcPr>
                  <w:tcW w:w="1160" w:type="dxa"/>
                  <w:tcBorders>
                    <w:top w:val="nil"/>
                    <w:left w:val="nil"/>
                    <w:bottom w:val="single" w:sz="4" w:space="0" w:color="auto"/>
                    <w:right w:val="single" w:sz="4" w:space="0" w:color="auto"/>
                  </w:tcBorders>
                  <w:shd w:val="clear" w:color="auto" w:fill="auto"/>
                  <w:noWrap/>
                  <w:vAlign w:val="center"/>
                  <w:hideMark/>
                </w:tcPr>
                <w:p w14:paraId="3AC1EBA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0,06</w:t>
                  </w:r>
                </w:p>
              </w:tc>
              <w:tc>
                <w:tcPr>
                  <w:tcW w:w="1101" w:type="dxa"/>
                  <w:tcBorders>
                    <w:top w:val="nil"/>
                    <w:left w:val="nil"/>
                    <w:bottom w:val="single" w:sz="4" w:space="0" w:color="auto"/>
                    <w:right w:val="single" w:sz="4" w:space="0" w:color="auto"/>
                  </w:tcBorders>
                  <w:shd w:val="clear" w:color="auto" w:fill="auto"/>
                  <w:noWrap/>
                  <w:vAlign w:val="center"/>
                  <w:hideMark/>
                </w:tcPr>
                <w:p w14:paraId="3C7B383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-64,94</w:t>
                  </w:r>
                </w:p>
              </w:tc>
            </w:tr>
            <w:tr w:rsidR="00F56356" w:rsidRPr="00F56356" w14:paraId="4D439758"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1983F0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912</w:t>
                  </w:r>
                </w:p>
              </w:tc>
              <w:tc>
                <w:tcPr>
                  <w:tcW w:w="1598" w:type="dxa"/>
                  <w:tcBorders>
                    <w:top w:val="nil"/>
                    <w:left w:val="nil"/>
                    <w:bottom w:val="single" w:sz="4" w:space="0" w:color="auto"/>
                    <w:right w:val="single" w:sz="4" w:space="0" w:color="auto"/>
                  </w:tcBorders>
                  <w:shd w:val="clear" w:color="auto" w:fill="auto"/>
                  <w:noWrap/>
                  <w:vAlign w:val="center"/>
                  <w:hideMark/>
                </w:tcPr>
                <w:p w14:paraId="38B7DA1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23.614.768,11</w:t>
                  </w:r>
                </w:p>
              </w:tc>
              <w:tc>
                <w:tcPr>
                  <w:tcW w:w="1598" w:type="dxa"/>
                  <w:tcBorders>
                    <w:top w:val="nil"/>
                    <w:left w:val="nil"/>
                    <w:bottom w:val="single" w:sz="4" w:space="0" w:color="auto"/>
                    <w:right w:val="single" w:sz="4" w:space="0" w:color="auto"/>
                  </w:tcBorders>
                  <w:shd w:val="clear" w:color="auto" w:fill="auto"/>
                  <w:noWrap/>
                  <w:vAlign w:val="center"/>
                  <w:hideMark/>
                </w:tcPr>
                <w:p w14:paraId="0037AF8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20.648.550,05</w:t>
                  </w:r>
                </w:p>
              </w:tc>
              <w:tc>
                <w:tcPr>
                  <w:tcW w:w="947" w:type="dxa"/>
                  <w:tcBorders>
                    <w:top w:val="nil"/>
                    <w:left w:val="nil"/>
                    <w:bottom w:val="single" w:sz="4" w:space="0" w:color="auto"/>
                    <w:right w:val="single" w:sz="4" w:space="0" w:color="auto"/>
                  </w:tcBorders>
                  <w:shd w:val="clear" w:color="auto" w:fill="auto"/>
                  <w:noWrap/>
                  <w:vAlign w:val="center"/>
                  <w:hideMark/>
                </w:tcPr>
                <w:p w14:paraId="7355A6D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c>
                <w:tcPr>
                  <w:tcW w:w="1160" w:type="dxa"/>
                  <w:tcBorders>
                    <w:top w:val="nil"/>
                    <w:left w:val="nil"/>
                    <w:bottom w:val="single" w:sz="4" w:space="0" w:color="auto"/>
                    <w:right w:val="single" w:sz="4" w:space="0" w:color="auto"/>
                  </w:tcBorders>
                  <w:shd w:val="clear" w:color="auto" w:fill="auto"/>
                  <w:noWrap/>
                  <w:vAlign w:val="center"/>
                  <w:hideMark/>
                </w:tcPr>
                <w:p w14:paraId="37EE1C9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12,56</w:t>
                  </w:r>
                </w:p>
              </w:tc>
              <w:tc>
                <w:tcPr>
                  <w:tcW w:w="1101" w:type="dxa"/>
                  <w:tcBorders>
                    <w:top w:val="nil"/>
                    <w:left w:val="nil"/>
                    <w:bottom w:val="single" w:sz="4" w:space="0" w:color="auto"/>
                    <w:right w:val="single" w:sz="4" w:space="0" w:color="auto"/>
                  </w:tcBorders>
                  <w:shd w:val="clear" w:color="auto" w:fill="auto"/>
                  <w:noWrap/>
                  <w:vAlign w:val="center"/>
                  <w:hideMark/>
                </w:tcPr>
                <w:p w14:paraId="44CB7B3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-7,44</w:t>
                  </w:r>
                </w:p>
              </w:tc>
            </w:tr>
            <w:tr w:rsidR="00F56356" w:rsidRPr="00F56356" w14:paraId="562E27A1"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511F00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914</w:t>
                  </w:r>
                </w:p>
              </w:tc>
              <w:tc>
                <w:tcPr>
                  <w:tcW w:w="1598" w:type="dxa"/>
                  <w:tcBorders>
                    <w:top w:val="nil"/>
                    <w:left w:val="nil"/>
                    <w:bottom w:val="single" w:sz="4" w:space="0" w:color="auto"/>
                    <w:right w:val="single" w:sz="4" w:space="0" w:color="auto"/>
                  </w:tcBorders>
                  <w:shd w:val="clear" w:color="auto" w:fill="auto"/>
                  <w:noWrap/>
                  <w:vAlign w:val="center"/>
                  <w:hideMark/>
                </w:tcPr>
                <w:p w14:paraId="0C32D77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1.742.943,08</w:t>
                  </w:r>
                </w:p>
              </w:tc>
              <w:tc>
                <w:tcPr>
                  <w:tcW w:w="1598" w:type="dxa"/>
                  <w:tcBorders>
                    <w:top w:val="nil"/>
                    <w:left w:val="nil"/>
                    <w:bottom w:val="single" w:sz="4" w:space="0" w:color="auto"/>
                    <w:right w:val="single" w:sz="4" w:space="0" w:color="auto"/>
                  </w:tcBorders>
                  <w:shd w:val="clear" w:color="auto" w:fill="auto"/>
                  <w:noWrap/>
                  <w:vAlign w:val="center"/>
                  <w:hideMark/>
                </w:tcPr>
                <w:p w14:paraId="1581120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1.742.943,08</w:t>
                  </w:r>
                </w:p>
              </w:tc>
              <w:tc>
                <w:tcPr>
                  <w:tcW w:w="947" w:type="dxa"/>
                  <w:tcBorders>
                    <w:top w:val="nil"/>
                    <w:left w:val="nil"/>
                    <w:bottom w:val="single" w:sz="4" w:space="0" w:color="auto"/>
                    <w:right w:val="single" w:sz="4" w:space="0" w:color="auto"/>
                  </w:tcBorders>
                  <w:shd w:val="clear" w:color="auto" w:fill="auto"/>
                  <w:noWrap/>
                  <w:vAlign w:val="center"/>
                  <w:hideMark/>
                </w:tcPr>
                <w:p w14:paraId="139C6A1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c>
                <w:tcPr>
                  <w:tcW w:w="1160" w:type="dxa"/>
                  <w:tcBorders>
                    <w:top w:val="nil"/>
                    <w:left w:val="nil"/>
                    <w:bottom w:val="single" w:sz="4" w:space="0" w:color="auto"/>
                    <w:right w:val="single" w:sz="4" w:space="0" w:color="auto"/>
                  </w:tcBorders>
                  <w:shd w:val="clear" w:color="auto" w:fill="auto"/>
                  <w:noWrap/>
                  <w:vAlign w:val="center"/>
                  <w:hideMark/>
                </w:tcPr>
                <w:p w14:paraId="729D960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01" w:type="dxa"/>
                  <w:tcBorders>
                    <w:top w:val="nil"/>
                    <w:left w:val="nil"/>
                    <w:bottom w:val="single" w:sz="4" w:space="0" w:color="auto"/>
                    <w:right w:val="single" w:sz="4" w:space="0" w:color="auto"/>
                  </w:tcBorders>
                  <w:shd w:val="clear" w:color="auto" w:fill="auto"/>
                  <w:noWrap/>
                  <w:vAlign w:val="center"/>
                  <w:hideMark/>
                </w:tcPr>
                <w:p w14:paraId="2292009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r>
            <w:tr w:rsidR="00F56356" w:rsidRPr="00F56356" w14:paraId="08DB2E89" w14:textId="77777777" w:rsidTr="00F56356">
              <w:trPr>
                <w:trHeight w:val="315"/>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3B325DA"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98" w:type="dxa"/>
                  <w:tcBorders>
                    <w:top w:val="nil"/>
                    <w:left w:val="nil"/>
                    <w:bottom w:val="single" w:sz="4" w:space="0" w:color="auto"/>
                    <w:right w:val="single" w:sz="4" w:space="0" w:color="auto"/>
                  </w:tcBorders>
                  <w:shd w:val="clear" w:color="auto" w:fill="auto"/>
                  <w:noWrap/>
                  <w:vAlign w:val="center"/>
                  <w:hideMark/>
                </w:tcPr>
                <w:p w14:paraId="4ABFF84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309.203.000,01</w:t>
                  </w:r>
                </w:p>
              </w:tc>
              <w:tc>
                <w:tcPr>
                  <w:tcW w:w="1598" w:type="dxa"/>
                  <w:tcBorders>
                    <w:top w:val="nil"/>
                    <w:left w:val="nil"/>
                    <w:bottom w:val="single" w:sz="4" w:space="0" w:color="auto"/>
                    <w:right w:val="single" w:sz="4" w:space="0" w:color="auto"/>
                  </w:tcBorders>
                  <w:shd w:val="clear" w:color="auto" w:fill="auto"/>
                  <w:noWrap/>
                  <w:vAlign w:val="center"/>
                  <w:hideMark/>
                </w:tcPr>
                <w:p w14:paraId="41A4C510"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239.236.784,00</w:t>
                  </w:r>
                </w:p>
              </w:tc>
              <w:tc>
                <w:tcPr>
                  <w:tcW w:w="947" w:type="dxa"/>
                  <w:tcBorders>
                    <w:top w:val="nil"/>
                    <w:left w:val="nil"/>
                    <w:bottom w:val="nil"/>
                    <w:right w:val="nil"/>
                  </w:tcBorders>
                  <w:shd w:val="clear" w:color="auto" w:fill="auto"/>
                  <w:noWrap/>
                  <w:vAlign w:val="center"/>
                  <w:hideMark/>
                </w:tcPr>
                <w:p w14:paraId="6928C7A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60" w:type="dxa"/>
                  <w:tcBorders>
                    <w:top w:val="nil"/>
                    <w:left w:val="nil"/>
                    <w:bottom w:val="nil"/>
                    <w:right w:val="nil"/>
                  </w:tcBorders>
                  <w:shd w:val="clear" w:color="auto" w:fill="auto"/>
                  <w:noWrap/>
                  <w:vAlign w:val="center"/>
                  <w:hideMark/>
                </w:tcPr>
                <w:p w14:paraId="5C8077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01" w:type="dxa"/>
                  <w:tcBorders>
                    <w:top w:val="nil"/>
                    <w:left w:val="nil"/>
                    <w:bottom w:val="nil"/>
                    <w:right w:val="nil"/>
                  </w:tcBorders>
                  <w:shd w:val="clear" w:color="auto" w:fill="auto"/>
                  <w:noWrap/>
                  <w:vAlign w:val="center"/>
                  <w:hideMark/>
                </w:tcPr>
                <w:p w14:paraId="4783081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5B94E3C2" w14:textId="77777777" w:rsidR="00F56356" w:rsidRPr="00F56356" w:rsidRDefault="00F56356" w:rsidP="00F56356">
            <w:pPr>
              <w:spacing w:after="0" w:line="360" w:lineRule="auto"/>
              <w:ind w:left="284"/>
              <w:jc w:val="both"/>
              <w:rPr>
                <w:rFonts w:ascii="Times New Roman" w:hAnsi="Times New Roman" w:cs="Times New Roman"/>
                <w:b/>
                <w:color w:val="000000" w:themeColor="text1"/>
                <w:sz w:val="24"/>
                <w:szCs w:val="24"/>
              </w:rPr>
            </w:pPr>
          </w:p>
          <w:p w14:paraId="79F266D6" w14:textId="77777777" w:rsidR="00F56356" w:rsidRPr="00F56356" w:rsidRDefault="00F56356" w:rsidP="00F56356">
            <w:pPr>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b/>
                <w:color w:val="000000" w:themeColor="text1"/>
                <w:sz w:val="24"/>
                <w:szCs w:val="24"/>
              </w:rPr>
              <w:t>2.2</w:t>
            </w:r>
            <w:r w:rsidRPr="00F56356">
              <w:rPr>
                <w:rFonts w:ascii="Times New Roman" w:hAnsi="Times New Roman" w:cs="Times New Roman"/>
                <w:color w:val="000000" w:themeColor="text1"/>
                <w:sz w:val="24"/>
                <w:szCs w:val="24"/>
              </w:rPr>
              <w:t xml:space="preserve"> Le risorse impegnate di euro 156.414.008,22 sono state destinate per euro 50.000,00 alle spese di funzionamento e per euro 156.364.008,22 alle spese in conto capitale.</w:t>
            </w:r>
          </w:p>
          <w:p w14:paraId="63600604" w14:textId="77777777" w:rsidR="00F56356" w:rsidRPr="00F56356" w:rsidRDefault="00F56356" w:rsidP="00F56356">
            <w:pPr>
              <w:spacing w:after="0" w:line="360" w:lineRule="auto"/>
              <w:ind w:left="284"/>
              <w:jc w:val="both"/>
              <w:rPr>
                <w:rFonts w:ascii="Times New Roman" w:hAnsi="Times New Roman" w:cs="Times New Roman"/>
                <w:color w:val="000000" w:themeColor="text1"/>
                <w:sz w:val="14"/>
                <w:szCs w:val="24"/>
              </w:rPr>
            </w:pPr>
          </w:p>
          <w:p w14:paraId="75D3C568" w14:textId="77777777" w:rsidR="00F56356" w:rsidRPr="00F56356" w:rsidRDefault="00F56356" w:rsidP="00F56356">
            <w:pPr>
              <w:spacing w:after="0" w:line="360" w:lineRule="auto"/>
              <w:ind w:left="284"/>
              <w:jc w:val="both"/>
              <w:rPr>
                <w:rFonts w:ascii="Times New Roman" w:hAnsi="Times New Roman" w:cs="Times New Roman"/>
                <w:color w:val="000000" w:themeColor="text1"/>
                <w:sz w:val="14"/>
                <w:szCs w:val="24"/>
              </w:rPr>
            </w:pPr>
          </w:p>
          <w:p w14:paraId="58490D95" w14:textId="64E8424D" w:rsidR="00F56356" w:rsidRDefault="00F56356" w:rsidP="00F56356">
            <w:pPr>
              <w:spacing w:after="0" w:line="360" w:lineRule="auto"/>
              <w:ind w:left="284"/>
              <w:jc w:val="both"/>
              <w:rPr>
                <w:rFonts w:ascii="Times New Roman" w:eastAsia="Arial" w:hAnsi="Times New Roman" w:cs="Arial"/>
                <w:color w:val="000000" w:themeColor="text1"/>
                <w:sz w:val="24"/>
                <w:szCs w:val="24"/>
                <w:lang w:eastAsia="it-IT"/>
              </w:rPr>
            </w:pPr>
            <w:r w:rsidRPr="00F56356">
              <w:rPr>
                <w:rFonts w:ascii="Times New Roman" w:eastAsia="Arial" w:hAnsi="Times New Roman" w:cs="Times New Roman"/>
                <w:b/>
                <w:color w:val="000000" w:themeColor="text1"/>
                <w:sz w:val="24"/>
                <w:szCs w:val="24"/>
                <w:lang w:eastAsia="it-IT"/>
              </w:rPr>
              <w:t xml:space="preserve">2.2.1 </w:t>
            </w:r>
            <w:r w:rsidRPr="00F56356">
              <w:rPr>
                <w:rFonts w:ascii="Times New Roman" w:eastAsia="Arial" w:hAnsi="Times New Roman" w:cs="Times New Roman"/>
                <w:color w:val="000000" w:themeColor="text1"/>
                <w:sz w:val="24"/>
                <w:szCs w:val="24"/>
                <w:lang w:eastAsia="it-IT"/>
              </w:rPr>
              <w:t xml:space="preserve">Le risorse impegnate per il funzionamento pari a euro 50.000,00 sono state destinate </w:t>
            </w:r>
            <w:r w:rsidRPr="00F56356">
              <w:rPr>
                <w:rFonts w:ascii="Times New Roman" w:eastAsia="Arial" w:hAnsi="Times New Roman" w:cs="Arial"/>
                <w:color w:val="000000" w:themeColor="text1"/>
                <w:sz w:val="24"/>
                <w:szCs w:val="24"/>
                <w:lang w:eastAsia="it-IT"/>
              </w:rPr>
              <w:t xml:space="preserve">alle spese di gestione e manutenzione della sezione della piattaforma </w:t>
            </w:r>
            <w:proofErr w:type="spellStart"/>
            <w:r w:rsidRPr="00F56356">
              <w:rPr>
                <w:rFonts w:ascii="Times New Roman" w:eastAsia="Arial" w:hAnsi="Times New Roman" w:cs="Arial"/>
                <w:color w:val="000000" w:themeColor="text1"/>
                <w:sz w:val="24"/>
                <w:szCs w:val="24"/>
                <w:lang w:eastAsia="it-IT"/>
              </w:rPr>
              <w:t>Rendis</w:t>
            </w:r>
            <w:proofErr w:type="spellEnd"/>
            <w:r w:rsidRPr="00F56356">
              <w:rPr>
                <w:rFonts w:ascii="Times New Roman" w:eastAsia="Arial" w:hAnsi="Times New Roman" w:cs="Arial"/>
                <w:color w:val="000000" w:themeColor="text1"/>
                <w:sz w:val="24"/>
                <w:szCs w:val="24"/>
                <w:lang w:eastAsia="it-IT"/>
              </w:rPr>
              <w:t>, istituita con DPCM 18 giugno 2021 (cap. 265).</w:t>
            </w:r>
          </w:p>
          <w:p w14:paraId="3D446A53" w14:textId="04AFD0A4" w:rsidR="00B162D3" w:rsidRDefault="00B162D3" w:rsidP="00F56356">
            <w:pPr>
              <w:spacing w:after="0" w:line="360" w:lineRule="auto"/>
              <w:ind w:left="284"/>
              <w:jc w:val="both"/>
              <w:rPr>
                <w:rFonts w:ascii="Times New Roman" w:eastAsia="Arial" w:hAnsi="Times New Roman" w:cs="Arial"/>
                <w:color w:val="000000" w:themeColor="text1"/>
                <w:sz w:val="24"/>
                <w:szCs w:val="24"/>
                <w:lang w:eastAsia="it-IT"/>
              </w:rPr>
            </w:pPr>
          </w:p>
          <w:p w14:paraId="67E3D8ED" w14:textId="77777777" w:rsidR="00B162D3" w:rsidRPr="00F56356" w:rsidRDefault="00B162D3" w:rsidP="00F56356">
            <w:pPr>
              <w:spacing w:after="0" w:line="360" w:lineRule="auto"/>
              <w:ind w:left="284"/>
              <w:jc w:val="both"/>
              <w:rPr>
                <w:rFonts w:ascii="Times New Roman" w:eastAsia="Arial" w:hAnsi="Times New Roman" w:cs="Arial"/>
                <w:color w:val="000000" w:themeColor="text1"/>
                <w:sz w:val="24"/>
                <w:szCs w:val="24"/>
                <w:lang w:eastAsia="it-IT"/>
              </w:rPr>
            </w:pPr>
          </w:p>
          <w:p w14:paraId="059AEF10" w14:textId="77777777" w:rsidR="00F56356" w:rsidRPr="00F56356" w:rsidRDefault="00F56356" w:rsidP="00F56356">
            <w:pPr>
              <w:spacing w:after="0" w:line="360" w:lineRule="auto"/>
              <w:ind w:left="284"/>
              <w:jc w:val="center"/>
              <w:rPr>
                <w:rFonts w:ascii="Times New Roman" w:eastAsia="Arial" w:hAnsi="Times New Roman" w:cs="Arial"/>
                <w:color w:val="000000" w:themeColor="text1"/>
                <w:sz w:val="24"/>
                <w:szCs w:val="24"/>
                <w:lang w:eastAsia="it-IT"/>
              </w:rPr>
            </w:pPr>
          </w:p>
          <w:p w14:paraId="23D1FBCD" w14:textId="77777777" w:rsidR="00F56356" w:rsidRPr="00F56356" w:rsidRDefault="00F56356" w:rsidP="00F56356">
            <w:pPr>
              <w:spacing w:after="0" w:line="360" w:lineRule="auto"/>
              <w:ind w:left="284"/>
              <w:jc w:val="center"/>
              <w:rPr>
                <w:rFonts w:ascii="Times New Roman" w:eastAsia="Arial" w:hAnsi="Times New Roman" w:cs="Arial"/>
                <w:color w:val="000000" w:themeColor="text1"/>
                <w:sz w:val="24"/>
                <w:szCs w:val="24"/>
                <w:lang w:eastAsia="it-IT"/>
              </w:rPr>
            </w:pPr>
            <w:r w:rsidRPr="00F56356">
              <w:rPr>
                <w:rFonts w:ascii="Times New Roman" w:eastAsia="Arial" w:hAnsi="Times New Roman" w:cs="Arial"/>
                <w:color w:val="000000" w:themeColor="text1"/>
                <w:sz w:val="24"/>
                <w:szCs w:val="24"/>
                <w:lang w:eastAsia="it-IT"/>
              </w:rPr>
              <w:lastRenderedPageBreak/>
              <w:t xml:space="preserve">Indicatori di bilancio </w:t>
            </w:r>
          </w:p>
          <w:p w14:paraId="49B5A9C9" w14:textId="77777777" w:rsidR="00F56356" w:rsidRPr="00F56356" w:rsidRDefault="00F56356" w:rsidP="00F56356">
            <w:pPr>
              <w:spacing w:line="360" w:lineRule="auto"/>
              <w:ind w:left="284"/>
              <w:jc w:val="both"/>
              <w:rPr>
                <w:rFonts w:ascii="Times New Roman" w:hAnsi="Times New Roman" w:cs="Times New Roman"/>
                <w:color w:val="000000" w:themeColor="text1"/>
                <w:sz w:val="24"/>
                <w:szCs w:val="24"/>
              </w:rPr>
            </w:pPr>
            <w:r w:rsidRPr="00F56356">
              <w:rPr>
                <w:noProof/>
                <w:lang w:eastAsia="it-IT"/>
              </w:rPr>
              <w:drawing>
                <wp:anchor distT="0" distB="0" distL="114300" distR="114300" simplePos="0" relativeHeight="251680768" behindDoc="1" locked="0" layoutInCell="1" allowOverlap="1" wp14:anchorId="01E35CE6" wp14:editId="0A6F8BDF">
                  <wp:simplePos x="0" y="0"/>
                  <wp:positionH relativeFrom="margin">
                    <wp:align>right</wp:align>
                  </wp:positionH>
                  <wp:positionV relativeFrom="paragraph">
                    <wp:posOffset>0</wp:posOffset>
                  </wp:positionV>
                  <wp:extent cx="5924550" cy="1268730"/>
                  <wp:effectExtent l="0" t="0" r="0" b="7620"/>
                  <wp:wrapTight wrapText="bothSides">
                    <wp:wrapPolygon edited="0">
                      <wp:start x="0" y="0"/>
                      <wp:lineTo x="0" y="21405"/>
                      <wp:lineTo x="11877" y="21405"/>
                      <wp:lineTo x="17016" y="20757"/>
                      <wp:lineTo x="21531" y="18486"/>
                      <wp:lineTo x="21531" y="9081"/>
                      <wp:lineTo x="21183" y="5189"/>
                      <wp:lineTo x="21461" y="5189"/>
                      <wp:lineTo x="21531" y="3892"/>
                      <wp:lineTo x="21531" y="0"/>
                      <wp:lineTo x="0" y="0"/>
                    </wp:wrapPolygon>
                  </wp:wrapTight>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4550" cy="1268730"/>
                          </a:xfrm>
                          <a:prstGeom prst="rect">
                            <a:avLst/>
                          </a:prstGeom>
                          <a:noFill/>
                          <a:ln>
                            <a:noFill/>
                          </a:ln>
                        </pic:spPr>
                      </pic:pic>
                    </a:graphicData>
                  </a:graphic>
                  <wp14:sizeRelH relativeFrom="margin">
                    <wp14:pctWidth>0</wp14:pctWidth>
                  </wp14:sizeRelH>
                </wp:anchor>
              </w:drawing>
            </w:r>
          </w:p>
          <w:p w14:paraId="593F5457"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b/>
                <w:color w:val="000000" w:themeColor="text1"/>
                <w:sz w:val="24"/>
                <w:szCs w:val="24"/>
              </w:rPr>
              <w:t>2.2.2</w:t>
            </w:r>
            <w:r w:rsidRPr="00F56356">
              <w:rPr>
                <w:rFonts w:ascii="Times New Roman" w:hAnsi="Times New Roman" w:cs="Times New Roman"/>
                <w:color w:val="000000" w:themeColor="text1"/>
                <w:sz w:val="24"/>
                <w:szCs w:val="24"/>
              </w:rPr>
              <w:t xml:space="preserve"> Le risorse impegnante per le spese in conto capitale pari a euro 156.364.008,22 sono state destinate:</w:t>
            </w:r>
          </w:p>
          <w:p w14:paraId="6D938304"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a) “</w:t>
            </w:r>
            <w:r w:rsidRPr="00F56356">
              <w:rPr>
                <w:rFonts w:ascii="Times New Roman" w:hAnsi="Times New Roman" w:cs="Times New Roman"/>
                <w:i/>
                <w:color w:val="000000" w:themeColor="text1"/>
                <w:sz w:val="24"/>
                <w:szCs w:val="24"/>
              </w:rPr>
              <w:t xml:space="preserve">Fondo per la ricerca medica - Fondazione </w:t>
            </w:r>
            <w:proofErr w:type="spellStart"/>
            <w:r w:rsidRPr="00F56356">
              <w:rPr>
                <w:rFonts w:ascii="Times New Roman" w:hAnsi="Times New Roman" w:cs="Times New Roman"/>
                <w:i/>
                <w:color w:val="000000" w:themeColor="text1"/>
                <w:sz w:val="24"/>
                <w:szCs w:val="24"/>
              </w:rPr>
              <w:t>Rimed</w:t>
            </w:r>
            <w:proofErr w:type="spellEnd"/>
            <w:r w:rsidRPr="00F56356">
              <w:rPr>
                <w:rFonts w:ascii="Times New Roman" w:hAnsi="Times New Roman" w:cs="Times New Roman"/>
                <w:i/>
                <w:color w:val="000000" w:themeColor="text1"/>
                <w:sz w:val="24"/>
                <w:szCs w:val="24"/>
              </w:rPr>
              <w:t>”</w:t>
            </w:r>
            <w:r w:rsidRPr="00F56356">
              <w:rPr>
                <w:rFonts w:ascii="Times New Roman" w:hAnsi="Times New Roman" w:cs="Times New Roman"/>
                <w:color w:val="000000" w:themeColor="text1"/>
                <w:sz w:val="24"/>
                <w:szCs w:val="24"/>
              </w:rPr>
              <w:t xml:space="preserve"> (cap. 906)</w:t>
            </w:r>
          </w:p>
          <w:p w14:paraId="4F16227E"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euro 65.593.442,00 al finanziamento della realizzazione e dell’equipaggiamento di laboratori di ricerca biotecnologica della Fondazione </w:t>
            </w:r>
            <w:proofErr w:type="spellStart"/>
            <w:r w:rsidRPr="00F56356">
              <w:rPr>
                <w:rFonts w:ascii="Times New Roman" w:hAnsi="Times New Roman" w:cs="Times New Roman"/>
                <w:color w:val="000000" w:themeColor="text1"/>
                <w:sz w:val="24"/>
                <w:szCs w:val="24"/>
              </w:rPr>
              <w:t>Ri.MED</w:t>
            </w:r>
            <w:proofErr w:type="spellEnd"/>
            <w:r w:rsidRPr="00F56356">
              <w:rPr>
                <w:rFonts w:ascii="Times New Roman" w:hAnsi="Times New Roman" w:cs="Times New Roman"/>
                <w:color w:val="000000" w:themeColor="text1"/>
                <w:sz w:val="24"/>
                <w:szCs w:val="24"/>
              </w:rPr>
              <w:t>, quale, in particolare, il Centro per le Biotecnologie e la Ricerca Biomedica (CBRB) a Carini (Palermo); con decreto del 12 luglio 2022 è stato approvato, contestualmente all’impegno di spesa, un secondo atto aggiuntivo alla Convenzione in essere tra il Dipartimento Casa Italia e la Fondazione, che ne ha modificato le modalità attuative e prorogato il termine al 31 dicembre 2024, fatta salva la possibilità di rendicontare le spese fino al 30 giugno 2025;</w:t>
            </w:r>
          </w:p>
          <w:p w14:paraId="1F36274C"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b) “</w:t>
            </w:r>
            <w:r w:rsidRPr="00F56356">
              <w:rPr>
                <w:rFonts w:ascii="Times New Roman" w:hAnsi="Times New Roman" w:cs="Times New Roman"/>
                <w:i/>
                <w:color w:val="000000" w:themeColor="text1"/>
                <w:sz w:val="24"/>
                <w:szCs w:val="24"/>
              </w:rPr>
              <w:t>Interventi per la prevenzione del rischio sismico delle infrastrutture”</w:t>
            </w:r>
            <w:r w:rsidRPr="00F56356">
              <w:rPr>
                <w:rFonts w:ascii="Times New Roman" w:hAnsi="Times New Roman" w:cs="Times New Roman"/>
                <w:color w:val="000000" w:themeColor="text1"/>
                <w:sz w:val="24"/>
                <w:szCs w:val="24"/>
              </w:rPr>
              <w:t xml:space="preserve"> (cap. 908)</w:t>
            </w:r>
          </w:p>
          <w:p w14:paraId="7B8E5B2F"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euro 83.369.428,82,</w:t>
            </w:r>
            <w:r w:rsidRPr="00F56356">
              <w:rPr>
                <w:rFonts w:ascii="Times New Roman" w:eastAsia="Times New Roman" w:hAnsi="Times New Roman" w:cs="Times New Roman"/>
                <w:sz w:val="24"/>
                <w:szCs w:val="24"/>
                <w:lang w:eastAsia="it-IT"/>
              </w:rPr>
              <w:t xml:space="preserve"> </w:t>
            </w:r>
            <w:r w:rsidRPr="00F56356">
              <w:rPr>
                <w:rFonts w:ascii="Times New Roman" w:hAnsi="Times New Roman" w:cs="Times New Roman"/>
                <w:color w:val="000000" w:themeColor="text1"/>
                <w:sz w:val="24"/>
                <w:szCs w:val="24"/>
              </w:rPr>
              <w:t>di cui:</w:t>
            </w:r>
          </w:p>
          <w:p w14:paraId="1F4D0C58"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euro 426.816,40 riferiti a reiscrizioni di residui passivi perenti; </w:t>
            </w:r>
          </w:p>
          <w:p w14:paraId="69DF3F98"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euro 13.000.000,00 a favore del Provveditorato interregionale delle opere pubbliche del Friuli per l’intervento della Caserma della Legione Carabinieri di Udine, nell’ambito del secondo atto aggiuntivo del 13 dicembre 2021 alla convenzione sottoscritta tra il Dipartimento e il Ministero delle infrastrutture e dei trasporti il 21 dicembre 2018, con la quale sono stati individuati gli interventi per la prevenzione e riduzione del rischio sismico delle infrastrutture strategiche, da attuare mediante i Provveditorati alle Opere Pubbliche competenti per territorio;</w:t>
            </w:r>
          </w:p>
          <w:p w14:paraId="349789D4"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euro 49.659.000,00 al finanziamento di 13 interventi di mitigazione del rischio sismico su altrettanti immobili di proprietà demaniale, nell’ambito di una convenzione attuativa sottoscritta dal Dipartimento con la Struttura per la progettazione di beni ed edifici pubblici dell’Agenzia del demanio in data 5 maggio 2022;</w:t>
            </w:r>
          </w:p>
          <w:p w14:paraId="348F5B2A"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euro 19.987.758,86 al finanziamento di 15 interventi aventi ad oggetto indagini di vulnerabilità sismica, progettazione e specifici interventi di adeguamento sismico su edifici di proprietà pubblica ricadenti nei territori di Comuni interessati dal sisma del 2009, nell’ambito di una </w:t>
            </w:r>
            <w:r w:rsidRPr="00F56356">
              <w:rPr>
                <w:rFonts w:ascii="Times New Roman" w:hAnsi="Times New Roman" w:cs="Times New Roman"/>
                <w:color w:val="000000" w:themeColor="text1"/>
                <w:sz w:val="24"/>
                <w:szCs w:val="24"/>
              </w:rPr>
              <w:lastRenderedPageBreak/>
              <w:t>collaborazione interistituzionale tra il Dipartimento e la Struttura di missione per la ricostruzione e lo sviluppo dei territori colpiti dal sisma 2009 (SMAPT);</w:t>
            </w:r>
          </w:p>
          <w:p w14:paraId="7AA9293B"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euro 295.853,56 a favore di SOGEI S.p.a. per le operazioni di “migrazione” sui server della PCM del “Portale nazionale delle classificazioni sismiche – PNCS”, infrastruttura informatica finanziata a valere sulle risorse del PONGOV 2014-2020, funzionale alla raccolta in forma digitale dei dati sul miglioramento di classificazione sismica contenuti nella pratica amministrativa edilizia necessari per ottenere l’agevolazione del cosiddetto “sisma bonus”;</w:t>
            </w:r>
          </w:p>
          <w:p w14:paraId="469FA782"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FF0000"/>
                <w:sz w:val="24"/>
                <w:szCs w:val="24"/>
              </w:rPr>
            </w:pPr>
            <w:r w:rsidRPr="00F56356">
              <w:rPr>
                <w:rFonts w:ascii="Times New Roman" w:hAnsi="Times New Roman" w:cs="Times New Roman"/>
                <w:color w:val="000000" w:themeColor="text1"/>
                <w:sz w:val="24"/>
                <w:szCs w:val="24"/>
              </w:rPr>
              <w:t>c) “</w:t>
            </w:r>
            <w:r w:rsidRPr="00F56356">
              <w:rPr>
                <w:rFonts w:ascii="Times New Roman" w:hAnsi="Times New Roman" w:cs="Times New Roman"/>
                <w:i/>
                <w:color w:val="000000" w:themeColor="text1"/>
                <w:sz w:val="24"/>
                <w:szCs w:val="24"/>
              </w:rPr>
              <w:t>Verifiche di vulnerabilità degli edifici scolastici situati nei comuni delle zone a rischio sismico 1 e relativi progetti di adeguamento”</w:t>
            </w:r>
            <w:r w:rsidRPr="00F56356">
              <w:rPr>
                <w:rFonts w:ascii="Times New Roman" w:hAnsi="Times New Roman" w:cs="Times New Roman"/>
                <w:color w:val="000000" w:themeColor="text1"/>
                <w:sz w:val="24"/>
                <w:szCs w:val="24"/>
              </w:rPr>
              <w:t xml:space="preserve"> (cap. 912)</w:t>
            </w:r>
          </w:p>
          <w:p w14:paraId="75E9EF6E"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euro 7.338.073,35 riferiti a reiscrizioni di residui passivi perenti;</w:t>
            </w:r>
          </w:p>
          <w:p w14:paraId="2A933A8F"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d</w:t>
            </w:r>
            <w:r w:rsidRPr="00F56356">
              <w:rPr>
                <w:rFonts w:ascii="Times New Roman" w:hAnsi="Times New Roman" w:cs="Times New Roman"/>
                <w:i/>
                <w:color w:val="000000" w:themeColor="text1"/>
                <w:sz w:val="24"/>
                <w:szCs w:val="24"/>
              </w:rPr>
              <w:t>) “Supporto tecnico-operativo e alle attività connesse alla definizione, attuazione e valutazione degli interventi per le aree del terremoto del 2009 e 2016 del Fondo Complementare al PNRR</w:t>
            </w:r>
            <w:r w:rsidRPr="00F56356">
              <w:rPr>
                <w:rFonts w:ascii="Times New Roman" w:hAnsi="Times New Roman" w:cs="Times New Roman"/>
                <w:color w:val="000000" w:themeColor="text1"/>
                <w:sz w:val="24"/>
                <w:szCs w:val="24"/>
              </w:rPr>
              <w:t>” (cap. 924)</w:t>
            </w:r>
          </w:p>
          <w:p w14:paraId="6D3A537E" w14:textId="77777777" w:rsidR="00F56356" w:rsidRPr="00F56356" w:rsidRDefault="00F56356" w:rsidP="00F56356">
            <w:pPr>
              <w:tabs>
                <w:tab w:val="left" w:pos="284"/>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euro 63.064,05 al supporto tecnico-operativo e alle attività connesse alla definizione, attuazione e valutazione degli interventi del programma di interventi per le aree del terremoto del 2009 e 2016 del Fondo Complementare al PNRR, di cui all’articolo 1, comma 2, lettera b), n. 1, del decreto-legge 6 maggio 2021,</w:t>
            </w:r>
            <w:r w:rsidRPr="00F56356">
              <w:rPr>
                <w:rFonts w:ascii="Times New Roman" w:eastAsia="Times New Roman" w:hAnsi="Times New Roman" w:cs="Times New Roman"/>
                <w:sz w:val="24"/>
                <w:szCs w:val="24"/>
                <w:lang w:eastAsia="it-IT"/>
              </w:rPr>
              <w:t xml:space="preserve"> </w:t>
            </w:r>
            <w:r w:rsidRPr="00F56356">
              <w:rPr>
                <w:rFonts w:ascii="Times New Roman" w:eastAsia="Calibri" w:hAnsi="Times New Roman" w:cs="Times New Roman"/>
                <w:color w:val="000000" w:themeColor="text1"/>
                <w:sz w:val="24"/>
                <w:szCs w:val="24"/>
              </w:rPr>
              <w:t>n. 59, convertito, con modificazioni, dalla legge 1° luglio 2021, n. 101. Risorse che, ai sensi della normativa citata, sono state ripartite tra il Commissario straordinario per la ricostruzione dei territori colpiti dagli eventi sismici del 2016, la Struttura di missione per il coordinamento dei processi di ricostruzione e sviluppo dei territori colpiti dal sisma del 6 aprile 2009 e il Dipartimento Casa Italia.</w:t>
            </w:r>
          </w:p>
          <w:p w14:paraId="71A1F6EA" w14:textId="77777777" w:rsidR="00F56356" w:rsidRP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 xml:space="preserve">                                                            </w:t>
            </w:r>
          </w:p>
          <w:p w14:paraId="6D8A6FCF" w14:textId="77777777" w:rsidR="00F56356" w:rsidRPr="00F56356" w:rsidRDefault="00F56356" w:rsidP="00F56356">
            <w:pPr>
              <w:tabs>
                <w:tab w:val="left" w:pos="284"/>
              </w:tabs>
              <w:spacing w:after="0" w:line="360" w:lineRule="auto"/>
              <w:ind w:left="284"/>
              <w:jc w:val="center"/>
              <w:rPr>
                <w:rFonts w:ascii="Times New Roman" w:hAnsi="Times New Roman" w:cs="Times New Roman"/>
                <w:color w:val="000000" w:themeColor="text1"/>
                <w:sz w:val="24"/>
                <w:szCs w:val="24"/>
              </w:rPr>
            </w:pPr>
            <w:r w:rsidRPr="00F56356">
              <w:rPr>
                <w:rFonts w:ascii="Times New Roman" w:hAnsi="Times New Roman" w:cs="Times New Roman"/>
                <w:color w:val="000000" w:themeColor="text1"/>
                <w:sz w:val="24"/>
                <w:szCs w:val="24"/>
              </w:rPr>
              <w:t>Indicatori di bilancio</w:t>
            </w:r>
          </w:p>
          <w:p w14:paraId="72F03B54" w14:textId="77777777" w:rsidR="00F56356" w:rsidRPr="00F56356" w:rsidRDefault="00F56356" w:rsidP="00F56356">
            <w:pPr>
              <w:tabs>
                <w:tab w:val="left" w:pos="284"/>
              </w:tabs>
              <w:spacing w:after="0" w:line="360" w:lineRule="auto"/>
              <w:ind w:left="284"/>
              <w:jc w:val="center"/>
              <w:rPr>
                <w:rFonts w:ascii="Times New Roman" w:hAnsi="Times New Roman" w:cs="Times New Roman"/>
                <w:color w:val="000000" w:themeColor="text1"/>
                <w:sz w:val="24"/>
                <w:szCs w:val="24"/>
              </w:rPr>
            </w:pPr>
            <w:r w:rsidRPr="00F56356">
              <w:rPr>
                <w:rFonts w:ascii="Times New Roman" w:hAnsi="Times New Roman" w:cs="Times New Roman"/>
                <w:noProof/>
                <w:color w:val="000000" w:themeColor="text1"/>
                <w:sz w:val="24"/>
                <w:szCs w:val="24"/>
                <w:lang w:eastAsia="it-IT"/>
              </w:rPr>
              <w:drawing>
                <wp:inline distT="0" distB="0" distL="0" distR="0" wp14:anchorId="745592D9" wp14:editId="11EF7F71">
                  <wp:extent cx="5786323" cy="1704340"/>
                  <wp:effectExtent l="0" t="0" r="508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9211" cy="1705191"/>
                          </a:xfrm>
                          <a:prstGeom prst="rect">
                            <a:avLst/>
                          </a:prstGeom>
                          <a:noFill/>
                          <a:ln>
                            <a:noFill/>
                          </a:ln>
                        </pic:spPr>
                      </pic:pic>
                    </a:graphicData>
                  </a:graphic>
                </wp:inline>
              </w:drawing>
            </w:r>
          </w:p>
          <w:p w14:paraId="0520EB59" w14:textId="5F799808" w:rsidR="00F56356" w:rsidRDefault="00F56356" w:rsidP="00F56356">
            <w:pPr>
              <w:tabs>
                <w:tab w:val="left" w:pos="284"/>
              </w:tabs>
              <w:spacing w:after="0" w:line="360" w:lineRule="auto"/>
              <w:ind w:left="284"/>
              <w:jc w:val="both"/>
              <w:rPr>
                <w:rFonts w:ascii="Times New Roman" w:hAnsi="Times New Roman" w:cs="Times New Roman"/>
                <w:color w:val="000000" w:themeColor="text1"/>
                <w:sz w:val="24"/>
                <w:szCs w:val="24"/>
              </w:rPr>
            </w:pPr>
          </w:p>
          <w:p w14:paraId="56CA5920" w14:textId="77777777" w:rsidR="00673DBE" w:rsidRPr="00F56356" w:rsidRDefault="00673DBE" w:rsidP="00F56356">
            <w:pPr>
              <w:tabs>
                <w:tab w:val="left" w:pos="284"/>
              </w:tabs>
              <w:spacing w:after="0" w:line="360" w:lineRule="auto"/>
              <w:ind w:left="284"/>
              <w:jc w:val="both"/>
              <w:rPr>
                <w:rFonts w:ascii="Times New Roman" w:hAnsi="Times New Roman" w:cs="Times New Roman"/>
                <w:color w:val="000000" w:themeColor="text1"/>
                <w:sz w:val="24"/>
                <w:szCs w:val="24"/>
              </w:rPr>
            </w:pPr>
          </w:p>
          <w:p w14:paraId="5AF1631D"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Gli scostamenti tra gli indicatori di bilancio attesi e realizzati sono stati determinati:</w:t>
            </w:r>
          </w:p>
          <w:p w14:paraId="797428B2"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 xml:space="preserve">a)  per il capitolo 265 - </w:t>
            </w:r>
            <w:r w:rsidRPr="00F56356">
              <w:rPr>
                <w:rFonts w:ascii="Times New Roman" w:hAnsi="Times New Roman"/>
                <w:i/>
                <w:color w:val="000000" w:themeColor="text1"/>
                <w:sz w:val="24"/>
                <w:szCs w:val="24"/>
              </w:rPr>
              <w:t xml:space="preserve">Spese di gestione e manutenzione della sezione della piattaforma </w:t>
            </w:r>
            <w:proofErr w:type="spellStart"/>
            <w:r w:rsidRPr="00F56356">
              <w:rPr>
                <w:rFonts w:ascii="Times New Roman" w:hAnsi="Times New Roman"/>
                <w:i/>
                <w:color w:val="000000" w:themeColor="text1"/>
                <w:sz w:val="24"/>
                <w:szCs w:val="24"/>
              </w:rPr>
              <w:t>Rendis</w:t>
            </w:r>
            <w:proofErr w:type="spellEnd"/>
            <w:r w:rsidRPr="00F56356">
              <w:rPr>
                <w:rFonts w:ascii="Times New Roman" w:hAnsi="Times New Roman"/>
                <w:i/>
                <w:color w:val="000000" w:themeColor="text1"/>
                <w:sz w:val="24"/>
                <w:szCs w:val="24"/>
              </w:rPr>
              <w:t xml:space="preserve"> istituita con DPCM 18 giugno 2021,</w:t>
            </w:r>
            <w:r w:rsidRPr="00F56356">
              <w:rPr>
                <w:rFonts w:ascii="Times New Roman" w:hAnsi="Times New Roman"/>
                <w:color w:val="000000" w:themeColor="text1"/>
                <w:sz w:val="24"/>
                <w:szCs w:val="24"/>
              </w:rPr>
              <w:t xml:space="preserve"> relativamente alla capacità di pagamento, in quanto, a fronte </w:t>
            </w:r>
            <w:r w:rsidRPr="00F56356">
              <w:rPr>
                <w:rFonts w:ascii="Times New Roman" w:hAnsi="Times New Roman"/>
                <w:color w:val="000000" w:themeColor="text1"/>
                <w:sz w:val="24"/>
                <w:szCs w:val="24"/>
              </w:rPr>
              <w:lastRenderedPageBreak/>
              <w:t>del cambio di Governo, per effetto dello spoil system, è venuta meno la delega del Capo Dipartimento pro tempore sul predetto capitolo. Successivamente, il Dipartimento non ha autorizzato pagamenti, in attesa dell’istituzione, nell’ambito del bilancio della Presidenza del Consiglio dei ministri, del centro di responsabilità “Casa Italia” e del contestuale trasferimento, sull’istituendo centro di responsabilità, di tutti i capitoli di spesa di propria pertinenza;</w:t>
            </w:r>
          </w:p>
          <w:p w14:paraId="784A3AB5"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 xml:space="preserve">b) per il capitolo 906 - </w:t>
            </w:r>
            <w:r w:rsidRPr="00F56356">
              <w:rPr>
                <w:rFonts w:ascii="Times New Roman" w:hAnsi="Times New Roman"/>
                <w:i/>
                <w:color w:val="000000" w:themeColor="text1"/>
                <w:sz w:val="24"/>
                <w:szCs w:val="24"/>
              </w:rPr>
              <w:t xml:space="preserve">Fondo per la ricerca medica - Fondazione </w:t>
            </w:r>
            <w:proofErr w:type="spellStart"/>
            <w:r w:rsidRPr="00F56356">
              <w:rPr>
                <w:rFonts w:ascii="Times New Roman" w:hAnsi="Times New Roman"/>
                <w:i/>
                <w:color w:val="000000" w:themeColor="text1"/>
                <w:sz w:val="24"/>
                <w:szCs w:val="24"/>
              </w:rPr>
              <w:t>Rimed</w:t>
            </w:r>
            <w:proofErr w:type="spellEnd"/>
            <w:r w:rsidRPr="00F56356">
              <w:rPr>
                <w:rFonts w:ascii="Times New Roman" w:hAnsi="Times New Roman"/>
                <w:color w:val="000000" w:themeColor="text1"/>
                <w:sz w:val="24"/>
                <w:szCs w:val="24"/>
              </w:rPr>
              <w:t>, relativamente alla capacità di pagamento, dai ritardi accumulati nella realizzazione del Centro per le Biotecnologie e la Ricerca Biomedica (CBRB), causati in larga parte dalle misure restrittive introdotte per il contenimento dell’epidemia da Covid-19 e dalla difficoltà nel reperimento dei materiali necessari per la costruzione del Centro di ricerche conseguente il conflitto russo-ucraino e la generale congestione del mercato dell’edilizia. Inoltre, le modifiche apportate alle modalità attuative della convenzione, hanno determinato lo slittamento della richiesta di saldo delle spese effettuate nel 2023;</w:t>
            </w:r>
          </w:p>
          <w:p w14:paraId="52BB304F"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lang w:eastAsia="it-IT"/>
              </w:rPr>
            </w:pPr>
            <w:r w:rsidRPr="00F56356">
              <w:rPr>
                <w:rFonts w:ascii="Times New Roman" w:hAnsi="Times New Roman"/>
                <w:color w:val="000000" w:themeColor="text1"/>
                <w:sz w:val="24"/>
                <w:szCs w:val="24"/>
                <w:lang w:eastAsia="it-IT"/>
              </w:rPr>
              <w:t xml:space="preserve">c) per il capitolo 908 - </w:t>
            </w:r>
            <w:r w:rsidRPr="00F56356">
              <w:rPr>
                <w:rFonts w:ascii="Times New Roman" w:hAnsi="Times New Roman"/>
                <w:i/>
                <w:color w:val="000000" w:themeColor="text1"/>
                <w:sz w:val="24"/>
                <w:szCs w:val="24"/>
                <w:lang w:eastAsia="it-IT"/>
              </w:rPr>
              <w:t>Interventi per la prevenzione del rischio sismico delle infrastrutture,</w:t>
            </w:r>
            <w:r w:rsidRPr="00F56356">
              <w:rPr>
                <w:rFonts w:ascii="Times New Roman" w:hAnsi="Times New Roman"/>
                <w:color w:val="000000" w:themeColor="text1"/>
                <w:sz w:val="24"/>
                <w:szCs w:val="24"/>
                <w:lang w:eastAsia="it-IT"/>
              </w:rPr>
              <w:t xml:space="preserve"> da più concause che hanno determinato un generale ritardo nell’attuazione dei programmi di spesa. Tra le principali ragioni sono da considerare un ritardo generalizzato dei Provveditorati nel bandire le gare per servizi di ingegneria, per lo più attribuito alla difficoltà di dotarsi degli studi preliminari di vulnerabilità sismica, spesso commissionati dall’Agenzia del demanio, e i rincari nei materiali che hanno reso difficoltoso chiudere i quadri economici con le risorse allocate all’atto di sottoscrizione degli accordi. Inoltre, le strutture dei Provveditorati interregionali alle OO.PP. scontano una generale carenza di personale che incide sull’efficienza e la velocità dell’azione amministrativa e tecnica;</w:t>
            </w:r>
          </w:p>
          <w:p w14:paraId="72391898" w14:textId="77777777" w:rsidR="00F56356" w:rsidRPr="00F56356" w:rsidRDefault="00F56356" w:rsidP="00F56356">
            <w:pPr>
              <w:autoSpaceDE w:val="0"/>
              <w:autoSpaceDN w:val="0"/>
              <w:adjustRightInd w:val="0"/>
              <w:spacing w:after="0" w:line="360" w:lineRule="auto"/>
              <w:ind w:left="284"/>
              <w:jc w:val="both"/>
              <w:rPr>
                <w:rFonts w:ascii="Times New Roman" w:hAnsi="Times New Roman" w:cs="Times New Roman"/>
                <w:color w:val="000000" w:themeColor="text1"/>
                <w:sz w:val="24"/>
                <w:szCs w:val="24"/>
              </w:rPr>
            </w:pPr>
            <w:r w:rsidRPr="00F56356">
              <w:rPr>
                <w:rFonts w:ascii="Times New Roman" w:hAnsi="Times New Roman"/>
                <w:color w:val="000000" w:themeColor="text1"/>
                <w:sz w:val="24"/>
                <w:szCs w:val="24"/>
                <w:lang w:eastAsia="it-IT"/>
              </w:rPr>
              <w:t xml:space="preserve">d) per il capitolo 924 - </w:t>
            </w:r>
            <w:r w:rsidRPr="00F56356">
              <w:rPr>
                <w:rFonts w:ascii="Times New Roman" w:hAnsi="Times New Roman"/>
                <w:i/>
                <w:color w:val="000000" w:themeColor="text1"/>
                <w:sz w:val="24"/>
                <w:szCs w:val="24"/>
                <w:lang w:eastAsia="it-IT"/>
              </w:rPr>
              <w:t xml:space="preserve">Supporto tecnico-operativo e alle attività connesse alla definizione, attuazione e valutazione degli interventi per le aree del terremoto del 2009 e 2016 del Fondo Complementare al PNRR, </w:t>
            </w:r>
            <w:r w:rsidRPr="00F56356">
              <w:rPr>
                <w:rFonts w:ascii="Times New Roman" w:hAnsi="Times New Roman"/>
                <w:color w:val="000000" w:themeColor="text1"/>
                <w:sz w:val="24"/>
                <w:szCs w:val="24"/>
                <w:lang w:eastAsia="it-IT"/>
              </w:rPr>
              <w:t>dal fatto che non è pervenuta la richiesta di trasferimento delle risorse da parte del Commissario straordinario</w:t>
            </w:r>
            <w:bookmarkStart w:id="38" w:name="_Hlk133486698"/>
            <w:r w:rsidRPr="00F56356">
              <w:rPr>
                <w:rFonts w:ascii="Times New Roman" w:hAnsi="Times New Roman"/>
                <w:color w:val="000000" w:themeColor="text1"/>
                <w:sz w:val="24"/>
                <w:szCs w:val="24"/>
                <w:lang w:eastAsia="it-IT"/>
              </w:rPr>
              <w:t>.</w:t>
            </w:r>
          </w:p>
          <w:bookmarkEnd w:id="38"/>
          <w:p w14:paraId="13716D84" w14:textId="77777777" w:rsidR="00F56356" w:rsidRPr="00F56356" w:rsidRDefault="00F56356" w:rsidP="00F56356">
            <w:pPr>
              <w:autoSpaceDE w:val="0"/>
              <w:autoSpaceDN w:val="0"/>
              <w:adjustRightInd w:val="0"/>
              <w:spacing w:after="0" w:line="360" w:lineRule="auto"/>
              <w:jc w:val="both"/>
              <w:rPr>
                <w:rFonts w:ascii="Times New Roman" w:hAnsi="Times New Roman"/>
                <w:color w:val="000000" w:themeColor="text1"/>
                <w:sz w:val="24"/>
                <w:szCs w:val="24"/>
              </w:rPr>
            </w:pPr>
          </w:p>
          <w:p w14:paraId="018322D2"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Si evidenzia, inoltre, che:</w:t>
            </w:r>
          </w:p>
          <w:p w14:paraId="1EDB78CE"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 xml:space="preserve">a) per il capitolo 218 – </w:t>
            </w:r>
            <w:r w:rsidRPr="00F56356">
              <w:rPr>
                <w:rFonts w:ascii="Times New Roman" w:hAnsi="Times New Roman"/>
                <w:i/>
                <w:color w:val="000000" w:themeColor="text1"/>
                <w:sz w:val="24"/>
                <w:szCs w:val="24"/>
              </w:rPr>
              <w:t>Spese di rilevazione, analisi statistiche, monitoraggio,</w:t>
            </w:r>
            <w:r w:rsidRPr="00F56356">
              <w:rPr>
                <w:rFonts w:ascii="Times New Roman" w:hAnsi="Times New Roman"/>
                <w:color w:val="000000" w:themeColor="text1"/>
                <w:sz w:val="24"/>
                <w:szCs w:val="24"/>
              </w:rPr>
              <w:t xml:space="preserve"> non sono state impegnate le risorse in quanto l’iniziativa progettata per un’attività di ricerca di tipo controfattuale sui costi della ricostruzione post-emergenza non ha trovato compimento, atteso che non sono stati individuati interlocutori specializzati in materia;</w:t>
            </w:r>
          </w:p>
          <w:p w14:paraId="64B6383F" w14:textId="77777777" w:rsidR="00F56356" w:rsidRPr="00F56356" w:rsidRDefault="00F56356" w:rsidP="00F56356">
            <w:pPr>
              <w:autoSpaceDE w:val="0"/>
              <w:autoSpaceDN w:val="0"/>
              <w:adjustRightInd w:val="0"/>
              <w:spacing w:after="0" w:line="360" w:lineRule="auto"/>
              <w:ind w:left="284"/>
              <w:jc w:val="both"/>
              <w:rPr>
                <w:rFonts w:ascii="Times New Roman" w:hAnsi="Times New Roman"/>
                <w:color w:val="000000" w:themeColor="text1"/>
                <w:sz w:val="24"/>
                <w:szCs w:val="24"/>
              </w:rPr>
            </w:pPr>
            <w:r w:rsidRPr="00F56356">
              <w:rPr>
                <w:rFonts w:ascii="Times New Roman" w:hAnsi="Times New Roman"/>
                <w:color w:val="000000" w:themeColor="text1"/>
                <w:sz w:val="24"/>
                <w:szCs w:val="24"/>
              </w:rPr>
              <w:t xml:space="preserve">b) per il capitolo 925 - </w:t>
            </w:r>
            <w:r w:rsidRPr="00F56356">
              <w:rPr>
                <w:rFonts w:ascii="Times New Roman" w:hAnsi="Times New Roman"/>
                <w:i/>
                <w:color w:val="000000" w:themeColor="text1"/>
                <w:sz w:val="24"/>
                <w:szCs w:val="24"/>
              </w:rPr>
              <w:t>Somme destinate alla progettazione degli interventi finalizzati alla rimessa in efficienza delle opere idrauliche e di recupero e miglioramento della funzionalità idraulica dei reticoli idrografici,</w:t>
            </w:r>
            <w:r w:rsidRPr="00F56356">
              <w:rPr>
                <w:rFonts w:ascii="Times New Roman" w:hAnsi="Times New Roman"/>
                <w:color w:val="000000" w:themeColor="text1"/>
                <w:sz w:val="24"/>
                <w:szCs w:val="24"/>
              </w:rPr>
              <w:t xml:space="preserve"> le risorse non sono state impegnate in quanto l’iter procedimentale non si è </w:t>
            </w:r>
            <w:r w:rsidRPr="00F56356">
              <w:rPr>
                <w:rFonts w:ascii="Times New Roman" w:hAnsi="Times New Roman"/>
                <w:color w:val="000000" w:themeColor="text1"/>
                <w:sz w:val="24"/>
                <w:szCs w:val="24"/>
              </w:rPr>
              <w:lastRenderedPageBreak/>
              <w:t>concluso entro il 31 dicembre 2022. Il Dipartimento ha predisposto uno schema di regolamento recante la disciplina di funzionamento del Fondo, istituito dall’articolo 1, comma 416, della legge 30 dicembre 2021, n. 234, da destinare al finanziamento della progettazione di interventi di rimessa in efficienza delle opere idrauliche e di recupero e miglioramento della funzionalità idraulica dei reticoli idrografici, sul quale è stata acquisita in data 6 luglio 2022 l’intesa della Conferenza unificata, nonché i concerti del Ministero dell’economia e delle finanze e del Ministero per la transizione ecologica. Tale schema di regolamento è stato successivamente sottoposto all’esame del Consiglio di Stato per il previsto parere, in fase di recepimento.</w:t>
            </w:r>
          </w:p>
          <w:p w14:paraId="3D98C42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r>
      <w:tr w:rsidR="00F56356" w:rsidRPr="00F56356" w14:paraId="6A0E66D2" w14:textId="77777777" w:rsidTr="00F56356">
        <w:trPr>
          <w:trHeight w:val="266"/>
        </w:trPr>
        <w:tc>
          <w:tcPr>
            <w:tcW w:w="9638" w:type="dxa"/>
            <w:tcBorders>
              <w:top w:val="nil"/>
              <w:left w:val="nil"/>
              <w:bottom w:val="nil"/>
              <w:right w:val="nil"/>
            </w:tcBorders>
            <w:shd w:val="clear" w:color="auto" w:fill="auto"/>
            <w:noWrap/>
            <w:vAlign w:val="center"/>
            <w:hideMark/>
          </w:tcPr>
          <w:p w14:paraId="4363E32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r>
      <w:tr w:rsidR="00F56356" w:rsidRPr="00F56356" w14:paraId="12A2793F" w14:textId="77777777" w:rsidTr="00F56356">
        <w:trPr>
          <w:trHeight w:val="1980"/>
        </w:trPr>
        <w:tc>
          <w:tcPr>
            <w:tcW w:w="9638" w:type="dxa"/>
            <w:tcBorders>
              <w:top w:val="nil"/>
              <w:left w:val="nil"/>
              <w:bottom w:val="nil"/>
              <w:right w:val="nil"/>
            </w:tcBorders>
            <w:shd w:val="clear" w:color="auto" w:fill="auto"/>
            <w:noWrap/>
            <w:vAlign w:val="center"/>
            <w:hideMark/>
          </w:tcPr>
          <w:p w14:paraId="458B78B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r>
      <w:tr w:rsidR="00F56356" w:rsidRPr="00F56356" w14:paraId="71662D43" w14:textId="77777777" w:rsidTr="00F56356">
        <w:trPr>
          <w:trHeight w:val="411"/>
        </w:trPr>
        <w:tc>
          <w:tcPr>
            <w:tcW w:w="9638" w:type="dxa"/>
            <w:tcBorders>
              <w:top w:val="nil"/>
              <w:left w:val="nil"/>
              <w:bottom w:val="nil"/>
              <w:right w:val="nil"/>
            </w:tcBorders>
            <w:shd w:val="clear" w:color="auto" w:fill="auto"/>
            <w:noWrap/>
            <w:vAlign w:val="bottom"/>
            <w:hideMark/>
          </w:tcPr>
          <w:p w14:paraId="7E120FE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15F9A6C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257F01A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146FE8D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24456E2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169ECDE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654D7ED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6908D8B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136F156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27944B3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7F152A3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6A010ED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45A2409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p w14:paraId="7C93CFF1"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4D9D4583"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2580A143"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52B745AE"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5BF902D8"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7AEF021D"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3E311715"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7C4F66E7"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0D2BA9CD"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1BD01423" w14:textId="18A133F2"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7B528B59" w14:textId="28B8DDA1"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571B2C8C" w14:textId="4888E681"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46FFAF11" w14:textId="59EBEE99"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4B2D521A" w14:textId="24B38637"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1630AC7F" w14:textId="645646AC"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5CE219B6" w14:textId="6901442A" w:rsidR="00B162D3"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70A0F26C" w14:textId="77777777" w:rsidR="00B162D3" w:rsidRPr="00F56356" w:rsidRDefault="00B162D3"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21CF19EC"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21223892"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38E0F79B"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2987C27D"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583CEC55"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328877FF"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3 “Rapporti con il Parlamento”</w:t>
            </w:r>
          </w:p>
          <w:p w14:paraId="387048DB" w14:textId="77777777" w:rsidR="00F56356" w:rsidRPr="00F56356" w:rsidRDefault="00F56356" w:rsidP="00F56356">
            <w:pPr>
              <w:tabs>
                <w:tab w:val="left" w:pos="567"/>
              </w:tabs>
              <w:spacing w:after="0" w:line="240" w:lineRule="auto"/>
              <w:ind w:left="284"/>
              <w:rPr>
                <w:rFonts w:ascii="Times New Roman" w:eastAsia="Times New Roman" w:hAnsi="Times New Roman" w:cs="Times New Roman"/>
                <w:b/>
                <w:sz w:val="24"/>
                <w:szCs w:val="24"/>
                <w:lang w:eastAsia="it-IT"/>
              </w:rPr>
            </w:pPr>
          </w:p>
          <w:p w14:paraId="46A7BD85" w14:textId="77777777" w:rsidR="00F56356" w:rsidRPr="00F56356" w:rsidRDefault="00F56356" w:rsidP="00F56356">
            <w:pPr>
              <w:tabs>
                <w:tab w:val="left" w:pos="0"/>
              </w:tabs>
              <w:spacing w:after="0" w:line="240" w:lineRule="auto"/>
              <w:ind w:left="284"/>
              <w:rPr>
                <w:rFonts w:ascii="Times New Roman" w:eastAsia="Times New Roman" w:hAnsi="Times New Roman" w:cs="Times New Roman"/>
                <w:b/>
                <w:sz w:val="28"/>
                <w:szCs w:val="28"/>
                <w:lang w:eastAsia="it-IT"/>
              </w:rPr>
            </w:pPr>
          </w:p>
          <w:p w14:paraId="2C1E677E"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1 - </w:t>
            </w:r>
            <w:r w:rsidRPr="00F56356">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25750DE3"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18"/>
                <w:szCs w:val="16"/>
                <w:lang w:eastAsia="it-IT"/>
              </w:rPr>
            </w:pPr>
          </w:p>
          <w:p w14:paraId="16A29163"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1.3 - </w:t>
            </w:r>
            <w:r w:rsidRPr="00F56356">
              <w:rPr>
                <w:rFonts w:ascii="Times New Roman" w:eastAsia="Times New Roman" w:hAnsi="Times New Roman" w:cs="Times New Roman"/>
                <w:color w:val="000000"/>
                <w:sz w:val="24"/>
                <w:szCs w:val="24"/>
                <w:lang w:eastAsia="it-IT"/>
              </w:rPr>
              <w:t xml:space="preserve">Presidenza del Consiglio dei ministri </w:t>
            </w:r>
          </w:p>
          <w:p w14:paraId="75B04739" w14:textId="77777777" w:rsidR="00F56356" w:rsidRPr="00F56356" w:rsidRDefault="00F56356" w:rsidP="00F56356">
            <w:pPr>
              <w:tabs>
                <w:tab w:val="left" w:pos="0"/>
              </w:tabs>
              <w:spacing w:after="0" w:line="240" w:lineRule="auto"/>
              <w:ind w:left="284"/>
              <w:jc w:val="both"/>
              <w:rPr>
                <w:rFonts w:ascii="Times New Roman" w:eastAsia="Times New Roman" w:hAnsi="Times New Roman" w:cs="Times New Roman"/>
                <w:sz w:val="24"/>
                <w:szCs w:val="24"/>
                <w:lang w:eastAsia="it-IT"/>
              </w:rPr>
            </w:pPr>
          </w:p>
          <w:p w14:paraId="06A941C2" w14:textId="77777777" w:rsidR="00F56356" w:rsidRPr="00F56356" w:rsidRDefault="00F56356" w:rsidP="00F56356">
            <w:pPr>
              <w:tabs>
                <w:tab w:val="left" w:pos="0"/>
              </w:tabs>
              <w:spacing w:after="0" w:line="240" w:lineRule="auto"/>
              <w:ind w:left="284"/>
              <w:jc w:val="both"/>
              <w:rPr>
                <w:rFonts w:ascii="Times New Roman" w:eastAsia="Times New Roman" w:hAnsi="Times New Roman" w:cs="Times New Roman"/>
                <w:sz w:val="24"/>
                <w:szCs w:val="24"/>
                <w:lang w:eastAsia="it-IT"/>
              </w:rPr>
            </w:pPr>
          </w:p>
          <w:p w14:paraId="264C6042" w14:textId="77777777" w:rsidR="00F56356" w:rsidRPr="00F56356" w:rsidRDefault="00F56356" w:rsidP="00F56356">
            <w:pPr>
              <w:numPr>
                <w:ilvl w:val="0"/>
                <w:numId w:val="29"/>
              </w:numPr>
              <w:spacing w:after="0" w:line="240" w:lineRule="auto"/>
              <w:contextualSpacing/>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i/>
                <w:sz w:val="24"/>
                <w:szCs w:val="24"/>
                <w:lang w:eastAsia="it-IT"/>
              </w:rPr>
              <w:t>Mission</w:t>
            </w:r>
          </w:p>
          <w:p w14:paraId="5B1580F8" w14:textId="77777777" w:rsidR="00F56356" w:rsidRPr="00F56356" w:rsidRDefault="00F56356" w:rsidP="00F56356">
            <w:pPr>
              <w:spacing w:after="0" w:line="240" w:lineRule="auto"/>
              <w:ind w:left="284"/>
              <w:jc w:val="both"/>
              <w:rPr>
                <w:rFonts w:ascii="Times New Roman" w:eastAsia="Times New Roman" w:hAnsi="Times New Roman" w:cs="Times New Roman"/>
                <w:i/>
                <w:sz w:val="12"/>
                <w:szCs w:val="24"/>
                <w:lang w:eastAsia="it-IT"/>
              </w:rPr>
            </w:pPr>
          </w:p>
          <w:p w14:paraId="63017E6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Il Centro di responsabilità 3 “Rapporti con il Parlamento” è la struttura di supporto al Presidente che opera nell’area funzionale dei rapporti del Governo con le Camere. In particolare, cura gli adempimenti riguardanti l’informazione sull’andamento dei lavori parlamentari; l’azione di coordinamento circa la presenza in Parlamento dei rappresentanti del Governo; la partecipazione del Governo alla programmazione dei lavori parlamentari; la presentazione alle Camere dei disegni di legge; la presentazione di emendamenti governativi; l’espressione unitaria del parere del Governo sugli emendamenti parlamentari, nonché sui progetti di legge e sulla relativa assegnazione o trasferimento alla sede legislativa o redigente; le relazioni del Presidente o del Ministro per i rapporti con il Parlamento, ove nominato, con i suoi omologhi degli Stati membri dell’Unione europea, i rapporti con i gruppi parlamentari e gli altri organi delle Camere; gli atti di sindacato ispettivo parlamentare; l’istruttoria circa gli atti di sindacato ispettivo rivolti al Presidente o al Governo nel suo complesso; l’espressione unitaria della posizione del Governo, ove occorra, nella discussione di mozioni e risoluzioni; la verifica degli impegni assunti dal Governo in Parlamento; la trasmissione alle Camere di relazioni, dati, schemi di atti normativi e proposte di nomine governative ai fini del parere parlamentare.</w:t>
            </w:r>
          </w:p>
          <w:p w14:paraId="4B5A8311"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bookmarkStart w:id="39" w:name="_Hlk101519696"/>
          </w:p>
          <w:bookmarkEnd w:id="39"/>
          <w:p w14:paraId="6A62FA9D" w14:textId="77777777" w:rsidR="00F56356" w:rsidRPr="00F56356" w:rsidRDefault="00F56356" w:rsidP="00F56356">
            <w:pPr>
              <w:spacing w:after="0" w:line="360" w:lineRule="auto"/>
              <w:ind w:left="284"/>
              <w:jc w:val="both"/>
              <w:rPr>
                <w:rFonts w:ascii="Times New Roman" w:eastAsia="Times New Roman" w:hAnsi="Times New Roman" w:cs="Times New Roman"/>
                <w:i/>
                <w:sz w:val="2"/>
                <w:szCs w:val="24"/>
                <w:lang w:eastAsia="it-IT"/>
              </w:rPr>
            </w:pPr>
          </w:p>
          <w:p w14:paraId="72355843"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0387EC84"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risorse complessivamente assegnate sono state pari a euro 10.910,00. Gli impegni assunti ammontano a euro 798,63, con una economia di bilancio di euro 10.111,37. Il totale dei pagamenti riferiti alla competenza è stato pari a euro 798,63, con un indice di capacità di pagamento (rapporto pagato/impegnato) che si attesta al 100 </w:t>
            </w:r>
            <w:r w:rsidRPr="00F56356">
              <w:rPr>
                <w:rFonts w:ascii="Times New Roman" w:eastAsia="Times New Roman" w:hAnsi="Times New Roman" w:cs="Times New Roman"/>
                <w:color w:val="000000" w:themeColor="text1"/>
                <w:sz w:val="24"/>
                <w:szCs w:val="24"/>
                <w:lang w:eastAsia="it-IT"/>
              </w:rPr>
              <w:t xml:space="preserve">per </w:t>
            </w:r>
            <w:r w:rsidRPr="00F56356">
              <w:rPr>
                <w:rFonts w:ascii="Times New Roman" w:eastAsia="Times New Roman" w:hAnsi="Times New Roman" w:cs="Times New Roman"/>
                <w:sz w:val="24"/>
                <w:szCs w:val="24"/>
                <w:lang w:eastAsia="it-IT"/>
              </w:rPr>
              <w:t xml:space="preserve">cento. </w:t>
            </w:r>
          </w:p>
          <w:p w14:paraId="10894645"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p>
          <w:p w14:paraId="7D596F06"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6B052E97"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p>
          <w:p w14:paraId="40D948F9"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p>
          <w:p w14:paraId="6AD14482"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p>
          <w:p w14:paraId="793E1713"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2BF8DCE8" wp14:editId="053F755E">
                  <wp:extent cx="3700018" cy="623835"/>
                  <wp:effectExtent l="0" t="0" r="0" b="508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98700" cy="640473"/>
                          </a:xfrm>
                          <a:prstGeom prst="rect">
                            <a:avLst/>
                          </a:prstGeom>
                          <a:noFill/>
                          <a:ln>
                            <a:noFill/>
                          </a:ln>
                        </pic:spPr>
                      </pic:pic>
                    </a:graphicData>
                  </a:graphic>
                </wp:inline>
              </w:drawing>
            </w:r>
          </w:p>
          <w:p w14:paraId="5E082AD0"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color w:val="FF0000"/>
                <w:sz w:val="24"/>
                <w:szCs w:val="24"/>
                <w:lang w:eastAsia="it-IT"/>
              </w:rPr>
              <w:drawing>
                <wp:inline distT="0" distB="0" distL="0" distR="0" wp14:anchorId="6E865CC1" wp14:editId="33A14E80">
                  <wp:extent cx="3741420" cy="1765488"/>
                  <wp:effectExtent l="0" t="0" r="0" b="635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0923" cy="1774691"/>
                          </a:xfrm>
                          <a:prstGeom prst="rect">
                            <a:avLst/>
                          </a:prstGeom>
                          <a:noFill/>
                        </pic:spPr>
                      </pic:pic>
                    </a:graphicData>
                  </a:graphic>
                </wp:inline>
              </w:drawing>
            </w:r>
          </w:p>
          <w:p w14:paraId="7A5F5197"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p>
          <w:p w14:paraId="35C9FA81" w14:textId="77777777" w:rsidR="00F56356" w:rsidRPr="00F56356" w:rsidRDefault="00F56356" w:rsidP="00F56356">
            <w:pPr>
              <w:spacing w:after="0" w:line="360" w:lineRule="auto"/>
              <w:jc w:val="both"/>
              <w:rPr>
                <w:rFonts w:ascii="Times New Roman" w:eastAsia="Times New Roman" w:hAnsi="Times New Roman" w:cs="Times New Roman"/>
                <w:sz w:val="24"/>
                <w:szCs w:val="24"/>
                <w:lang w:eastAsia="it-IT"/>
              </w:rPr>
            </w:pPr>
          </w:p>
          <w:p w14:paraId="209BE90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 xml:space="preserve">I residui passivi al 1° gennaio 2022 erano pari </w:t>
            </w:r>
            <w:r w:rsidRPr="00F56356">
              <w:rPr>
                <w:rFonts w:ascii="Times New Roman" w:eastAsia="Times New Roman" w:hAnsi="Times New Roman" w:cs="Times New Roman"/>
                <w:color w:val="000000" w:themeColor="text1"/>
                <w:sz w:val="24"/>
                <w:szCs w:val="24"/>
                <w:lang w:eastAsia="it-IT"/>
              </w:rPr>
              <w:t>a euro 4,30.</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4,00.</w:t>
            </w:r>
          </w:p>
          <w:p w14:paraId="184773EF"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083748C2" w14:textId="77777777" w:rsidR="00F56356" w:rsidRPr="00F56356" w:rsidRDefault="00F56356" w:rsidP="00F56356">
            <w:pPr>
              <w:spacing w:after="0" w:line="360" w:lineRule="auto"/>
              <w:jc w:val="center"/>
              <w:rPr>
                <w:rFonts w:ascii="Times New Roman" w:eastAsia="BatangChe"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BatangChe" w:hAnsi="Times New Roman" w:cs="Times New Roman"/>
                <w:color w:val="000000" w:themeColor="text1"/>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506"/>
              <w:gridCol w:w="1574"/>
              <w:gridCol w:w="1440"/>
              <w:gridCol w:w="996"/>
              <w:gridCol w:w="1219"/>
              <w:gridCol w:w="1152"/>
            </w:tblGrid>
            <w:tr w:rsidR="00F56356" w:rsidRPr="00F56356" w14:paraId="25EF750D"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EDF0B" w14:textId="77777777" w:rsidR="00F56356" w:rsidRPr="00F56356" w:rsidRDefault="00F56356" w:rsidP="00F56356">
                  <w:pPr>
                    <w:spacing w:after="0" w:line="240" w:lineRule="auto"/>
                    <w:jc w:val="center"/>
                    <w:rPr>
                      <w:rFonts w:ascii="Times New Roman" w:eastAsia="Times New Roman" w:hAnsi="Times New Roman" w:cs="Calibri"/>
                      <w:b/>
                      <w:bCs/>
                      <w:color w:val="000000"/>
                      <w:sz w:val="20"/>
                      <w:szCs w:val="20"/>
                      <w:lang w:eastAsia="it-IT"/>
                    </w:rPr>
                  </w:pPr>
                  <w:r w:rsidRPr="00F56356">
                    <w:rPr>
                      <w:rFonts w:ascii="Times New Roman" w:eastAsia="Times New Roman" w:hAnsi="Times New Roman" w:cs="Calibri"/>
                      <w:b/>
                      <w:bCs/>
                      <w:color w:val="000000"/>
                      <w:sz w:val="20"/>
                      <w:szCs w:val="20"/>
                      <w:lang w:eastAsia="it-IT"/>
                    </w:rPr>
                    <w:t>SPESE DI FUNZIONAMENTO</w:t>
                  </w:r>
                </w:p>
              </w:tc>
            </w:tr>
            <w:tr w:rsidR="00F56356" w:rsidRPr="00F56356" w14:paraId="086A701A"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A3535" w14:textId="77777777" w:rsidR="00F56356" w:rsidRPr="00F56356" w:rsidRDefault="00F56356" w:rsidP="00F56356">
                  <w:pPr>
                    <w:spacing w:after="0" w:line="240" w:lineRule="auto"/>
                    <w:jc w:val="center"/>
                    <w:rPr>
                      <w:rFonts w:ascii="Times New Roman" w:eastAsia="Times New Roman" w:hAnsi="Times New Roman" w:cs="Calibri"/>
                      <w:b/>
                      <w:bCs/>
                      <w:color w:val="000000"/>
                      <w:sz w:val="18"/>
                      <w:szCs w:val="18"/>
                      <w:lang w:eastAsia="it-IT"/>
                    </w:rPr>
                  </w:pPr>
                  <w:r w:rsidRPr="00F56356">
                    <w:rPr>
                      <w:rFonts w:ascii="Times New Roman" w:eastAsia="Times New Roman" w:hAnsi="Times New Roman"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7B882903" w14:textId="77777777" w:rsidR="00F56356" w:rsidRPr="00F56356" w:rsidRDefault="00F56356" w:rsidP="00F56356">
                  <w:pPr>
                    <w:spacing w:after="0" w:line="240" w:lineRule="auto"/>
                    <w:jc w:val="center"/>
                    <w:rPr>
                      <w:rFonts w:ascii="Times New Roman" w:eastAsia="Times New Roman" w:hAnsi="Times New Roman" w:cs="Calibri"/>
                      <w:b/>
                      <w:bCs/>
                      <w:i/>
                      <w:iCs/>
                      <w:color w:val="000000"/>
                      <w:sz w:val="16"/>
                      <w:szCs w:val="16"/>
                      <w:lang w:eastAsia="it-IT"/>
                    </w:rPr>
                  </w:pPr>
                  <w:r w:rsidRPr="00F56356">
                    <w:rPr>
                      <w:rFonts w:ascii="Times New Roman" w:eastAsia="Times New Roman" w:hAnsi="Times New Roman"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319A548C" w14:textId="77777777" w:rsidR="00F56356" w:rsidRPr="00F56356" w:rsidRDefault="00F56356" w:rsidP="00F56356">
                  <w:pPr>
                    <w:spacing w:after="0" w:line="240" w:lineRule="auto"/>
                    <w:jc w:val="center"/>
                    <w:rPr>
                      <w:rFonts w:ascii="Times New Roman" w:eastAsia="Times New Roman" w:hAnsi="Times New Roman" w:cs="Calibri"/>
                      <w:b/>
                      <w:bCs/>
                      <w:i/>
                      <w:iCs/>
                      <w:color w:val="000000"/>
                      <w:sz w:val="16"/>
                      <w:szCs w:val="16"/>
                      <w:lang w:eastAsia="it-IT"/>
                    </w:rPr>
                  </w:pPr>
                  <w:r w:rsidRPr="00F56356">
                    <w:rPr>
                      <w:rFonts w:ascii="Times New Roman" w:eastAsia="Times New Roman" w:hAnsi="Times New Roman"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08AA4D76" w14:textId="77777777" w:rsidR="00F56356" w:rsidRPr="00F56356" w:rsidRDefault="00F56356" w:rsidP="00F56356">
                  <w:pPr>
                    <w:spacing w:after="0" w:line="240" w:lineRule="auto"/>
                    <w:jc w:val="center"/>
                    <w:rPr>
                      <w:rFonts w:ascii="Times New Roman" w:eastAsia="Times New Roman" w:hAnsi="Times New Roman" w:cs="Calibri"/>
                      <w:color w:val="000000"/>
                      <w:sz w:val="16"/>
                      <w:szCs w:val="16"/>
                      <w:lang w:eastAsia="it-IT"/>
                    </w:rPr>
                  </w:pPr>
                  <w:r w:rsidRPr="00F56356">
                    <w:rPr>
                      <w:rFonts w:ascii="Times New Roman" w:eastAsia="Times New Roman" w:hAnsi="Times New Roman" w:cs="Calibri"/>
                      <w:b/>
                      <w:bCs/>
                      <w:color w:val="000000"/>
                      <w:sz w:val="16"/>
                      <w:szCs w:val="16"/>
                      <w:lang w:eastAsia="it-IT"/>
                    </w:rPr>
                    <w:t>CAPACITA’ SMALTIMENTO RESIDUI</w:t>
                  </w:r>
                  <w:r w:rsidRPr="00F56356">
                    <w:rPr>
                      <w:rFonts w:ascii="Times New Roman" w:eastAsia="Times New Roman" w:hAnsi="Times New Roman" w:cs="Calibri"/>
                      <w:color w:val="000000"/>
                      <w:sz w:val="12"/>
                      <w:szCs w:val="12"/>
                      <w:lang w:eastAsia="it-IT"/>
                    </w:rPr>
                    <w:t xml:space="preserve">                                                       </w:t>
                  </w:r>
                  <w:proofErr w:type="spellStart"/>
                  <w:r w:rsidRPr="00F56356">
                    <w:rPr>
                      <w:rFonts w:ascii="Times New Roman" w:eastAsia="Times New Roman" w:hAnsi="Times New Roman" w:cs="Calibri"/>
                      <w:color w:val="000000"/>
                      <w:sz w:val="12"/>
                      <w:szCs w:val="12"/>
                      <w:lang w:eastAsia="it-IT"/>
                    </w:rPr>
                    <w:t>residui</w:t>
                  </w:r>
                  <w:proofErr w:type="spellEnd"/>
                  <w:r w:rsidRPr="00F56356">
                    <w:rPr>
                      <w:rFonts w:ascii="Times New Roman" w:eastAsia="Times New Roman" w:hAnsi="Times New Roman" w:cs="Calibri"/>
                      <w:color w:val="000000"/>
                      <w:sz w:val="12"/>
                      <w:szCs w:val="12"/>
                      <w:lang w:eastAsia="it-IT"/>
                    </w:rPr>
                    <w:t xml:space="preserve"> </w:t>
                  </w:r>
                  <w:proofErr w:type="gramStart"/>
                  <w:r w:rsidRPr="00F56356">
                    <w:rPr>
                      <w:rFonts w:ascii="Times New Roman" w:eastAsia="Times New Roman" w:hAnsi="Times New Roman" w:cs="Calibri"/>
                      <w:color w:val="000000"/>
                      <w:sz w:val="12"/>
                      <w:szCs w:val="12"/>
                      <w:lang w:eastAsia="it-IT"/>
                    </w:rPr>
                    <w:t xml:space="preserve">accertati  </w:t>
                  </w:r>
                  <w:r w:rsidRPr="00F56356">
                    <w:rPr>
                      <w:rFonts w:ascii="Times New Roman" w:eastAsia="Times New Roman" w:hAnsi="Times New Roman" w:cs="Calibri"/>
                      <w:b/>
                      <w:bCs/>
                      <w:color w:val="000000"/>
                      <w:sz w:val="12"/>
                      <w:szCs w:val="12"/>
                      <w:lang w:eastAsia="it-IT"/>
                    </w:rPr>
                    <w:t>meno</w:t>
                  </w:r>
                  <w:proofErr w:type="gramEnd"/>
                  <w:r w:rsidRPr="00F56356">
                    <w:rPr>
                      <w:rFonts w:ascii="Times New Roman" w:eastAsia="Times New Roman" w:hAnsi="Times New Roman" w:cs="Calibri"/>
                      <w:color w:val="000000"/>
                      <w:sz w:val="12"/>
                      <w:szCs w:val="12"/>
                      <w:lang w:eastAsia="it-IT"/>
                    </w:rPr>
                    <w:t xml:space="preserve"> residui correnti </w:t>
                  </w:r>
                  <w:r w:rsidRPr="00F56356">
                    <w:rPr>
                      <w:rFonts w:ascii="Times New Roman" w:eastAsia="Times New Roman" w:hAnsi="Times New Roman" w:cs="Calibri"/>
                      <w:b/>
                      <w:bCs/>
                      <w:color w:val="000000"/>
                      <w:sz w:val="12"/>
                      <w:szCs w:val="12"/>
                      <w:lang w:eastAsia="it-IT"/>
                    </w:rPr>
                    <w:t>diviso</w:t>
                  </w:r>
                  <w:r w:rsidRPr="00F56356">
                    <w:rPr>
                      <w:rFonts w:ascii="Times New Roman" w:eastAsia="Times New Roman" w:hAnsi="Times New Roman" w:cs="Calibri"/>
                      <w:color w:val="000000"/>
                      <w:sz w:val="12"/>
                      <w:szCs w:val="12"/>
                      <w:lang w:eastAsia="it-IT"/>
                    </w:rPr>
                    <w:t xml:space="preserve"> residui accertati</w:t>
                  </w:r>
                </w:p>
              </w:tc>
            </w:tr>
            <w:tr w:rsidR="00F56356" w:rsidRPr="00F56356" w14:paraId="66119E0F"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765B4CD0" w14:textId="77777777" w:rsidR="00F56356" w:rsidRPr="00F56356" w:rsidRDefault="00F56356" w:rsidP="00F56356">
                  <w:pPr>
                    <w:spacing w:after="0" w:line="240" w:lineRule="auto"/>
                    <w:rPr>
                      <w:rFonts w:ascii="Times New Roman" w:eastAsia="Times New Roman" w:hAnsi="Times New Roman"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279ED0AF" w14:textId="77777777" w:rsidR="00F56356" w:rsidRPr="00F56356" w:rsidRDefault="00F56356" w:rsidP="00F56356">
                  <w:pPr>
                    <w:spacing w:after="0" w:line="240" w:lineRule="auto"/>
                    <w:rPr>
                      <w:rFonts w:ascii="Times New Roman" w:eastAsia="Times New Roman" w:hAnsi="Times New Roman"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12B88CA3" w14:textId="77777777" w:rsidR="00F56356" w:rsidRPr="00F56356" w:rsidRDefault="00F56356" w:rsidP="00F56356">
                  <w:pPr>
                    <w:spacing w:after="0" w:line="240" w:lineRule="auto"/>
                    <w:rPr>
                      <w:rFonts w:ascii="Times New Roman" w:eastAsia="Times New Roman" w:hAnsi="Times New Roman"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4CF8127F" w14:textId="77777777" w:rsidR="00F56356" w:rsidRPr="00F56356" w:rsidRDefault="00F56356" w:rsidP="00F56356">
                  <w:pPr>
                    <w:spacing w:after="0" w:line="240" w:lineRule="auto"/>
                    <w:jc w:val="center"/>
                    <w:rPr>
                      <w:rFonts w:ascii="Times New Roman" w:eastAsia="Times New Roman" w:hAnsi="Times New Roman" w:cs="Calibri"/>
                      <w:b/>
                      <w:bCs/>
                      <w:color w:val="000000"/>
                      <w:sz w:val="14"/>
                      <w:szCs w:val="14"/>
                      <w:lang w:eastAsia="it-IT"/>
                    </w:rPr>
                  </w:pPr>
                  <w:r w:rsidRPr="00F56356">
                    <w:rPr>
                      <w:rFonts w:ascii="Times New Roman" w:eastAsia="Times New Roman" w:hAnsi="Times New Roman"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63EA5E56" w14:textId="77777777" w:rsidR="00F56356" w:rsidRPr="00F56356" w:rsidRDefault="00F56356" w:rsidP="00F56356">
                  <w:pPr>
                    <w:spacing w:after="0" w:line="240" w:lineRule="auto"/>
                    <w:jc w:val="center"/>
                    <w:rPr>
                      <w:rFonts w:ascii="Times New Roman" w:eastAsia="Times New Roman" w:hAnsi="Times New Roman" w:cs="Calibri"/>
                      <w:b/>
                      <w:bCs/>
                      <w:color w:val="000000"/>
                      <w:sz w:val="14"/>
                      <w:szCs w:val="14"/>
                      <w:lang w:eastAsia="it-IT"/>
                    </w:rPr>
                  </w:pPr>
                  <w:r w:rsidRPr="00F56356">
                    <w:rPr>
                      <w:rFonts w:ascii="Times New Roman" w:eastAsia="Times New Roman" w:hAnsi="Times New Roman"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3131FF08" w14:textId="77777777" w:rsidR="00F56356" w:rsidRPr="00F56356" w:rsidRDefault="00F56356" w:rsidP="00F56356">
                  <w:pPr>
                    <w:spacing w:after="0" w:line="240" w:lineRule="auto"/>
                    <w:jc w:val="center"/>
                    <w:rPr>
                      <w:rFonts w:ascii="Times New Roman" w:eastAsia="Times New Roman" w:hAnsi="Times New Roman" w:cs="Calibri"/>
                      <w:b/>
                      <w:bCs/>
                      <w:color w:val="000000"/>
                      <w:sz w:val="14"/>
                      <w:szCs w:val="14"/>
                      <w:lang w:eastAsia="it-IT"/>
                    </w:rPr>
                  </w:pPr>
                  <w:r w:rsidRPr="00F56356">
                    <w:rPr>
                      <w:rFonts w:ascii="Times New Roman" w:eastAsia="Times New Roman" w:hAnsi="Times New Roman" w:cs="Calibri"/>
                      <w:b/>
                      <w:bCs/>
                      <w:color w:val="000000"/>
                      <w:sz w:val="14"/>
                      <w:szCs w:val="14"/>
                      <w:lang w:eastAsia="it-IT"/>
                    </w:rPr>
                    <w:t>scost.to (%)</w:t>
                  </w:r>
                </w:p>
              </w:tc>
            </w:tr>
            <w:tr w:rsidR="00F56356" w:rsidRPr="00F56356" w14:paraId="72AC1F38"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4CE9A294" w14:textId="77777777" w:rsidR="00F56356" w:rsidRPr="00F56356" w:rsidRDefault="00F56356" w:rsidP="00F56356">
                  <w:pPr>
                    <w:spacing w:after="0" w:line="240" w:lineRule="auto"/>
                    <w:jc w:val="center"/>
                    <w:rPr>
                      <w:rFonts w:ascii="Times New Roman" w:eastAsia="Times New Roman" w:hAnsi="Times New Roman" w:cs="Calibri"/>
                      <w:sz w:val="18"/>
                      <w:szCs w:val="18"/>
                      <w:lang w:eastAsia="it-IT"/>
                    </w:rPr>
                  </w:pPr>
                  <w:r w:rsidRPr="00F56356">
                    <w:rPr>
                      <w:rFonts w:ascii="Times New Roman" w:eastAsia="Times New Roman" w:hAnsi="Times New Roman" w:cs="Calibri"/>
                      <w:sz w:val="18"/>
                      <w:szCs w:val="18"/>
                      <w:lang w:eastAsia="it-IT"/>
                    </w:rPr>
                    <w:t>272</w:t>
                  </w:r>
                </w:p>
              </w:tc>
              <w:tc>
                <w:tcPr>
                  <w:tcW w:w="1574" w:type="dxa"/>
                  <w:tcBorders>
                    <w:top w:val="nil"/>
                    <w:left w:val="nil"/>
                    <w:bottom w:val="single" w:sz="4" w:space="0" w:color="auto"/>
                    <w:right w:val="single" w:sz="4" w:space="0" w:color="auto"/>
                  </w:tcBorders>
                  <w:shd w:val="clear" w:color="auto" w:fill="auto"/>
                  <w:noWrap/>
                  <w:vAlign w:val="center"/>
                  <w:hideMark/>
                </w:tcPr>
                <w:p w14:paraId="3A0EEEA5" w14:textId="77777777" w:rsidR="00F56356" w:rsidRPr="00F56356" w:rsidRDefault="00F56356" w:rsidP="00F56356">
                  <w:pPr>
                    <w:spacing w:after="0" w:line="240" w:lineRule="auto"/>
                    <w:jc w:val="right"/>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4,30</w:t>
                  </w:r>
                </w:p>
              </w:tc>
              <w:tc>
                <w:tcPr>
                  <w:tcW w:w="1440" w:type="dxa"/>
                  <w:tcBorders>
                    <w:top w:val="nil"/>
                    <w:left w:val="nil"/>
                    <w:bottom w:val="single" w:sz="4" w:space="0" w:color="auto"/>
                    <w:right w:val="single" w:sz="4" w:space="0" w:color="auto"/>
                  </w:tcBorders>
                  <w:shd w:val="clear" w:color="auto" w:fill="auto"/>
                  <w:noWrap/>
                  <w:vAlign w:val="center"/>
                  <w:hideMark/>
                </w:tcPr>
                <w:p w14:paraId="69E5F27A" w14:textId="77777777" w:rsidR="00F56356" w:rsidRPr="00F56356" w:rsidRDefault="00F56356" w:rsidP="00F56356">
                  <w:pPr>
                    <w:spacing w:after="0" w:line="240" w:lineRule="auto"/>
                    <w:jc w:val="right"/>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0,30</w:t>
                  </w:r>
                </w:p>
              </w:tc>
              <w:tc>
                <w:tcPr>
                  <w:tcW w:w="996" w:type="dxa"/>
                  <w:tcBorders>
                    <w:top w:val="nil"/>
                    <w:left w:val="nil"/>
                    <w:bottom w:val="single" w:sz="4" w:space="0" w:color="auto"/>
                    <w:right w:val="single" w:sz="4" w:space="0" w:color="auto"/>
                  </w:tcBorders>
                  <w:shd w:val="clear" w:color="auto" w:fill="auto"/>
                  <w:noWrap/>
                  <w:vAlign w:val="center"/>
                  <w:hideMark/>
                </w:tcPr>
                <w:p w14:paraId="3594178D" w14:textId="77777777" w:rsidR="00F56356" w:rsidRPr="00F56356" w:rsidRDefault="00F56356" w:rsidP="00F56356">
                  <w:pPr>
                    <w:spacing w:after="0" w:line="240" w:lineRule="auto"/>
                    <w:jc w:val="center"/>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100</w:t>
                  </w:r>
                </w:p>
              </w:tc>
              <w:tc>
                <w:tcPr>
                  <w:tcW w:w="1219" w:type="dxa"/>
                  <w:tcBorders>
                    <w:top w:val="nil"/>
                    <w:left w:val="nil"/>
                    <w:bottom w:val="single" w:sz="4" w:space="0" w:color="auto"/>
                    <w:right w:val="single" w:sz="4" w:space="0" w:color="auto"/>
                  </w:tcBorders>
                  <w:shd w:val="clear" w:color="auto" w:fill="auto"/>
                  <w:noWrap/>
                  <w:vAlign w:val="center"/>
                  <w:hideMark/>
                </w:tcPr>
                <w:p w14:paraId="0D583EEA" w14:textId="77777777" w:rsidR="00F56356" w:rsidRPr="00F56356" w:rsidRDefault="00F56356" w:rsidP="00F56356">
                  <w:pPr>
                    <w:spacing w:after="0" w:line="240" w:lineRule="auto"/>
                    <w:jc w:val="center"/>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93,02</w:t>
                  </w:r>
                </w:p>
              </w:tc>
              <w:tc>
                <w:tcPr>
                  <w:tcW w:w="1152" w:type="dxa"/>
                  <w:tcBorders>
                    <w:top w:val="nil"/>
                    <w:left w:val="nil"/>
                    <w:bottom w:val="single" w:sz="4" w:space="0" w:color="auto"/>
                    <w:right w:val="single" w:sz="4" w:space="0" w:color="auto"/>
                  </w:tcBorders>
                  <w:shd w:val="clear" w:color="auto" w:fill="auto"/>
                  <w:noWrap/>
                  <w:vAlign w:val="center"/>
                  <w:hideMark/>
                </w:tcPr>
                <w:p w14:paraId="0D723D73" w14:textId="77777777" w:rsidR="00F56356" w:rsidRPr="00F56356" w:rsidRDefault="00F56356" w:rsidP="00F56356">
                  <w:pPr>
                    <w:spacing w:after="0" w:line="240" w:lineRule="auto"/>
                    <w:jc w:val="center"/>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-6,98</w:t>
                  </w:r>
                </w:p>
              </w:tc>
            </w:tr>
            <w:tr w:rsidR="00F56356" w:rsidRPr="00F56356" w14:paraId="74224E7D"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50369B42" w14:textId="77777777" w:rsidR="00F56356" w:rsidRPr="00F56356" w:rsidRDefault="00F56356" w:rsidP="00F56356">
                  <w:pPr>
                    <w:spacing w:after="0" w:line="240" w:lineRule="auto"/>
                    <w:jc w:val="center"/>
                    <w:rPr>
                      <w:rFonts w:ascii="Times New Roman" w:eastAsia="Times New Roman" w:hAnsi="Times New Roman" w:cs="Calibri"/>
                      <w:b/>
                      <w:bCs/>
                      <w:color w:val="000000"/>
                      <w:sz w:val="18"/>
                      <w:szCs w:val="18"/>
                      <w:lang w:eastAsia="it-IT"/>
                    </w:rPr>
                  </w:pPr>
                  <w:r w:rsidRPr="00F56356">
                    <w:rPr>
                      <w:rFonts w:ascii="Times New Roman" w:eastAsia="Times New Roman" w:hAnsi="Times New Roman"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59EF0CD0" w14:textId="77777777" w:rsidR="00F56356" w:rsidRPr="00F56356" w:rsidRDefault="00F56356" w:rsidP="00F56356">
                  <w:pPr>
                    <w:spacing w:after="0" w:line="240" w:lineRule="auto"/>
                    <w:jc w:val="right"/>
                    <w:rPr>
                      <w:rFonts w:ascii="Times New Roman" w:eastAsia="Times New Roman" w:hAnsi="Times New Roman" w:cs="Calibri"/>
                      <w:b/>
                      <w:bCs/>
                      <w:color w:val="000000"/>
                      <w:sz w:val="18"/>
                      <w:szCs w:val="18"/>
                      <w:lang w:eastAsia="it-IT"/>
                    </w:rPr>
                  </w:pPr>
                  <w:r w:rsidRPr="00F56356">
                    <w:rPr>
                      <w:rFonts w:ascii="Times New Roman" w:eastAsia="Times New Roman" w:hAnsi="Times New Roman" w:cs="Calibri"/>
                      <w:b/>
                      <w:bCs/>
                      <w:color w:val="000000"/>
                      <w:sz w:val="18"/>
                      <w:szCs w:val="18"/>
                      <w:lang w:eastAsia="it-IT"/>
                    </w:rPr>
                    <w:t>4,30</w:t>
                  </w:r>
                </w:p>
              </w:tc>
              <w:tc>
                <w:tcPr>
                  <w:tcW w:w="1440" w:type="dxa"/>
                  <w:tcBorders>
                    <w:top w:val="nil"/>
                    <w:left w:val="nil"/>
                    <w:bottom w:val="single" w:sz="4" w:space="0" w:color="auto"/>
                    <w:right w:val="single" w:sz="4" w:space="0" w:color="auto"/>
                  </w:tcBorders>
                  <w:shd w:val="clear" w:color="auto" w:fill="auto"/>
                  <w:noWrap/>
                  <w:vAlign w:val="center"/>
                  <w:hideMark/>
                </w:tcPr>
                <w:p w14:paraId="42CB7F99" w14:textId="77777777" w:rsidR="00F56356" w:rsidRPr="00F56356" w:rsidRDefault="00F56356" w:rsidP="00F56356">
                  <w:pPr>
                    <w:spacing w:after="0" w:line="240" w:lineRule="auto"/>
                    <w:jc w:val="right"/>
                    <w:rPr>
                      <w:rFonts w:ascii="Times New Roman" w:eastAsia="Times New Roman" w:hAnsi="Times New Roman" w:cs="Calibri"/>
                      <w:b/>
                      <w:bCs/>
                      <w:color w:val="000000"/>
                      <w:sz w:val="18"/>
                      <w:szCs w:val="18"/>
                      <w:lang w:eastAsia="it-IT"/>
                    </w:rPr>
                  </w:pPr>
                  <w:r w:rsidRPr="00F56356">
                    <w:rPr>
                      <w:rFonts w:ascii="Times New Roman" w:eastAsia="Times New Roman" w:hAnsi="Times New Roman" w:cs="Calibri"/>
                      <w:b/>
                      <w:bCs/>
                      <w:color w:val="000000"/>
                      <w:sz w:val="18"/>
                      <w:szCs w:val="18"/>
                      <w:lang w:eastAsia="it-IT"/>
                    </w:rPr>
                    <w:t>0,30</w:t>
                  </w:r>
                </w:p>
              </w:tc>
              <w:tc>
                <w:tcPr>
                  <w:tcW w:w="996" w:type="dxa"/>
                  <w:tcBorders>
                    <w:top w:val="nil"/>
                    <w:left w:val="nil"/>
                    <w:bottom w:val="nil"/>
                    <w:right w:val="nil"/>
                  </w:tcBorders>
                  <w:shd w:val="clear" w:color="auto" w:fill="auto"/>
                  <w:noWrap/>
                  <w:vAlign w:val="center"/>
                  <w:hideMark/>
                </w:tcPr>
                <w:p w14:paraId="13EAE9F9" w14:textId="77777777" w:rsidR="00F56356" w:rsidRPr="00F56356" w:rsidRDefault="00F56356" w:rsidP="00F56356">
                  <w:pPr>
                    <w:spacing w:after="0" w:line="240" w:lineRule="auto"/>
                    <w:jc w:val="center"/>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361EC3AF" w14:textId="77777777" w:rsidR="00F56356" w:rsidRPr="00F56356" w:rsidRDefault="00F56356" w:rsidP="00F56356">
                  <w:pPr>
                    <w:spacing w:after="0" w:line="240" w:lineRule="auto"/>
                    <w:jc w:val="center"/>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5545DC53" w14:textId="77777777" w:rsidR="00F56356" w:rsidRPr="00F56356" w:rsidRDefault="00F56356" w:rsidP="00F56356">
                  <w:pPr>
                    <w:spacing w:after="0" w:line="240" w:lineRule="auto"/>
                    <w:jc w:val="center"/>
                    <w:rPr>
                      <w:rFonts w:ascii="Times New Roman" w:eastAsia="Times New Roman" w:hAnsi="Times New Roman" w:cs="Calibri"/>
                      <w:color w:val="000000"/>
                      <w:sz w:val="18"/>
                      <w:szCs w:val="18"/>
                      <w:lang w:eastAsia="it-IT"/>
                    </w:rPr>
                  </w:pPr>
                  <w:r w:rsidRPr="00F56356">
                    <w:rPr>
                      <w:rFonts w:ascii="Times New Roman" w:eastAsia="Times New Roman" w:hAnsi="Times New Roman" w:cs="Calibri"/>
                      <w:color w:val="000000"/>
                      <w:sz w:val="18"/>
                      <w:szCs w:val="18"/>
                      <w:lang w:eastAsia="it-IT"/>
                    </w:rPr>
                    <w:t> </w:t>
                  </w:r>
                </w:p>
              </w:tc>
            </w:tr>
          </w:tbl>
          <w:p w14:paraId="632A18A7" w14:textId="77777777" w:rsidR="00F56356" w:rsidRPr="00F56356" w:rsidRDefault="00F56356" w:rsidP="00F56356">
            <w:pPr>
              <w:spacing w:after="0" w:line="360" w:lineRule="auto"/>
              <w:jc w:val="both"/>
              <w:rPr>
                <w:rFonts w:ascii="Times New Roman" w:eastAsia="Times New Roman" w:hAnsi="Times New Roman" w:cs="Times New Roman"/>
                <w:sz w:val="16"/>
                <w:szCs w:val="24"/>
                <w:lang w:eastAsia="it-IT"/>
              </w:rPr>
            </w:pPr>
          </w:p>
          <w:p w14:paraId="6100B9A0" w14:textId="77777777" w:rsidR="00F56356" w:rsidRPr="00F56356" w:rsidRDefault="00F56356" w:rsidP="00F56356">
            <w:pPr>
              <w:spacing w:after="0" w:line="360" w:lineRule="auto"/>
              <w:jc w:val="both"/>
              <w:rPr>
                <w:rFonts w:ascii="Times New Roman" w:eastAsia="Times New Roman" w:hAnsi="Times New Roman" w:cs="Times New Roman"/>
                <w:sz w:val="16"/>
                <w:szCs w:val="24"/>
                <w:lang w:eastAsia="it-IT"/>
              </w:rPr>
            </w:pPr>
          </w:p>
          <w:p w14:paraId="73DE0BB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12"/>
                <w:szCs w:val="24"/>
                <w:lang w:eastAsia="it-IT"/>
              </w:rPr>
            </w:pPr>
          </w:p>
          <w:p w14:paraId="2875189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798,63 sono state </w:t>
            </w:r>
            <w:r w:rsidRPr="00F56356">
              <w:rPr>
                <w:rFonts w:ascii="Times New Roman" w:eastAsia="Times New Roman" w:hAnsi="Times New Roman" w:cs="Times New Roman"/>
                <w:color w:val="000000" w:themeColor="text1"/>
                <w:sz w:val="24"/>
                <w:szCs w:val="24"/>
                <w:lang w:eastAsia="it-IT"/>
              </w:rPr>
              <w:t>destinate interamente al funzionamento, in particolare al rimborso delle spese di missione nel territorio nazionale (cap.272).</w:t>
            </w:r>
          </w:p>
          <w:p w14:paraId="2F3E3FD7" w14:textId="77777777" w:rsidR="00F56356" w:rsidRPr="00F56356" w:rsidRDefault="00F56356" w:rsidP="00F56356">
            <w:pPr>
              <w:spacing w:after="0" w:line="240" w:lineRule="auto"/>
              <w:jc w:val="center"/>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color w:val="000000"/>
                <w:sz w:val="24"/>
                <w:szCs w:val="24"/>
                <w:lang w:eastAsia="it-IT"/>
              </w:rPr>
              <w:t>Indicatori di bilancio</w:t>
            </w:r>
          </w:p>
          <w:p w14:paraId="0223D7CD" w14:textId="77777777" w:rsidR="00F56356" w:rsidRPr="00F56356" w:rsidRDefault="00F56356" w:rsidP="00F56356">
            <w:pPr>
              <w:spacing w:after="0" w:line="240" w:lineRule="auto"/>
              <w:jc w:val="center"/>
              <w:rPr>
                <w:rFonts w:ascii="Times New Roman" w:eastAsia="Times New Roman" w:hAnsi="Times New Roman" w:cs="Times New Roman"/>
                <w:color w:val="000000"/>
                <w:sz w:val="2"/>
                <w:szCs w:val="24"/>
                <w:lang w:eastAsia="it-IT"/>
              </w:rPr>
            </w:pPr>
          </w:p>
          <w:p w14:paraId="341A8BE5" w14:textId="77777777" w:rsidR="00F56356" w:rsidRPr="00F56356" w:rsidRDefault="00F56356" w:rsidP="00F56356">
            <w:pPr>
              <w:spacing w:after="0" w:line="240" w:lineRule="auto"/>
              <w:jc w:val="center"/>
              <w:rPr>
                <w:rFonts w:ascii="Times New Roman" w:eastAsia="Times New Roman" w:hAnsi="Times New Roman" w:cs="Times New Roman"/>
                <w:color w:val="000000"/>
                <w:sz w:val="4"/>
                <w:szCs w:val="24"/>
                <w:lang w:eastAsia="it-IT"/>
              </w:rPr>
            </w:pPr>
          </w:p>
          <w:p w14:paraId="7975A16A" w14:textId="77777777" w:rsidR="00F56356" w:rsidRPr="00F56356" w:rsidRDefault="00F56356" w:rsidP="00F56356">
            <w:pPr>
              <w:spacing w:after="0" w:line="240" w:lineRule="auto"/>
              <w:jc w:val="center"/>
              <w:rPr>
                <w:rFonts w:ascii="Times New Roman" w:eastAsia="Times New Roman" w:hAnsi="Times New Roman" w:cs="Times New Roman"/>
                <w:color w:val="000000"/>
                <w:sz w:val="1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81792" behindDoc="1" locked="0" layoutInCell="1" allowOverlap="1" wp14:anchorId="4E4D5E0A" wp14:editId="091D81CC">
                  <wp:simplePos x="0" y="0"/>
                  <wp:positionH relativeFrom="margin">
                    <wp:align>right</wp:align>
                  </wp:positionH>
                  <wp:positionV relativeFrom="paragraph">
                    <wp:posOffset>106045</wp:posOffset>
                  </wp:positionV>
                  <wp:extent cx="5886450" cy="1438910"/>
                  <wp:effectExtent l="0" t="0" r="0" b="8890"/>
                  <wp:wrapTight wrapText="bothSides">
                    <wp:wrapPolygon edited="0">
                      <wp:start x="0" y="0"/>
                      <wp:lineTo x="0" y="21447"/>
                      <wp:lineTo x="11674" y="21447"/>
                      <wp:lineTo x="21530" y="18588"/>
                      <wp:lineTo x="21530" y="14012"/>
                      <wp:lineTo x="21250" y="13440"/>
                      <wp:lineTo x="21530" y="11725"/>
                      <wp:lineTo x="21530" y="8007"/>
                      <wp:lineTo x="21181" y="4575"/>
                      <wp:lineTo x="21460" y="4575"/>
                      <wp:lineTo x="21530" y="3432"/>
                      <wp:lineTo x="21530" y="0"/>
                      <wp:lineTo x="0" y="0"/>
                    </wp:wrapPolygon>
                  </wp:wrapTight>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86450" cy="1438910"/>
                          </a:xfrm>
                          <a:prstGeom prst="rect">
                            <a:avLst/>
                          </a:prstGeom>
                          <a:noFill/>
                          <a:ln>
                            <a:noFill/>
                          </a:ln>
                        </pic:spPr>
                      </pic:pic>
                    </a:graphicData>
                  </a:graphic>
                  <wp14:sizeRelH relativeFrom="margin">
                    <wp14:pctWidth>0</wp14:pctWidth>
                  </wp14:sizeRelH>
                </wp:anchor>
              </w:drawing>
            </w:r>
          </w:p>
          <w:p w14:paraId="30BE4C74" w14:textId="77777777" w:rsidR="00F56356" w:rsidRPr="00F56356" w:rsidRDefault="00F56356" w:rsidP="00F56356">
            <w:pPr>
              <w:spacing w:after="0" w:line="240" w:lineRule="auto"/>
              <w:jc w:val="center"/>
              <w:rPr>
                <w:rFonts w:ascii="Times New Roman" w:eastAsia="Times New Roman" w:hAnsi="Times New Roman" w:cs="Times New Roman"/>
                <w:color w:val="000000"/>
                <w:sz w:val="14"/>
                <w:szCs w:val="24"/>
                <w:lang w:eastAsia="it-IT"/>
              </w:rPr>
            </w:pPr>
          </w:p>
          <w:p w14:paraId="0F87DC2E" w14:textId="77777777" w:rsidR="00F56356" w:rsidRPr="00F56356" w:rsidRDefault="00F56356" w:rsidP="00F56356">
            <w:pPr>
              <w:spacing w:after="0" w:line="240" w:lineRule="auto"/>
              <w:jc w:val="center"/>
              <w:rPr>
                <w:rFonts w:ascii="Times New Roman" w:eastAsia="Times New Roman" w:hAnsi="Times New Roman" w:cs="Times New Roman"/>
                <w:color w:val="000000"/>
                <w:sz w:val="14"/>
                <w:szCs w:val="24"/>
                <w:lang w:eastAsia="it-IT"/>
              </w:rPr>
            </w:pPr>
          </w:p>
          <w:p w14:paraId="6A16829C" w14:textId="77777777" w:rsidR="00F56356" w:rsidRPr="00F56356" w:rsidRDefault="00F56356" w:rsidP="00F56356">
            <w:pPr>
              <w:tabs>
                <w:tab w:val="left" w:pos="0"/>
                <w:tab w:val="left" w:pos="8850"/>
              </w:tabs>
              <w:spacing w:after="0" w:line="360" w:lineRule="auto"/>
              <w:jc w:val="both"/>
              <w:rPr>
                <w:rFonts w:ascii="Times New Roman" w:eastAsia="Times New Roman" w:hAnsi="Times New Roman" w:cs="Times New Roman"/>
                <w:sz w:val="10"/>
                <w:szCs w:val="24"/>
                <w:lang w:eastAsia="it-IT"/>
              </w:rPr>
            </w:pPr>
            <w:r w:rsidRPr="00F56356">
              <w:rPr>
                <w:rFonts w:ascii="Times New Roman" w:eastAsia="Times New Roman" w:hAnsi="Times New Roman" w:cs="Times New Roman"/>
                <w:sz w:val="10"/>
                <w:szCs w:val="24"/>
                <w:lang w:eastAsia="it-IT"/>
              </w:rPr>
              <w:tab/>
            </w:r>
          </w:p>
          <w:p w14:paraId="7C9D99D2" w14:textId="77777777" w:rsidR="00F56356" w:rsidRPr="00F56356" w:rsidRDefault="00F56356" w:rsidP="00F56356">
            <w:pPr>
              <w:autoSpaceDE w:val="0"/>
              <w:autoSpaceDN w:val="0"/>
              <w:adjustRightInd w:val="0"/>
              <w:spacing w:after="0" w:line="360" w:lineRule="auto"/>
              <w:ind w:left="284" w:right="214"/>
              <w:jc w:val="both"/>
              <w:rPr>
                <w:rFonts w:ascii="Times New Roman" w:eastAsia="Times New Roman" w:hAnsi="Times New Roman" w:cs="Times New Roman"/>
                <w:color w:val="000000" w:themeColor="text1"/>
                <w:sz w:val="24"/>
                <w:szCs w:val="24"/>
                <w:lang w:eastAsia="it-IT"/>
              </w:rPr>
            </w:pPr>
          </w:p>
          <w:p w14:paraId="452316DB" w14:textId="2BCA01E2" w:rsidR="00F56356" w:rsidRDefault="00F56356" w:rsidP="00F56356">
            <w:pPr>
              <w:autoSpaceDE w:val="0"/>
              <w:autoSpaceDN w:val="0"/>
              <w:adjustRightInd w:val="0"/>
              <w:spacing w:after="0" w:line="360" w:lineRule="auto"/>
              <w:ind w:left="284" w:right="214"/>
              <w:jc w:val="both"/>
              <w:rPr>
                <w:rFonts w:ascii="Times New Roman" w:eastAsia="Times New Roman" w:hAnsi="Times New Roman" w:cs="Times New Roman"/>
                <w:color w:val="000000" w:themeColor="text1"/>
                <w:sz w:val="24"/>
                <w:szCs w:val="24"/>
                <w:lang w:eastAsia="it-IT"/>
              </w:rPr>
            </w:pPr>
          </w:p>
          <w:p w14:paraId="7FB70C18" w14:textId="77777777" w:rsidR="00673DBE" w:rsidRPr="00F56356" w:rsidRDefault="00673DBE" w:rsidP="00F56356">
            <w:pPr>
              <w:autoSpaceDE w:val="0"/>
              <w:autoSpaceDN w:val="0"/>
              <w:adjustRightInd w:val="0"/>
              <w:spacing w:after="0" w:line="360" w:lineRule="auto"/>
              <w:ind w:left="284" w:right="214"/>
              <w:jc w:val="both"/>
              <w:rPr>
                <w:rFonts w:ascii="Times New Roman" w:eastAsia="Times New Roman" w:hAnsi="Times New Roman" w:cs="Times New Roman"/>
                <w:color w:val="000000" w:themeColor="text1"/>
                <w:sz w:val="24"/>
                <w:szCs w:val="24"/>
                <w:lang w:eastAsia="it-IT"/>
              </w:rPr>
            </w:pPr>
          </w:p>
          <w:p w14:paraId="6E30BC47" w14:textId="77777777" w:rsidR="00F56356" w:rsidRPr="00F56356" w:rsidRDefault="00F56356" w:rsidP="00F56356">
            <w:pPr>
              <w:autoSpaceDE w:val="0"/>
              <w:autoSpaceDN w:val="0"/>
              <w:adjustRightInd w:val="0"/>
              <w:spacing w:after="0" w:line="360" w:lineRule="auto"/>
              <w:ind w:left="284" w:right="21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Gli scostamenti tra gli indicatori di bilancio attesi e realizzati sono stati determinati:</w:t>
            </w:r>
          </w:p>
          <w:p w14:paraId="5EB3DF2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il capitolo 272 - R</w:t>
            </w:r>
            <w:r w:rsidRPr="00F56356">
              <w:rPr>
                <w:rFonts w:ascii="Times New Roman" w:eastAsia="Times New Roman" w:hAnsi="Times New Roman" w:cs="Times New Roman"/>
                <w:i/>
                <w:color w:val="000000" w:themeColor="text1"/>
                <w:sz w:val="24"/>
                <w:szCs w:val="24"/>
                <w:lang w:eastAsia="it-IT"/>
              </w:rPr>
              <w:t>imborso spese per missioni nel territorio nazionale ed all’estero, ivi comprese quelle del Ministro,</w:t>
            </w:r>
            <w:r w:rsidRPr="00F56356">
              <w:rPr>
                <w:rFonts w:ascii="Times New Roman" w:eastAsia="Times New Roman" w:hAnsi="Times New Roman" w:cs="Times New Roman"/>
                <w:color w:val="000000" w:themeColor="text1"/>
                <w:sz w:val="24"/>
                <w:szCs w:val="24"/>
                <w:lang w:eastAsia="it-IT"/>
              </w:rPr>
              <w:t xml:space="preserve"> dal persistere dell’emergenza epidemiologica che, di fatto, ha determinato un sostanziale blocco nello svolgimento delle missioni, nonché dal cambio della compagine governativa; </w:t>
            </w:r>
          </w:p>
          <w:p w14:paraId="3584188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274 - </w:t>
            </w:r>
            <w:r w:rsidRPr="00F56356">
              <w:rPr>
                <w:rFonts w:ascii="Times New Roman" w:eastAsia="Times New Roman" w:hAnsi="Times New Roman" w:cs="Times New Roman"/>
                <w:i/>
                <w:color w:val="000000" w:themeColor="text1"/>
                <w:sz w:val="24"/>
                <w:szCs w:val="24"/>
                <w:lang w:eastAsia="it-IT"/>
              </w:rPr>
              <w:t>Spese per acquisto giornali, riviste e periodici</w:t>
            </w:r>
            <w:r w:rsidRPr="00F56356">
              <w:rPr>
                <w:rFonts w:ascii="Times New Roman" w:eastAsia="Times New Roman" w:hAnsi="Times New Roman" w:cs="Times New Roman"/>
                <w:iCs/>
                <w:color w:val="000000" w:themeColor="text1"/>
                <w:sz w:val="24"/>
                <w:szCs w:val="24"/>
                <w:lang w:eastAsia="it-IT"/>
              </w:rPr>
              <w:t>, dalla circostanza che,</w:t>
            </w:r>
            <w:r w:rsidRPr="00F56356">
              <w:rPr>
                <w:rFonts w:ascii="Times New Roman" w:eastAsia="Times New Roman" w:hAnsi="Times New Roman" w:cs="Times New Roman"/>
                <w:color w:val="000000" w:themeColor="text1"/>
                <w:sz w:val="24"/>
                <w:szCs w:val="24"/>
                <w:lang w:eastAsia="it-IT"/>
              </w:rPr>
              <w:t xml:space="preserve"> in coerenza con l’impegno del Governo in materia di consolidamento e sostenibilità dei conti pubblici, da realizzare mediante una puntuale azione di revisione della spesa, le Autorità politiche di riferimento, in un’ottica di riduzione e razionalizzazione della spesa pubblica, non hanno formulato alcuna richiesta in tal senso; </w:t>
            </w:r>
          </w:p>
          <w:p w14:paraId="27AEED6F" w14:textId="77777777" w:rsidR="00F56356" w:rsidRPr="00F56356" w:rsidRDefault="00F56356" w:rsidP="00F56356">
            <w:pPr>
              <w:spacing w:after="0" w:line="360" w:lineRule="auto"/>
              <w:ind w:left="284"/>
              <w:jc w:val="both"/>
              <w:rPr>
                <w:rFonts w:ascii="Times New Roman" w:eastAsia="Times New Roman" w:hAnsi="Times New Roman" w:cs="Times New Roman"/>
                <w:i/>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287 - </w:t>
            </w:r>
            <w:r w:rsidRPr="00F56356">
              <w:rPr>
                <w:rFonts w:ascii="Times New Roman" w:eastAsia="Times New Roman" w:hAnsi="Times New Roman" w:cs="Times New Roman"/>
                <w:i/>
                <w:color w:val="000000" w:themeColor="text1"/>
                <w:sz w:val="24"/>
                <w:szCs w:val="24"/>
                <w:lang w:eastAsia="it-IT"/>
              </w:rPr>
              <w:t>Spese di rappresentanza</w:t>
            </w:r>
            <w:r w:rsidRPr="00F56356">
              <w:rPr>
                <w:rFonts w:ascii="Times New Roman" w:eastAsia="Times New Roman" w:hAnsi="Times New Roman" w:cs="Times New Roman"/>
                <w:color w:val="000000" w:themeColor="text1"/>
                <w:sz w:val="24"/>
                <w:szCs w:val="24"/>
                <w:lang w:eastAsia="it-IT"/>
              </w:rPr>
              <w:t>, dall’assenza di richieste da parte degli organi di vertice politico.</w:t>
            </w:r>
          </w:p>
          <w:p w14:paraId="7CD779B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r>
    </w:tbl>
    <w:p w14:paraId="77E348DD"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656F4B48"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79A7F2E0"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3B1D86E4"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76CCBB0E"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27310D4F"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1FD8680B"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4C1C2764"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6F200669"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3AA2D73E"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14282AFC"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6405C7A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4CC873A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4108E944"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0DE9A043"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56B5D38D"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18819E51"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3FA357F3"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7871ECE6"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459A3BC6" w14:textId="40B5A387" w:rsid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134F3FE6" w14:textId="62530377" w:rsidR="004912FA" w:rsidRDefault="004912FA" w:rsidP="00F56356">
      <w:pPr>
        <w:spacing w:after="0" w:line="360" w:lineRule="auto"/>
        <w:ind w:left="284"/>
        <w:jc w:val="both"/>
        <w:rPr>
          <w:rFonts w:ascii="Times New Roman" w:eastAsia="Times New Roman" w:hAnsi="Times New Roman" w:cs="Times New Roman"/>
          <w:color w:val="FF0000"/>
          <w:sz w:val="24"/>
          <w:szCs w:val="24"/>
          <w:lang w:eastAsia="it-IT"/>
        </w:rPr>
      </w:pPr>
    </w:p>
    <w:p w14:paraId="25B8CCD1" w14:textId="77777777" w:rsidR="004912FA" w:rsidRPr="00F56356" w:rsidRDefault="004912FA" w:rsidP="00F56356">
      <w:pPr>
        <w:spacing w:after="0" w:line="360" w:lineRule="auto"/>
        <w:ind w:left="284"/>
        <w:jc w:val="both"/>
        <w:rPr>
          <w:rFonts w:ascii="Times New Roman" w:eastAsia="Times New Roman" w:hAnsi="Times New Roman" w:cs="Times New Roman"/>
          <w:color w:val="FF0000"/>
          <w:sz w:val="24"/>
          <w:szCs w:val="24"/>
          <w:lang w:eastAsia="it-IT"/>
        </w:rPr>
      </w:pPr>
    </w:p>
    <w:p w14:paraId="48F3FD76"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534F6C3C"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28F827DE" w14:textId="77777777" w:rsidR="00F56356" w:rsidRPr="00F56356" w:rsidRDefault="00F56356" w:rsidP="00F56356">
      <w:pPr>
        <w:spacing w:after="0" w:line="240" w:lineRule="auto"/>
        <w:ind w:left="284"/>
        <w:rPr>
          <w:rFonts w:ascii="Times New Roman" w:eastAsia="Times New Roman" w:hAnsi="Times New Roman" w:cs="Times New Roman"/>
          <w:b/>
          <w:sz w:val="24"/>
          <w:szCs w:val="24"/>
        </w:rPr>
      </w:pPr>
      <w:r w:rsidRPr="00F56356">
        <w:rPr>
          <w:rFonts w:ascii="Times New Roman" w:eastAsia="Times New Roman" w:hAnsi="Times New Roman" w:cs="Times New Roman"/>
          <w:b/>
          <w:sz w:val="24"/>
          <w:szCs w:val="24"/>
        </w:rPr>
        <w:t>CDR 4 “Politiche europee”</w:t>
      </w:r>
    </w:p>
    <w:p w14:paraId="531E42F8" w14:textId="77777777" w:rsidR="00F56356" w:rsidRPr="00F56356" w:rsidRDefault="00F56356" w:rsidP="00F56356">
      <w:pPr>
        <w:spacing w:after="0" w:line="240" w:lineRule="auto"/>
        <w:ind w:left="284"/>
        <w:jc w:val="both"/>
        <w:rPr>
          <w:rFonts w:ascii="Times New Roman" w:eastAsia="Times New Roman" w:hAnsi="Times New Roman" w:cs="Times New Roman"/>
          <w:b/>
          <w:sz w:val="24"/>
          <w:szCs w:val="24"/>
        </w:rPr>
      </w:pPr>
    </w:p>
    <w:p w14:paraId="4AFBFD55"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rPr>
      </w:pPr>
      <w:r w:rsidRPr="00F56356">
        <w:rPr>
          <w:rFonts w:ascii="Times New Roman" w:eastAsia="Times New Roman" w:hAnsi="Times New Roman" w:cs="Times New Roman"/>
          <w:b/>
          <w:sz w:val="24"/>
          <w:szCs w:val="24"/>
        </w:rPr>
        <w:t xml:space="preserve">MISSIONE 1 - </w:t>
      </w:r>
      <w:r w:rsidRPr="00F56356">
        <w:rPr>
          <w:rFonts w:ascii="Times New Roman" w:eastAsia="Times New Roman" w:hAnsi="Times New Roman" w:cs="Times New Roman"/>
          <w:sz w:val="24"/>
          <w:szCs w:val="24"/>
        </w:rPr>
        <w:t xml:space="preserve">Organi costituzionali, a rilevanza costituzionale e Presidenza del Consiglio dei ministri </w:t>
      </w:r>
    </w:p>
    <w:p w14:paraId="40328C88" w14:textId="77777777" w:rsidR="00F56356" w:rsidRPr="00F56356" w:rsidRDefault="00F56356" w:rsidP="00F56356">
      <w:pPr>
        <w:spacing w:after="0" w:line="240" w:lineRule="auto"/>
        <w:ind w:left="284"/>
        <w:jc w:val="both"/>
        <w:rPr>
          <w:rFonts w:ascii="Times New Roman" w:eastAsia="Times New Roman" w:hAnsi="Times New Roman" w:cs="Times New Roman"/>
          <w:b/>
          <w:sz w:val="18"/>
          <w:szCs w:val="24"/>
        </w:rPr>
      </w:pPr>
    </w:p>
    <w:p w14:paraId="6E461166"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rPr>
      </w:pPr>
      <w:r w:rsidRPr="00F56356">
        <w:rPr>
          <w:rFonts w:ascii="Times New Roman" w:eastAsia="Times New Roman" w:hAnsi="Times New Roman" w:cs="Times New Roman"/>
          <w:b/>
          <w:sz w:val="24"/>
          <w:szCs w:val="24"/>
        </w:rPr>
        <w:t xml:space="preserve">Programma 1.3 - </w:t>
      </w:r>
      <w:r w:rsidRPr="00F56356">
        <w:rPr>
          <w:rFonts w:ascii="Times New Roman" w:eastAsia="Times New Roman" w:hAnsi="Times New Roman" w:cs="Times New Roman"/>
          <w:sz w:val="24"/>
          <w:szCs w:val="24"/>
        </w:rPr>
        <w:t xml:space="preserve">Presidenza del Consiglio dei ministri </w:t>
      </w:r>
    </w:p>
    <w:p w14:paraId="111667A6" w14:textId="77777777" w:rsidR="00F56356" w:rsidRPr="00F56356" w:rsidRDefault="00F56356" w:rsidP="00F56356">
      <w:pPr>
        <w:tabs>
          <w:tab w:val="left" w:pos="1515"/>
        </w:tabs>
        <w:spacing w:after="0" w:line="360" w:lineRule="auto"/>
        <w:ind w:left="284"/>
        <w:jc w:val="both"/>
        <w:rPr>
          <w:rFonts w:ascii="Times New Roman" w:eastAsia="Times New Roman" w:hAnsi="Times New Roman" w:cs="Times New Roman"/>
          <w:sz w:val="24"/>
          <w:szCs w:val="24"/>
        </w:rPr>
      </w:pPr>
    </w:p>
    <w:p w14:paraId="23930CDE" w14:textId="77777777" w:rsidR="00F56356" w:rsidRPr="00F56356" w:rsidRDefault="00F56356" w:rsidP="00F56356">
      <w:pPr>
        <w:tabs>
          <w:tab w:val="left" w:pos="1515"/>
        </w:tabs>
        <w:spacing w:after="0" w:line="360" w:lineRule="auto"/>
        <w:ind w:left="284"/>
        <w:jc w:val="both"/>
        <w:rPr>
          <w:rFonts w:ascii="Times New Roman" w:eastAsia="Times New Roman" w:hAnsi="Times New Roman" w:cs="Times New Roman"/>
          <w:color w:val="000000" w:themeColor="text1"/>
          <w:sz w:val="24"/>
          <w:szCs w:val="24"/>
        </w:rPr>
      </w:pPr>
      <w:r w:rsidRPr="00F56356">
        <w:rPr>
          <w:rFonts w:ascii="Times New Roman" w:eastAsia="Times New Roman" w:hAnsi="Times New Roman" w:cs="Times New Roman"/>
          <w:b/>
          <w:color w:val="000000" w:themeColor="text1"/>
          <w:sz w:val="24"/>
          <w:szCs w:val="24"/>
        </w:rPr>
        <w:t>MISSIONE 4 –</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rPr>
        <w:t>L’Italia in Europa e nel mondo</w:t>
      </w:r>
    </w:p>
    <w:p w14:paraId="5B617803" w14:textId="77777777" w:rsidR="00F56356" w:rsidRPr="00F56356" w:rsidRDefault="00F56356" w:rsidP="00F56356">
      <w:pPr>
        <w:tabs>
          <w:tab w:val="left" w:pos="1515"/>
        </w:tabs>
        <w:spacing w:after="0" w:line="360" w:lineRule="auto"/>
        <w:ind w:left="284"/>
        <w:jc w:val="both"/>
        <w:rPr>
          <w:rFonts w:ascii="Times New Roman" w:eastAsia="Times New Roman" w:hAnsi="Times New Roman" w:cs="Times New Roman"/>
          <w:b/>
          <w:color w:val="000000" w:themeColor="text1"/>
          <w:sz w:val="10"/>
          <w:szCs w:val="24"/>
        </w:rPr>
      </w:pPr>
    </w:p>
    <w:p w14:paraId="4546035A" w14:textId="77777777" w:rsidR="00F56356" w:rsidRPr="00F56356" w:rsidRDefault="00F56356" w:rsidP="00F56356">
      <w:pPr>
        <w:tabs>
          <w:tab w:val="left" w:pos="1515"/>
        </w:tabs>
        <w:spacing w:after="0" w:line="360" w:lineRule="auto"/>
        <w:ind w:left="284"/>
        <w:jc w:val="both"/>
        <w:rPr>
          <w:rFonts w:ascii="Times New Roman" w:eastAsia="Times New Roman" w:hAnsi="Times New Roman" w:cs="Times New Roman"/>
          <w:color w:val="000000" w:themeColor="text1"/>
          <w:sz w:val="24"/>
          <w:szCs w:val="24"/>
        </w:rPr>
      </w:pPr>
      <w:r w:rsidRPr="00F56356">
        <w:rPr>
          <w:rFonts w:ascii="Times New Roman" w:eastAsia="Times New Roman" w:hAnsi="Times New Roman" w:cs="Times New Roman"/>
          <w:b/>
          <w:color w:val="000000" w:themeColor="text1"/>
          <w:sz w:val="24"/>
          <w:szCs w:val="24"/>
        </w:rPr>
        <w:t xml:space="preserve">Programma 4.11- </w:t>
      </w:r>
      <w:r w:rsidRPr="00F56356">
        <w:rPr>
          <w:rFonts w:ascii="Times New Roman" w:eastAsia="Times New Roman" w:hAnsi="Times New Roman" w:cs="Times New Roman"/>
          <w:color w:val="000000" w:themeColor="text1"/>
          <w:sz w:val="24"/>
          <w:szCs w:val="24"/>
        </w:rPr>
        <w:t>Politica economica e finanziaria in ambito internazionale</w:t>
      </w:r>
    </w:p>
    <w:p w14:paraId="29FB5BA1" w14:textId="77777777" w:rsidR="00F56356" w:rsidRPr="00F56356" w:rsidRDefault="00F56356" w:rsidP="00F56356">
      <w:pPr>
        <w:tabs>
          <w:tab w:val="left" w:pos="1515"/>
        </w:tabs>
        <w:spacing w:after="0" w:line="360" w:lineRule="auto"/>
        <w:ind w:left="284"/>
        <w:jc w:val="both"/>
        <w:rPr>
          <w:rFonts w:ascii="Times New Roman" w:eastAsia="Times New Roman" w:hAnsi="Times New Roman" w:cs="Times New Roman"/>
          <w:sz w:val="24"/>
          <w:szCs w:val="24"/>
        </w:rPr>
      </w:pPr>
    </w:p>
    <w:p w14:paraId="2AF6F15A" w14:textId="77777777" w:rsidR="00F56356" w:rsidRPr="00F56356" w:rsidRDefault="00F56356" w:rsidP="00F56356">
      <w:pPr>
        <w:numPr>
          <w:ilvl w:val="0"/>
          <w:numId w:val="30"/>
        </w:numPr>
        <w:tabs>
          <w:tab w:val="left" w:pos="1515"/>
        </w:tabs>
        <w:spacing w:after="0" w:line="360" w:lineRule="auto"/>
        <w:contextualSpacing/>
        <w:jc w:val="both"/>
        <w:rPr>
          <w:rFonts w:ascii="Times New Roman" w:eastAsia="Times New Roman" w:hAnsi="Times New Roman" w:cs="Times New Roman"/>
          <w:b/>
          <w:i/>
          <w:sz w:val="24"/>
          <w:szCs w:val="24"/>
        </w:rPr>
      </w:pPr>
      <w:r w:rsidRPr="00F56356">
        <w:rPr>
          <w:rFonts w:ascii="Times New Roman" w:eastAsia="Times New Roman" w:hAnsi="Times New Roman" w:cs="Times New Roman"/>
          <w:b/>
          <w:i/>
          <w:sz w:val="24"/>
          <w:szCs w:val="24"/>
        </w:rPr>
        <w:t>Mission</w:t>
      </w:r>
    </w:p>
    <w:p w14:paraId="5E95D692" w14:textId="77777777" w:rsidR="00F56356" w:rsidRPr="00F56356" w:rsidRDefault="00F56356" w:rsidP="00F56356">
      <w:pPr>
        <w:tabs>
          <w:tab w:val="left" w:pos="1515"/>
        </w:tabs>
        <w:spacing w:after="0" w:line="360" w:lineRule="auto"/>
        <w:ind w:left="284"/>
        <w:jc w:val="both"/>
        <w:rPr>
          <w:rFonts w:ascii="Times New Roman" w:eastAsia="Times New Roman" w:hAnsi="Times New Roman" w:cs="Times New Roman"/>
          <w:sz w:val="24"/>
          <w:szCs w:val="24"/>
        </w:rPr>
      </w:pPr>
      <w:r w:rsidRPr="00F56356">
        <w:rPr>
          <w:rFonts w:ascii="Times New Roman" w:eastAsia="Times New Roman" w:hAnsi="Times New Roman" w:cs="Times New Roman"/>
          <w:sz w:val="24"/>
          <w:szCs w:val="24"/>
        </w:rPr>
        <w:t>Il Centro di responsabilità 4 “Politiche europee” è la struttura di supporto al Presidente che opera nell’area funzionale dei rapporti del Governo con le istituzioni dell’Unione europea e della quale il Presidente si avvale per le attività inerenti all’attuazione delle politiche generali e settoriali dell’Unione europea e degli obblighi assunti nell’ambito della stessa, nonché per le azioni di coordinamento nelle fasi di predisposizione della normativa dell’Unione. In particolare, d’intesa con il Ministero degli affari esteri, cura le attività di coordinamento ai fini della definizione della posizione italiana da sostenere in sede di Unione europea e i rapporti con le istituzioni, gli organi e gli organismi dell’Unione; monitora il processo decisionale europeo; assicura al Parlamento, alle regioni e agli enti locali l’informazione sulle attività dell’Unione e, d’intesa con il Ministero dell’economia e delle finanze, il coordinamento dell’attuazione in Italia della strategia “UE 2020”; segue le politiche del mercato interno e della concorrenza; cura e segue la predisposizione, l’approvazione e l’attuazione delle leggi e degli altri provvedimenti di adeguamento dell’ordinamento italiano alle norme europee; segue il precontenzioso e il contenzioso dell’Unione europea, adoperandosi per prevenirlo; promuove l’informazione sulle attività dell’Unione e coordina e promuove, in materia, le iniziative di formazione e di assistenza tecnica</w:t>
      </w:r>
      <w:bookmarkStart w:id="40" w:name="_Hlk132711257"/>
      <w:r w:rsidRPr="00F56356">
        <w:rPr>
          <w:rFonts w:ascii="Times New Roman" w:eastAsia="Times New Roman" w:hAnsi="Times New Roman" w:cs="Times New Roman"/>
          <w:sz w:val="24"/>
          <w:szCs w:val="24"/>
        </w:rPr>
        <w:t>. Con decreto del Presidente del Consiglio dei ministri del 28 luglio 2006 è stata istituita, presso la Presidenza del Consiglio dei ministri - Dipartimento per le politiche europee, la “Struttura di missione con il compito di attivare tutte le possibili azioni dirette a prevenire l’insorgere del contenzioso europeo e a rafforzare il coordinamento delle attività volte alla risoluzione delle procedure d’infrazione”</w:t>
      </w:r>
      <w:bookmarkEnd w:id="40"/>
      <w:r w:rsidRPr="00F56356">
        <w:rPr>
          <w:rFonts w:ascii="Times New Roman" w:eastAsia="Times New Roman" w:hAnsi="Times New Roman" w:cs="Times New Roman"/>
          <w:sz w:val="24"/>
          <w:szCs w:val="24"/>
        </w:rPr>
        <w:t xml:space="preserve">, da ultimo confermata con decreto del Presidente del Consiglio dei ministri 20 gennaio 2023. Ai sensi del decreto del Presidente del Consiglio dei ministri 1° febbraio 2016, articolo 1, comma 1, dipende funzionalmente dal Dipartimento il nucleo speciale della Guardia di finanza per la repressione delle frodi nei confronti dell’Unione europea. </w:t>
      </w:r>
    </w:p>
    <w:p w14:paraId="355586D1" w14:textId="3D962692" w:rsid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4452952B" w14:textId="77777777" w:rsidR="004912FA" w:rsidRPr="00F56356" w:rsidRDefault="004912FA" w:rsidP="00F56356">
      <w:pPr>
        <w:spacing w:after="0" w:line="360" w:lineRule="auto"/>
        <w:ind w:left="284"/>
        <w:jc w:val="both"/>
        <w:rPr>
          <w:rFonts w:ascii="Times New Roman" w:eastAsia="Times New Roman" w:hAnsi="Times New Roman" w:cs="Times New Roman"/>
          <w:b/>
          <w:sz w:val="24"/>
          <w:szCs w:val="24"/>
          <w:lang w:eastAsia="it-IT"/>
        </w:rPr>
      </w:pPr>
    </w:p>
    <w:p w14:paraId="2D21C95B"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04368234"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2. Ricostruzione flussi finanziari e aspetti rilevanti della gestione</w:t>
      </w:r>
    </w:p>
    <w:p w14:paraId="3A2DA5B6"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Le risorse complessivamente assegnate sono pari a euro 1.851.684,91, nell’ambito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delle quali euro 1.566.202,91 riferiti a riassegnazioni dall’avanzo di esercizio 2021.</w:t>
      </w:r>
    </w:p>
    <w:p w14:paraId="043B000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434.943,44, con un’economia di bilancio di euro 1.416.741,47. Il totale dei pagamenti riferiti alla competenza è stato pari a euro 400.683,85, con un indice di capacità di pagamento (rapporto pagato/impegnato) che si attesta al 92,12 per cento.</w:t>
      </w:r>
    </w:p>
    <w:p w14:paraId="667CB5E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95B42F2"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4C09329F" wp14:editId="17E7CA7E">
            <wp:extent cx="3681730" cy="620751"/>
            <wp:effectExtent l="0" t="0" r="0" b="8255"/>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43935" cy="631239"/>
                    </a:xfrm>
                    <a:prstGeom prst="rect">
                      <a:avLst/>
                    </a:prstGeom>
                    <a:noFill/>
                    <a:ln>
                      <a:noFill/>
                    </a:ln>
                  </pic:spPr>
                </pic:pic>
              </a:graphicData>
            </a:graphic>
          </wp:inline>
        </w:drawing>
      </w:r>
    </w:p>
    <w:p w14:paraId="1D242A90"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324FF740" wp14:editId="40CD23EC">
            <wp:extent cx="3804285" cy="1951984"/>
            <wp:effectExtent l="0" t="0" r="5715"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49747" cy="1975311"/>
                    </a:xfrm>
                    <a:prstGeom prst="rect">
                      <a:avLst/>
                    </a:prstGeom>
                    <a:noFill/>
                  </pic:spPr>
                </pic:pic>
              </a:graphicData>
            </a:graphic>
          </wp:inline>
        </w:drawing>
      </w:r>
    </w:p>
    <w:p w14:paraId="0F819854"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79BD82F6"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6"/>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486.175,92.</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455.104,16 e realizzate economie per euro 9.062,55.</w:t>
      </w:r>
      <w:r w:rsidRPr="00F56356">
        <w:rPr>
          <w:rFonts w:ascii="Times New Roman" w:eastAsia="Times New Roman" w:hAnsi="Times New Roman" w:cs="Times New Roman"/>
          <w:color w:val="FF0000"/>
          <w:sz w:val="24"/>
          <w:szCs w:val="24"/>
          <w:lang w:eastAsia="it-IT"/>
        </w:rPr>
        <w:t xml:space="preserve"> </w:t>
      </w:r>
    </w:p>
    <w:p w14:paraId="76561D43"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60AD83F5"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168CDAA0"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2824"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6CCF1BB1"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ABF52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43E9C35F"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79F8EF4C"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5E01240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F14F3CB"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606653A1"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50A32AEB"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1EB254A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3A65ADD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69CA9C3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1CD6FF83"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29E8818"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1D99D3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306</w:t>
            </w:r>
          </w:p>
        </w:tc>
        <w:tc>
          <w:tcPr>
            <w:tcW w:w="1574" w:type="dxa"/>
            <w:tcBorders>
              <w:top w:val="nil"/>
              <w:left w:val="nil"/>
              <w:bottom w:val="single" w:sz="4" w:space="0" w:color="auto"/>
              <w:right w:val="single" w:sz="4" w:space="0" w:color="auto"/>
            </w:tcBorders>
            <w:shd w:val="clear" w:color="auto" w:fill="auto"/>
            <w:noWrap/>
            <w:vAlign w:val="center"/>
            <w:hideMark/>
          </w:tcPr>
          <w:p w14:paraId="74714B8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11.007,11</w:t>
            </w:r>
          </w:p>
        </w:tc>
        <w:tc>
          <w:tcPr>
            <w:tcW w:w="1440" w:type="dxa"/>
            <w:tcBorders>
              <w:top w:val="nil"/>
              <w:left w:val="nil"/>
              <w:bottom w:val="single" w:sz="4" w:space="0" w:color="auto"/>
              <w:right w:val="single" w:sz="4" w:space="0" w:color="auto"/>
            </w:tcBorders>
            <w:shd w:val="clear" w:color="auto" w:fill="auto"/>
            <w:noWrap/>
            <w:vAlign w:val="center"/>
            <w:hideMark/>
          </w:tcPr>
          <w:p w14:paraId="396B603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758216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w:t>
            </w:r>
          </w:p>
        </w:tc>
        <w:tc>
          <w:tcPr>
            <w:tcW w:w="1219" w:type="dxa"/>
            <w:tcBorders>
              <w:top w:val="nil"/>
              <w:left w:val="nil"/>
              <w:bottom w:val="single" w:sz="4" w:space="0" w:color="auto"/>
              <w:right w:val="single" w:sz="4" w:space="0" w:color="auto"/>
            </w:tcBorders>
            <w:shd w:val="clear" w:color="auto" w:fill="auto"/>
            <w:noWrap/>
            <w:vAlign w:val="center"/>
            <w:hideMark/>
          </w:tcPr>
          <w:p w14:paraId="3B07834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2A44207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w:t>
            </w:r>
          </w:p>
        </w:tc>
      </w:tr>
      <w:tr w:rsidR="00F56356" w:rsidRPr="00F56356" w14:paraId="4B389291"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6D7B4C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334</w:t>
            </w:r>
          </w:p>
        </w:tc>
        <w:tc>
          <w:tcPr>
            <w:tcW w:w="1574" w:type="dxa"/>
            <w:tcBorders>
              <w:top w:val="nil"/>
              <w:left w:val="nil"/>
              <w:bottom w:val="single" w:sz="4" w:space="0" w:color="auto"/>
              <w:right w:val="single" w:sz="4" w:space="0" w:color="auto"/>
            </w:tcBorders>
            <w:shd w:val="clear" w:color="auto" w:fill="auto"/>
            <w:noWrap/>
            <w:vAlign w:val="center"/>
            <w:hideMark/>
          </w:tcPr>
          <w:p w14:paraId="7C3FB2C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32BB414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4C3524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w:t>
            </w:r>
          </w:p>
        </w:tc>
        <w:tc>
          <w:tcPr>
            <w:tcW w:w="1219" w:type="dxa"/>
            <w:tcBorders>
              <w:top w:val="nil"/>
              <w:left w:val="nil"/>
              <w:bottom w:val="single" w:sz="4" w:space="0" w:color="auto"/>
              <w:right w:val="single" w:sz="4" w:space="0" w:color="auto"/>
            </w:tcBorders>
            <w:shd w:val="clear" w:color="auto" w:fill="auto"/>
            <w:noWrap/>
            <w:vAlign w:val="center"/>
            <w:hideMark/>
          </w:tcPr>
          <w:p w14:paraId="6438245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58D7006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35</w:t>
            </w:r>
          </w:p>
        </w:tc>
      </w:tr>
      <w:tr w:rsidR="00F56356" w:rsidRPr="00F56356" w14:paraId="6E324ADB"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545BA24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341</w:t>
            </w:r>
          </w:p>
        </w:tc>
        <w:tc>
          <w:tcPr>
            <w:tcW w:w="1574" w:type="dxa"/>
            <w:tcBorders>
              <w:top w:val="nil"/>
              <w:left w:val="nil"/>
              <w:bottom w:val="single" w:sz="4" w:space="0" w:color="auto"/>
              <w:right w:val="single" w:sz="4" w:space="0" w:color="auto"/>
            </w:tcBorders>
            <w:shd w:val="clear" w:color="auto" w:fill="auto"/>
            <w:noWrap/>
            <w:vAlign w:val="center"/>
            <w:hideMark/>
          </w:tcPr>
          <w:p w14:paraId="5A6CB92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1.184,45</w:t>
            </w:r>
          </w:p>
        </w:tc>
        <w:tc>
          <w:tcPr>
            <w:tcW w:w="1440" w:type="dxa"/>
            <w:tcBorders>
              <w:top w:val="nil"/>
              <w:left w:val="nil"/>
              <w:bottom w:val="single" w:sz="4" w:space="0" w:color="auto"/>
              <w:right w:val="single" w:sz="4" w:space="0" w:color="auto"/>
            </w:tcBorders>
            <w:shd w:val="clear" w:color="auto" w:fill="auto"/>
            <w:noWrap/>
            <w:vAlign w:val="center"/>
            <w:hideMark/>
          </w:tcPr>
          <w:p w14:paraId="1808250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1.184,45</w:t>
            </w:r>
          </w:p>
        </w:tc>
        <w:tc>
          <w:tcPr>
            <w:tcW w:w="996" w:type="dxa"/>
            <w:tcBorders>
              <w:top w:val="nil"/>
              <w:left w:val="nil"/>
              <w:bottom w:val="single" w:sz="4" w:space="0" w:color="auto"/>
              <w:right w:val="single" w:sz="4" w:space="0" w:color="auto"/>
            </w:tcBorders>
            <w:shd w:val="clear" w:color="auto" w:fill="auto"/>
            <w:noWrap/>
            <w:vAlign w:val="center"/>
            <w:hideMark/>
          </w:tcPr>
          <w:p w14:paraId="0B821E5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219" w:type="dxa"/>
            <w:tcBorders>
              <w:top w:val="nil"/>
              <w:left w:val="nil"/>
              <w:bottom w:val="single" w:sz="4" w:space="0" w:color="auto"/>
              <w:right w:val="single" w:sz="4" w:space="0" w:color="auto"/>
            </w:tcBorders>
            <w:shd w:val="clear" w:color="auto" w:fill="auto"/>
            <w:noWrap/>
            <w:vAlign w:val="center"/>
            <w:hideMark/>
          </w:tcPr>
          <w:p w14:paraId="19D1E4E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2" w:type="dxa"/>
            <w:tcBorders>
              <w:top w:val="nil"/>
              <w:left w:val="nil"/>
              <w:bottom w:val="single" w:sz="4" w:space="0" w:color="auto"/>
              <w:right w:val="single" w:sz="4" w:space="0" w:color="auto"/>
            </w:tcBorders>
            <w:shd w:val="clear" w:color="auto" w:fill="auto"/>
            <w:noWrap/>
            <w:vAlign w:val="center"/>
            <w:hideMark/>
          </w:tcPr>
          <w:p w14:paraId="2447B68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r>
      <w:tr w:rsidR="00F56356" w:rsidRPr="00F56356" w14:paraId="6926C526"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1A6EB06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2371B77C"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12.193,56</w:t>
            </w:r>
          </w:p>
        </w:tc>
        <w:tc>
          <w:tcPr>
            <w:tcW w:w="1440" w:type="dxa"/>
            <w:tcBorders>
              <w:top w:val="nil"/>
              <w:left w:val="nil"/>
              <w:bottom w:val="single" w:sz="4" w:space="0" w:color="auto"/>
              <w:right w:val="single" w:sz="4" w:space="0" w:color="auto"/>
            </w:tcBorders>
            <w:shd w:val="clear" w:color="auto" w:fill="auto"/>
            <w:noWrap/>
            <w:vAlign w:val="center"/>
            <w:hideMark/>
          </w:tcPr>
          <w:p w14:paraId="5C98CAA4"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1.184,45</w:t>
            </w:r>
          </w:p>
        </w:tc>
        <w:tc>
          <w:tcPr>
            <w:tcW w:w="996" w:type="dxa"/>
            <w:tcBorders>
              <w:top w:val="nil"/>
              <w:left w:val="nil"/>
              <w:bottom w:val="nil"/>
              <w:right w:val="nil"/>
            </w:tcBorders>
            <w:shd w:val="clear" w:color="auto" w:fill="auto"/>
            <w:noWrap/>
            <w:vAlign w:val="center"/>
            <w:hideMark/>
          </w:tcPr>
          <w:p w14:paraId="6CA2D110"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219" w:type="dxa"/>
            <w:tcBorders>
              <w:top w:val="nil"/>
              <w:left w:val="nil"/>
              <w:bottom w:val="nil"/>
              <w:right w:val="nil"/>
            </w:tcBorders>
            <w:shd w:val="clear" w:color="auto" w:fill="auto"/>
            <w:noWrap/>
            <w:vAlign w:val="center"/>
            <w:hideMark/>
          </w:tcPr>
          <w:p w14:paraId="3D3B4AB3"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52" w:type="dxa"/>
            <w:tcBorders>
              <w:top w:val="nil"/>
              <w:left w:val="nil"/>
              <w:bottom w:val="nil"/>
              <w:right w:val="nil"/>
            </w:tcBorders>
            <w:shd w:val="clear" w:color="auto" w:fill="auto"/>
            <w:noWrap/>
            <w:vAlign w:val="center"/>
            <w:hideMark/>
          </w:tcPr>
          <w:p w14:paraId="26AD807B"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0F66342D"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b/>
          <w:color w:val="FF0000"/>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2A9FBD18"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4F01"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70E18BCB"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26127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48A03E45"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4681B661"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793E94DB"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174E3BEE"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17BCDCDD"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4371D656"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0138891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70F02E1D"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49260AE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537DAC77"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466B3F95"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F5DE61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342</w:t>
            </w:r>
          </w:p>
        </w:tc>
        <w:tc>
          <w:tcPr>
            <w:tcW w:w="1574" w:type="dxa"/>
            <w:tcBorders>
              <w:top w:val="nil"/>
              <w:left w:val="nil"/>
              <w:bottom w:val="single" w:sz="4" w:space="0" w:color="auto"/>
              <w:right w:val="single" w:sz="4" w:space="0" w:color="auto"/>
            </w:tcBorders>
            <w:shd w:val="clear" w:color="auto" w:fill="auto"/>
            <w:noWrap/>
            <w:vAlign w:val="center"/>
            <w:hideMark/>
          </w:tcPr>
          <w:p w14:paraId="4051B96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49.441,76</w:t>
            </w:r>
          </w:p>
        </w:tc>
        <w:tc>
          <w:tcPr>
            <w:tcW w:w="1440" w:type="dxa"/>
            <w:tcBorders>
              <w:top w:val="nil"/>
              <w:left w:val="nil"/>
              <w:bottom w:val="single" w:sz="4" w:space="0" w:color="auto"/>
              <w:right w:val="single" w:sz="4" w:space="0" w:color="auto"/>
            </w:tcBorders>
            <w:shd w:val="clear" w:color="auto" w:fill="auto"/>
            <w:noWrap/>
            <w:vAlign w:val="center"/>
            <w:hideMark/>
          </w:tcPr>
          <w:p w14:paraId="1A42A09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13.824,76</w:t>
            </w:r>
          </w:p>
        </w:tc>
        <w:tc>
          <w:tcPr>
            <w:tcW w:w="996" w:type="dxa"/>
            <w:tcBorders>
              <w:top w:val="nil"/>
              <w:left w:val="nil"/>
              <w:bottom w:val="single" w:sz="4" w:space="0" w:color="auto"/>
              <w:right w:val="single" w:sz="4" w:space="0" w:color="auto"/>
            </w:tcBorders>
            <w:shd w:val="clear" w:color="auto" w:fill="auto"/>
            <w:noWrap/>
            <w:vAlign w:val="center"/>
            <w:hideMark/>
          </w:tcPr>
          <w:p w14:paraId="0917006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w:t>
            </w:r>
          </w:p>
        </w:tc>
        <w:tc>
          <w:tcPr>
            <w:tcW w:w="1219" w:type="dxa"/>
            <w:tcBorders>
              <w:top w:val="nil"/>
              <w:left w:val="nil"/>
              <w:bottom w:val="single" w:sz="4" w:space="0" w:color="auto"/>
              <w:right w:val="single" w:sz="4" w:space="0" w:color="auto"/>
            </w:tcBorders>
            <w:shd w:val="clear" w:color="auto" w:fill="auto"/>
            <w:noWrap/>
            <w:vAlign w:val="center"/>
            <w:hideMark/>
          </w:tcPr>
          <w:p w14:paraId="5277DA9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72,04</w:t>
            </w:r>
          </w:p>
        </w:tc>
        <w:tc>
          <w:tcPr>
            <w:tcW w:w="1152" w:type="dxa"/>
            <w:tcBorders>
              <w:top w:val="nil"/>
              <w:left w:val="nil"/>
              <w:bottom w:val="single" w:sz="4" w:space="0" w:color="auto"/>
              <w:right w:val="single" w:sz="4" w:space="0" w:color="auto"/>
            </w:tcBorders>
            <w:shd w:val="clear" w:color="auto" w:fill="auto"/>
            <w:noWrap/>
            <w:vAlign w:val="center"/>
            <w:hideMark/>
          </w:tcPr>
          <w:p w14:paraId="5B0ABFC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-2,96</w:t>
            </w:r>
          </w:p>
        </w:tc>
      </w:tr>
      <w:tr w:rsidR="00F56356" w:rsidRPr="00F56356" w14:paraId="4CDBD446"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1B73034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343</w:t>
            </w:r>
          </w:p>
        </w:tc>
        <w:tc>
          <w:tcPr>
            <w:tcW w:w="1574" w:type="dxa"/>
            <w:tcBorders>
              <w:top w:val="nil"/>
              <w:left w:val="nil"/>
              <w:bottom w:val="single" w:sz="4" w:space="0" w:color="auto"/>
              <w:right w:val="single" w:sz="4" w:space="0" w:color="auto"/>
            </w:tcBorders>
            <w:shd w:val="clear" w:color="auto" w:fill="auto"/>
            <w:noWrap/>
            <w:vAlign w:val="center"/>
            <w:hideMark/>
          </w:tcPr>
          <w:p w14:paraId="2650C36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424.540,60</w:t>
            </w:r>
          </w:p>
        </w:tc>
        <w:tc>
          <w:tcPr>
            <w:tcW w:w="1440" w:type="dxa"/>
            <w:tcBorders>
              <w:top w:val="nil"/>
              <w:left w:val="nil"/>
              <w:bottom w:val="single" w:sz="4" w:space="0" w:color="auto"/>
              <w:right w:val="single" w:sz="4" w:space="0" w:color="auto"/>
            </w:tcBorders>
            <w:shd w:val="clear" w:color="auto" w:fill="auto"/>
            <w:noWrap/>
            <w:vAlign w:val="center"/>
            <w:hideMark/>
          </w:tcPr>
          <w:p w14:paraId="0366459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7.000,00</w:t>
            </w:r>
          </w:p>
        </w:tc>
        <w:tc>
          <w:tcPr>
            <w:tcW w:w="996" w:type="dxa"/>
            <w:tcBorders>
              <w:top w:val="nil"/>
              <w:left w:val="nil"/>
              <w:bottom w:val="single" w:sz="4" w:space="0" w:color="auto"/>
              <w:right w:val="single" w:sz="4" w:space="0" w:color="auto"/>
            </w:tcBorders>
            <w:shd w:val="clear" w:color="auto" w:fill="auto"/>
            <w:noWrap/>
            <w:vAlign w:val="center"/>
            <w:hideMark/>
          </w:tcPr>
          <w:p w14:paraId="0588FB5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single" w:sz="4" w:space="0" w:color="auto"/>
            </w:tcBorders>
            <w:shd w:val="clear" w:color="auto" w:fill="auto"/>
            <w:noWrap/>
            <w:vAlign w:val="center"/>
            <w:hideMark/>
          </w:tcPr>
          <w:p w14:paraId="731EFCA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98,35</w:t>
            </w:r>
          </w:p>
        </w:tc>
        <w:tc>
          <w:tcPr>
            <w:tcW w:w="1152" w:type="dxa"/>
            <w:tcBorders>
              <w:top w:val="nil"/>
              <w:left w:val="nil"/>
              <w:bottom w:val="single" w:sz="4" w:space="0" w:color="auto"/>
              <w:right w:val="single" w:sz="4" w:space="0" w:color="auto"/>
            </w:tcBorders>
            <w:shd w:val="clear" w:color="auto" w:fill="auto"/>
            <w:noWrap/>
            <w:vAlign w:val="center"/>
            <w:hideMark/>
          </w:tcPr>
          <w:p w14:paraId="06CEF6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020AECF"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86B5CB2"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39CFD54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473.982,36</w:t>
            </w:r>
          </w:p>
        </w:tc>
        <w:tc>
          <w:tcPr>
            <w:tcW w:w="1440" w:type="dxa"/>
            <w:tcBorders>
              <w:top w:val="nil"/>
              <w:left w:val="nil"/>
              <w:bottom w:val="single" w:sz="4" w:space="0" w:color="auto"/>
              <w:right w:val="single" w:sz="4" w:space="0" w:color="auto"/>
            </w:tcBorders>
            <w:shd w:val="clear" w:color="auto" w:fill="auto"/>
            <w:noWrap/>
            <w:vAlign w:val="center"/>
            <w:hideMark/>
          </w:tcPr>
          <w:p w14:paraId="753602F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20.824,76</w:t>
            </w:r>
          </w:p>
        </w:tc>
        <w:tc>
          <w:tcPr>
            <w:tcW w:w="996" w:type="dxa"/>
            <w:tcBorders>
              <w:top w:val="nil"/>
              <w:left w:val="nil"/>
              <w:bottom w:val="nil"/>
              <w:right w:val="nil"/>
            </w:tcBorders>
            <w:shd w:val="clear" w:color="auto" w:fill="auto"/>
            <w:noWrap/>
            <w:vAlign w:val="center"/>
            <w:hideMark/>
          </w:tcPr>
          <w:p w14:paraId="341CDFCD"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219" w:type="dxa"/>
            <w:tcBorders>
              <w:top w:val="nil"/>
              <w:left w:val="nil"/>
              <w:bottom w:val="nil"/>
              <w:right w:val="nil"/>
            </w:tcBorders>
            <w:shd w:val="clear" w:color="auto" w:fill="auto"/>
            <w:noWrap/>
            <w:vAlign w:val="center"/>
            <w:hideMark/>
          </w:tcPr>
          <w:p w14:paraId="52C2911D"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52" w:type="dxa"/>
            <w:tcBorders>
              <w:top w:val="nil"/>
              <w:left w:val="nil"/>
              <w:bottom w:val="nil"/>
              <w:right w:val="nil"/>
            </w:tcBorders>
            <w:shd w:val="clear" w:color="auto" w:fill="auto"/>
            <w:noWrap/>
            <w:vAlign w:val="center"/>
            <w:hideMark/>
          </w:tcPr>
          <w:p w14:paraId="0D45F6FB"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10DF1AD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2.2</w:t>
      </w:r>
      <w:r w:rsidRPr="00F56356">
        <w:rPr>
          <w:rFonts w:ascii="Times New Roman" w:eastAsia="Times New Roman" w:hAnsi="Times New Roman" w:cs="Times New Roman"/>
          <w:color w:val="000000" w:themeColor="text1"/>
          <w:sz w:val="24"/>
          <w:szCs w:val="24"/>
          <w:lang w:eastAsia="it-IT"/>
        </w:rPr>
        <w:t xml:space="preserve"> Le risorse impegnate di euro 434.943,44 sono state destinate per euro 130.504,85 al funzionamento e per euro </w:t>
      </w:r>
      <w:bookmarkStart w:id="41" w:name="_Hlk128732772"/>
      <w:r w:rsidRPr="00F56356">
        <w:rPr>
          <w:rFonts w:ascii="Times New Roman" w:eastAsia="Times New Roman" w:hAnsi="Times New Roman" w:cs="Times New Roman"/>
          <w:color w:val="000000" w:themeColor="text1"/>
          <w:sz w:val="24"/>
          <w:szCs w:val="24"/>
          <w:lang w:eastAsia="it-IT"/>
        </w:rPr>
        <w:t xml:space="preserve">304.438,59 </w:t>
      </w:r>
      <w:bookmarkEnd w:id="41"/>
      <w:r w:rsidRPr="00F56356">
        <w:rPr>
          <w:rFonts w:ascii="Times New Roman" w:eastAsia="Times New Roman" w:hAnsi="Times New Roman" w:cs="Times New Roman"/>
          <w:color w:val="000000" w:themeColor="text1"/>
          <w:sz w:val="24"/>
          <w:szCs w:val="24"/>
          <w:lang w:eastAsia="it-IT"/>
        </w:rPr>
        <w:t>agli interventi.</w:t>
      </w:r>
    </w:p>
    <w:p w14:paraId="5A14485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b/>
          <w:color w:val="FF0000"/>
          <w:szCs w:val="24"/>
          <w:lang w:eastAsia="it-IT"/>
        </w:rPr>
      </w:pPr>
    </w:p>
    <w:p w14:paraId="57284D4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130.504,85 sono state destinate alle missioni in territorio nazionale ed estero (cap. 306) riferite all’attività di coordinamento nelle fasi di predisposizione della normativa dell’Unione europea, a spese di rappresentanza (cap. 324), all’acquisto di giornali (cap. 341) e alle spese di funzionamento della Struttura di missione atta a prevenire l’insorgere del contenzioso e a rafforzare il coordinamento delle attività volte alla risoluzione delle procedure d’infrazione (cap. 334). </w:t>
      </w:r>
    </w:p>
    <w:p w14:paraId="402A9469"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FF0000"/>
          <w:sz w:val="24"/>
          <w:szCs w:val="24"/>
          <w:lang w:eastAsia="it-IT"/>
        </w:rPr>
        <w:t xml:space="preserve">    </w:t>
      </w:r>
    </w:p>
    <w:p w14:paraId="3C8C4946" w14:textId="77777777" w:rsidR="00F56356" w:rsidRPr="00F56356" w:rsidRDefault="00F56356" w:rsidP="00F56356">
      <w:pPr>
        <w:tabs>
          <w:tab w:val="left" w:pos="0"/>
        </w:tabs>
        <w:spacing w:after="0" w:line="360" w:lineRule="auto"/>
        <w:jc w:val="both"/>
        <w:rPr>
          <w:rFonts w:ascii="Times New Roman" w:eastAsia="Times New Roman" w:hAnsi="Times New Roman" w:cs="Times New Roman"/>
          <w:color w:val="FF0000"/>
          <w:sz w:val="8"/>
          <w:szCs w:val="24"/>
          <w:lang w:eastAsia="it-IT"/>
        </w:rPr>
      </w:pPr>
      <w:r w:rsidRPr="00F56356">
        <w:rPr>
          <w:rFonts w:ascii="Times New Roman" w:eastAsia="Times New Roman" w:hAnsi="Times New Roman" w:cs="Times New Roman"/>
          <w:color w:val="FF0000"/>
          <w:sz w:val="24"/>
          <w:szCs w:val="24"/>
          <w:lang w:eastAsia="it-IT"/>
        </w:rPr>
        <w:t xml:space="preserve">                                                </w:t>
      </w:r>
    </w:p>
    <w:p w14:paraId="6CE3E70E"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82816" behindDoc="1" locked="0" layoutInCell="1" allowOverlap="1" wp14:anchorId="18E7EE20" wp14:editId="14A70FDA">
            <wp:simplePos x="0" y="0"/>
            <wp:positionH relativeFrom="margin">
              <wp:align>right</wp:align>
            </wp:positionH>
            <wp:positionV relativeFrom="paragraph">
              <wp:posOffset>267335</wp:posOffset>
            </wp:positionV>
            <wp:extent cx="5953125" cy="1882775"/>
            <wp:effectExtent l="0" t="0" r="9525" b="3175"/>
            <wp:wrapTight wrapText="bothSides">
              <wp:wrapPolygon edited="0">
                <wp:start x="0" y="0"/>
                <wp:lineTo x="0" y="21418"/>
                <wp:lineTo x="11681" y="21418"/>
                <wp:lineTo x="16381" y="20981"/>
                <wp:lineTo x="21565" y="19232"/>
                <wp:lineTo x="21565" y="0"/>
                <wp:lineTo x="0" y="0"/>
              </wp:wrapPolygon>
            </wp:wrapTight>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53125" cy="188277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7E24021D" w14:textId="77777777" w:rsidR="00F56356" w:rsidRPr="00F56356" w:rsidRDefault="00F56356" w:rsidP="00F56356">
      <w:pPr>
        <w:tabs>
          <w:tab w:val="left" w:pos="284"/>
        </w:tabs>
        <w:spacing w:after="0" w:line="360" w:lineRule="auto"/>
        <w:ind w:left="142"/>
        <w:jc w:val="center"/>
        <w:rPr>
          <w:rFonts w:ascii="Times New Roman" w:eastAsia="Times New Roman" w:hAnsi="Times New Roman" w:cs="Times New Roman"/>
          <w:b/>
          <w:color w:val="000000" w:themeColor="text1"/>
          <w:sz w:val="10"/>
          <w:szCs w:val="24"/>
          <w:lang w:eastAsia="it-IT"/>
        </w:rPr>
      </w:pPr>
    </w:p>
    <w:p w14:paraId="46720074" w14:textId="77777777" w:rsidR="00F56356" w:rsidRPr="00F56356" w:rsidRDefault="00F56356" w:rsidP="00F56356">
      <w:pPr>
        <w:tabs>
          <w:tab w:val="left" w:pos="284"/>
        </w:tabs>
        <w:spacing w:after="0" w:line="240" w:lineRule="auto"/>
        <w:ind w:left="284" w:right="140"/>
        <w:jc w:val="both"/>
        <w:rPr>
          <w:rFonts w:ascii="Times New Roman" w:eastAsia="Times New Roman" w:hAnsi="Times New Roman" w:cs="Times New Roman"/>
          <w:i/>
          <w:color w:val="000000" w:themeColor="text1"/>
          <w:sz w:val="16"/>
          <w:szCs w:val="16"/>
          <w:lang w:eastAsia="it-IT"/>
        </w:rPr>
      </w:pPr>
    </w:p>
    <w:p w14:paraId="1E884DF7" w14:textId="77777777" w:rsidR="00F56356" w:rsidRPr="00F56356" w:rsidRDefault="00F56356" w:rsidP="00F56356">
      <w:pPr>
        <w:tabs>
          <w:tab w:val="left" w:pos="284"/>
        </w:tabs>
        <w:spacing w:after="0" w:line="240" w:lineRule="auto"/>
        <w:ind w:left="284" w:right="140"/>
        <w:jc w:val="both"/>
        <w:rPr>
          <w:rFonts w:ascii="Times New Roman" w:eastAsia="Times New Roman" w:hAnsi="Times New Roman" w:cs="Times New Roman"/>
          <w:b/>
          <w:i/>
          <w:color w:val="000000" w:themeColor="text1"/>
          <w:sz w:val="16"/>
          <w:szCs w:val="16"/>
          <w:lang w:eastAsia="it-IT"/>
        </w:rPr>
      </w:pPr>
      <w:r w:rsidRPr="00F56356">
        <w:rPr>
          <w:rFonts w:ascii="Times New Roman" w:eastAsia="Times New Roman" w:hAnsi="Times New Roman" w:cs="Times New Roman"/>
          <w:i/>
          <w:color w:val="000000" w:themeColor="text1"/>
          <w:sz w:val="16"/>
          <w:szCs w:val="16"/>
          <w:lang w:eastAsia="it-IT"/>
        </w:rPr>
        <w:t>(*)</w:t>
      </w:r>
      <w:r w:rsidRPr="00F56356">
        <w:rPr>
          <w:rFonts w:ascii="Times New Roman" w:eastAsia="Times New Roman" w:hAnsi="Times New Roman" w:cs="Times New Roman"/>
          <w:b/>
          <w:i/>
          <w:color w:val="000000" w:themeColor="text1"/>
          <w:sz w:val="16"/>
          <w:szCs w:val="16"/>
          <w:lang w:eastAsia="it-IT"/>
        </w:rPr>
        <w:t xml:space="preserve"> </w:t>
      </w:r>
      <w:r w:rsidRPr="00F56356">
        <w:rPr>
          <w:rFonts w:ascii="Times New Roman" w:eastAsia="Times New Roman" w:hAnsi="Times New Roman" w:cs="Times New Roman"/>
          <w:i/>
          <w:color w:val="000000" w:themeColor="text1"/>
          <w:sz w:val="16"/>
          <w:szCs w:val="16"/>
          <w:lang w:eastAsia="it-IT"/>
        </w:rPr>
        <w:t>Le risorse stanziate per il personale (cap.336) e per gli esperti (cap.334 pg2) assegnate alla “Struttura di missione atta a prevenire l’insorgere del contenzioso e a rafforzare il coordinamento delle attività volte alla risoluzione delle procedure d’infrazione” sono state trasferite sui pertinenti capitoli di spesa 124 e 125, iscritti nel CR 1 “Segretariato generale”, per la gestione in forma accentrata da parte del Dipartimento per il personale.</w:t>
      </w:r>
    </w:p>
    <w:p w14:paraId="6E23BED1" w14:textId="77777777" w:rsidR="00F56356" w:rsidRPr="00F56356" w:rsidRDefault="00F56356" w:rsidP="00F56356">
      <w:pPr>
        <w:tabs>
          <w:tab w:val="left" w:pos="0"/>
        </w:tabs>
        <w:spacing w:after="0" w:line="360" w:lineRule="auto"/>
        <w:jc w:val="both"/>
        <w:rPr>
          <w:rFonts w:ascii="Times New Roman" w:eastAsia="Times New Roman" w:hAnsi="Times New Roman" w:cs="Times New Roman"/>
          <w:b/>
          <w:i/>
          <w:color w:val="000000" w:themeColor="text1"/>
          <w:sz w:val="24"/>
          <w:szCs w:val="24"/>
          <w:lang w:eastAsia="it-IT"/>
        </w:rPr>
      </w:pPr>
    </w:p>
    <w:p w14:paraId="6C5C39B4"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6"/>
          <w:szCs w:val="24"/>
          <w:lang w:eastAsia="it-IT"/>
        </w:rPr>
      </w:pPr>
    </w:p>
    <w:p w14:paraId="291EB03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304.438,59 sono state destinate: </w:t>
      </w:r>
    </w:p>
    <w:p w14:paraId="195C0C1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per interventi volti alla diffusione della normativa, delle opportunità e degli strumenti dell’Unione europea per i cittadini, in accordo con le altre amministrazioni centrali e periferiche nonché con enti privati” </w:t>
      </w:r>
      <w:r w:rsidRPr="00F56356">
        <w:rPr>
          <w:rFonts w:ascii="Times New Roman" w:eastAsia="Times New Roman" w:hAnsi="Times New Roman" w:cs="Times New Roman"/>
          <w:color w:val="000000" w:themeColor="text1"/>
          <w:sz w:val="24"/>
          <w:szCs w:val="24"/>
          <w:lang w:eastAsia="it-IT"/>
        </w:rPr>
        <w:t>(cap. 342)</w:t>
      </w:r>
    </w:p>
    <w:p w14:paraId="7B49D3A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70.341,53, di cui:</w:t>
      </w:r>
    </w:p>
    <w:p w14:paraId="5A4AB2E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34.602,00 all’organizzazione di eventi per favorire la conoscenza, da parte della cittadinanza, delle politiche e dei grandi temi dell’Unione europea. Specificamente, alla realizzazione  di iniziative formative volte a migliorare la consapevolezza dei valori e delle opportunità derivanti dall’appartenenza all’Unione europea,</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nonché a promuovere l’accesso alle politiche, ai programmi e alle normative dell’Unione europea, alle mostre dal titolo “L’Italia in Europa, l’Europa in Italia” e “</w:t>
      </w:r>
      <w:proofErr w:type="spellStart"/>
      <w:r w:rsidRPr="00F56356">
        <w:rPr>
          <w:rFonts w:ascii="Times New Roman" w:eastAsia="Times New Roman" w:hAnsi="Times New Roman" w:cs="Times New Roman"/>
          <w:color w:val="000000" w:themeColor="text1"/>
          <w:sz w:val="24"/>
          <w:szCs w:val="24"/>
          <w:lang w:eastAsia="it-IT"/>
        </w:rPr>
        <w:t>Ever</w:t>
      </w:r>
      <w:proofErr w:type="spellEnd"/>
      <w:r w:rsidRPr="00F56356">
        <w:rPr>
          <w:rFonts w:ascii="Times New Roman" w:eastAsia="Times New Roman" w:hAnsi="Times New Roman" w:cs="Times New Roman"/>
          <w:color w:val="000000" w:themeColor="text1"/>
          <w:sz w:val="24"/>
          <w:szCs w:val="24"/>
          <w:lang w:eastAsia="it-IT"/>
        </w:rPr>
        <w:t xml:space="preserve"> </w:t>
      </w:r>
      <w:proofErr w:type="spellStart"/>
      <w:r w:rsidRPr="00F56356">
        <w:rPr>
          <w:rFonts w:ascii="Times New Roman" w:eastAsia="Times New Roman" w:hAnsi="Times New Roman" w:cs="Times New Roman"/>
          <w:color w:val="000000" w:themeColor="text1"/>
          <w:sz w:val="24"/>
          <w:szCs w:val="24"/>
          <w:lang w:eastAsia="it-IT"/>
        </w:rPr>
        <w:t>Closer</w:t>
      </w:r>
      <w:proofErr w:type="spellEnd"/>
      <w:r w:rsidRPr="00F56356">
        <w:rPr>
          <w:rFonts w:ascii="Times New Roman" w:eastAsia="Times New Roman" w:hAnsi="Times New Roman" w:cs="Times New Roman"/>
          <w:color w:val="000000" w:themeColor="text1"/>
          <w:sz w:val="24"/>
          <w:szCs w:val="24"/>
          <w:lang w:eastAsia="it-IT"/>
        </w:rPr>
        <w:t xml:space="preserve"> Union” in un “</w:t>
      </w:r>
      <w:proofErr w:type="spellStart"/>
      <w:r w:rsidRPr="00F56356">
        <w:rPr>
          <w:rFonts w:ascii="Times New Roman" w:eastAsia="Times New Roman" w:hAnsi="Times New Roman" w:cs="Times New Roman"/>
          <w:color w:val="000000" w:themeColor="text1"/>
          <w:sz w:val="24"/>
          <w:szCs w:val="24"/>
          <w:lang w:eastAsia="it-IT"/>
        </w:rPr>
        <w:t>virtual</w:t>
      </w:r>
      <w:proofErr w:type="spellEnd"/>
      <w:r w:rsidRPr="00F56356">
        <w:rPr>
          <w:rFonts w:ascii="Times New Roman" w:eastAsia="Times New Roman" w:hAnsi="Times New Roman" w:cs="Times New Roman"/>
          <w:color w:val="000000" w:themeColor="text1"/>
          <w:sz w:val="24"/>
          <w:szCs w:val="24"/>
          <w:lang w:eastAsia="it-IT"/>
        </w:rPr>
        <w:t xml:space="preserve"> tour” per la fruizione on-line, all’attività didattico informativa tramite la piattaforma multimediale Europa=Noi per la formazione degli insegnanti nelle materie europee;</w:t>
      </w:r>
    </w:p>
    <w:p w14:paraId="7EBED32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27.769,53 all’organizzazione della Sessione plenaria autunnale del Club di Venezia, organismo informale che riunisce i responsabili della comunicazione istituzionale degli Stati dell’UE. Lo Stato italiano vi ha partecipato attraverso il Dipartimento per le politiche europee, individuato come più idoneo per l’organizzazione dell’evento, in compartecipazione con la Commissione Europea, il Parlamento Europeo e il Consiglio dell’Unione europea, il Palazzo Franchetti, gestito dalla Venezia Iniziative Culturali;</w:t>
      </w:r>
    </w:p>
    <w:p w14:paraId="79B8AEE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2.970,00 ad attività di gestione del sito web multilingue del Dipartimento; </w:t>
      </w:r>
    </w:p>
    <w:p w14:paraId="3D1AC56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5.000,00 alla stipula di accordi con altre Amministrazioni al fine di incentivare l’eccellenza scolastica mediante la corresponsione di premi di studio da assegnare ai 5 migliori studenti laureati di nazionalità italiana nei corsi presso il Collegio d’Europa; </w:t>
      </w:r>
    </w:p>
    <w:p w14:paraId="4715145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Somme destinate a finanziare le iniziative connesse all’organizzazione di attività ed eventi finalizzati alla partecipazione dell’Italia alla conferenza sul futuro dell’Europa”</w:t>
      </w:r>
      <w:r w:rsidRPr="00F56356">
        <w:rPr>
          <w:rFonts w:ascii="Times New Roman" w:eastAsia="Times New Roman" w:hAnsi="Times New Roman" w:cs="Times New Roman"/>
          <w:color w:val="000000" w:themeColor="text1"/>
          <w:sz w:val="24"/>
          <w:szCs w:val="24"/>
          <w:lang w:eastAsia="it-IT"/>
        </w:rPr>
        <w:t xml:space="preserve"> (cap. 343)</w:t>
      </w:r>
    </w:p>
    <w:p w14:paraId="0EBAC98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234.097,06, in particolare:</w:t>
      </w:r>
    </w:p>
    <w:p w14:paraId="2ED19A5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4.457,80 ad attività di impulso alla concreta attuazione della partecipazione italiana alla Conferenza sul futuro dell’Europa tramite il Comitato scientifico per il futuro dell’Europa; </w:t>
      </w:r>
    </w:p>
    <w:p w14:paraId="3A1B60E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36.113,22 ad attività di comunicazione istituzionale; </w:t>
      </w:r>
    </w:p>
    <w:p w14:paraId="4760B76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135.726,04 ad attività volte a stimolare delle riflessioni sull’idea di Unione europea, per analizzare in maniera propositiva il suo futuro partendo anche dal suo passato, al fine di dare una concreta attuazione alla partecipazione dell’Italia alla Conferenza sul futuro dell’Europa; </w:t>
      </w:r>
    </w:p>
    <w:p w14:paraId="646913E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57.800,00 alla stipula di accordi con altre Amministrazioni al fine di stimolare una riflessione sull’idea di Unione europea rivolto sia alle Istituzioni appartenenti al sistema italiano della formazione superiore statali e non statali legalmente riconosciute che agli studenti delle scuole secondarie di secondo grado. </w:t>
      </w:r>
    </w:p>
    <w:p w14:paraId="2E2D802D"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12"/>
          <w:szCs w:val="24"/>
          <w:lang w:eastAsia="it-IT"/>
        </w:rPr>
      </w:pPr>
    </w:p>
    <w:p w14:paraId="229B1079"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31D3A86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b/>
          <w:color w:val="000000" w:themeColor="text1"/>
          <w:sz w:val="10"/>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83840" behindDoc="1" locked="0" layoutInCell="1" allowOverlap="1" wp14:anchorId="6817E9F2" wp14:editId="7876DB40">
            <wp:simplePos x="0" y="0"/>
            <wp:positionH relativeFrom="column">
              <wp:posOffset>184785</wp:posOffset>
            </wp:positionH>
            <wp:positionV relativeFrom="paragraph">
              <wp:posOffset>106680</wp:posOffset>
            </wp:positionV>
            <wp:extent cx="5972175" cy="1292225"/>
            <wp:effectExtent l="0" t="0" r="9525" b="3175"/>
            <wp:wrapTight wrapText="bothSides">
              <wp:wrapPolygon edited="0">
                <wp:start x="0" y="0"/>
                <wp:lineTo x="0" y="21335"/>
                <wp:lineTo x="11713" y="21335"/>
                <wp:lineTo x="16949" y="20379"/>
                <wp:lineTo x="21566" y="18150"/>
                <wp:lineTo x="21566" y="0"/>
                <wp:lineTo x="0" y="0"/>
              </wp:wrapPolygon>
            </wp:wrapTight>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2175" cy="1292225"/>
                    </a:xfrm>
                    <a:prstGeom prst="rect">
                      <a:avLst/>
                    </a:prstGeom>
                    <a:noFill/>
                    <a:ln>
                      <a:noFill/>
                    </a:ln>
                  </pic:spPr>
                </pic:pic>
              </a:graphicData>
            </a:graphic>
            <wp14:sizeRelH relativeFrom="margin">
              <wp14:pctWidth>0</wp14:pctWidth>
            </wp14:sizeRelH>
          </wp:anchor>
        </w:drawing>
      </w:r>
    </w:p>
    <w:p w14:paraId="1FF15FD3" w14:textId="77777777" w:rsidR="00F56356" w:rsidRPr="00F56356" w:rsidRDefault="00F56356"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p>
    <w:p w14:paraId="09F5EFA8" w14:textId="2F315C34" w:rsidR="00F56356" w:rsidRDefault="00F56356" w:rsidP="00F56356">
      <w:pPr>
        <w:spacing w:after="0" w:line="360" w:lineRule="auto"/>
        <w:ind w:left="284"/>
        <w:contextualSpacing/>
        <w:jc w:val="both"/>
        <w:rPr>
          <w:rFonts w:ascii="Times New Roman" w:eastAsia="Times New Roman" w:hAnsi="Times New Roman" w:cs="Times New Roman"/>
          <w:color w:val="000000" w:themeColor="text1"/>
          <w:sz w:val="24"/>
          <w:szCs w:val="24"/>
        </w:rPr>
      </w:pPr>
    </w:p>
    <w:p w14:paraId="13AAF89B" w14:textId="21101140" w:rsidR="004912FA" w:rsidRDefault="004912FA" w:rsidP="00F56356">
      <w:pPr>
        <w:spacing w:after="0" w:line="360" w:lineRule="auto"/>
        <w:ind w:left="284"/>
        <w:contextualSpacing/>
        <w:jc w:val="both"/>
        <w:rPr>
          <w:rFonts w:ascii="Times New Roman" w:eastAsia="Times New Roman" w:hAnsi="Times New Roman" w:cs="Times New Roman"/>
          <w:color w:val="000000" w:themeColor="text1"/>
          <w:sz w:val="24"/>
          <w:szCs w:val="24"/>
        </w:rPr>
      </w:pPr>
    </w:p>
    <w:p w14:paraId="00728DE9" w14:textId="77777777" w:rsidR="004912FA" w:rsidRPr="00F56356" w:rsidRDefault="004912FA" w:rsidP="00F56356">
      <w:pPr>
        <w:spacing w:after="0" w:line="360" w:lineRule="auto"/>
        <w:ind w:left="284"/>
        <w:contextualSpacing/>
        <w:jc w:val="both"/>
        <w:rPr>
          <w:rFonts w:ascii="Times New Roman" w:eastAsia="Times New Roman" w:hAnsi="Times New Roman" w:cs="Times New Roman"/>
          <w:color w:val="000000" w:themeColor="text1"/>
          <w:sz w:val="24"/>
          <w:szCs w:val="24"/>
        </w:rPr>
      </w:pPr>
    </w:p>
    <w:p w14:paraId="3AF7B6E1" w14:textId="77777777" w:rsidR="00F56356" w:rsidRPr="00F56356" w:rsidRDefault="00F56356" w:rsidP="00F56356">
      <w:pPr>
        <w:spacing w:after="0" w:line="360" w:lineRule="auto"/>
        <w:ind w:left="284"/>
        <w:contextualSpacing/>
        <w:jc w:val="both"/>
        <w:rPr>
          <w:rFonts w:ascii="Times New Roman" w:eastAsia="Times New Roman" w:hAnsi="Times New Roman" w:cs="Times New Roman"/>
          <w:color w:val="000000" w:themeColor="text1"/>
          <w:sz w:val="24"/>
          <w:szCs w:val="24"/>
        </w:rPr>
      </w:pPr>
    </w:p>
    <w:p w14:paraId="4C2FAE14" w14:textId="77777777" w:rsidR="00F56356" w:rsidRPr="00F56356" w:rsidRDefault="00F56356" w:rsidP="00F56356">
      <w:pPr>
        <w:spacing w:after="0" w:line="360" w:lineRule="auto"/>
        <w:ind w:left="284"/>
        <w:contextualSpacing/>
        <w:jc w:val="both"/>
        <w:rPr>
          <w:rFonts w:ascii="Times New Roman" w:eastAsia="Times New Roman" w:hAnsi="Times New Roman" w:cs="Times New Roman"/>
          <w:color w:val="FF0000"/>
          <w:sz w:val="24"/>
          <w:szCs w:val="24"/>
        </w:rPr>
      </w:pPr>
      <w:r w:rsidRPr="00F56356">
        <w:rPr>
          <w:rFonts w:ascii="Times New Roman" w:eastAsia="Times New Roman" w:hAnsi="Times New Roman" w:cs="Times New Roman"/>
          <w:color w:val="000000" w:themeColor="text1"/>
          <w:sz w:val="24"/>
          <w:szCs w:val="24"/>
        </w:rPr>
        <w:lastRenderedPageBreak/>
        <w:t>Gli scostamenti tra gli indicatori di bilancio attesi e realizzati, sono stati determinati:</w:t>
      </w:r>
    </w:p>
    <w:p w14:paraId="5C361506" w14:textId="77777777" w:rsidR="00F56356" w:rsidRPr="00F56356" w:rsidRDefault="00F56356" w:rsidP="00F56356">
      <w:pPr>
        <w:spacing w:after="0" w:line="360" w:lineRule="auto"/>
        <w:ind w:left="284"/>
        <w:contextualSpacing/>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rPr>
        <w:t>a)  per i capitoli relativi alle spese di funzionamento del Dipartimento e della Struttura di missione, dal protrarsi delle restrizioni dovute alla pandemia da Covid-19.</w:t>
      </w:r>
    </w:p>
    <w:p w14:paraId="21D16644" w14:textId="77777777" w:rsidR="00F56356" w:rsidRPr="00F56356" w:rsidRDefault="00F56356"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94D056F" w14:textId="77777777" w:rsidR="00F56356" w:rsidRPr="00F56356" w:rsidRDefault="00F56356"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2020-2022:</w:t>
      </w:r>
    </w:p>
    <w:p w14:paraId="1AD65F26"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FF0000"/>
          <w:sz w:val="24"/>
          <w:szCs w:val="24"/>
          <w:lang w:eastAsia="it-IT"/>
        </w:rPr>
      </w:pPr>
    </w:p>
    <w:p w14:paraId="2D0CF6F8"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02C62D80" wp14:editId="07CC35BC">
            <wp:extent cx="3332607" cy="325577"/>
            <wp:effectExtent l="0" t="0" r="127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37448" cy="335819"/>
                    </a:xfrm>
                    <a:prstGeom prst="rect">
                      <a:avLst/>
                    </a:prstGeom>
                    <a:noFill/>
                    <a:ln>
                      <a:noFill/>
                    </a:ln>
                  </pic:spPr>
                </pic:pic>
              </a:graphicData>
            </a:graphic>
          </wp:inline>
        </w:drawing>
      </w:r>
    </w:p>
    <w:p w14:paraId="656B4A7A"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color w:val="FF0000"/>
          <w:sz w:val="24"/>
          <w:szCs w:val="24"/>
          <w:lang w:eastAsia="it-IT"/>
        </w:rPr>
        <w:drawing>
          <wp:inline distT="0" distB="0" distL="0" distR="0" wp14:anchorId="4036238C" wp14:editId="77FE8FCF">
            <wp:extent cx="3393243" cy="1857248"/>
            <wp:effectExtent l="0" t="0" r="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25526" cy="1874918"/>
                    </a:xfrm>
                    <a:prstGeom prst="rect">
                      <a:avLst/>
                    </a:prstGeom>
                    <a:noFill/>
                  </pic:spPr>
                </pic:pic>
              </a:graphicData>
            </a:graphic>
          </wp:inline>
        </w:drawing>
      </w:r>
    </w:p>
    <w:p w14:paraId="601527F9" w14:textId="77777777" w:rsidR="00F56356" w:rsidRPr="00F56356" w:rsidRDefault="00F56356" w:rsidP="00F56356">
      <w:pPr>
        <w:spacing w:after="120" w:line="360" w:lineRule="auto"/>
        <w:ind w:left="284"/>
        <w:jc w:val="center"/>
        <w:rPr>
          <w:rFonts w:ascii="Times New Roman" w:eastAsia="Times New Roman" w:hAnsi="Times New Roman" w:cs="Times New Roman"/>
          <w:color w:val="000000" w:themeColor="text1"/>
          <w:sz w:val="24"/>
          <w:szCs w:val="24"/>
          <w:lang w:eastAsia="it-IT"/>
        </w:rPr>
      </w:pPr>
    </w:p>
    <w:p w14:paraId="26AB6CC0"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highlight w:val="yellow"/>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84864" behindDoc="1" locked="0" layoutInCell="1" allowOverlap="1" wp14:anchorId="7BDFE092" wp14:editId="56B7424A">
            <wp:simplePos x="0" y="0"/>
            <wp:positionH relativeFrom="column">
              <wp:posOffset>184785</wp:posOffset>
            </wp:positionH>
            <wp:positionV relativeFrom="paragraph">
              <wp:posOffset>605155</wp:posOffset>
            </wp:positionV>
            <wp:extent cx="5934075" cy="2930525"/>
            <wp:effectExtent l="0" t="0" r="9525" b="3175"/>
            <wp:wrapTight wrapText="bothSides">
              <wp:wrapPolygon edited="0">
                <wp:start x="0" y="0"/>
                <wp:lineTo x="0" y="20360"/>
                <wp:lineTo x="624" y="21483"/>
                <wp:lineTo x="19624" y="21483"/>
                <wp:lineTo x="20525" y="21343"/>
                <wp:lineTo x="21565" y="20781"/>
                <wp:lineTo x="21565" y="20219"/>
                <wp:lineTo x="19624" y="17973"/>
                <wp:lineTo x="21565" y="16849"/>
                <wp:lineTo x="21565" y="16428"/>
                <wp:lineTo x="19624" y="15726"/>
                <wp:lineTo x="21565" y="13620"/>
                <wp:lineTo x="21565" y="13480"/>
                <wp:lineTo x="19624" y="13480"/>
                <wp:lineTo x="19624" y="11233"/>
                <wp:lineTo x="21565" y="9688"/>
                <wp:lineTo x="21565" y="9267"/>
                <wp:lineTo x="19624" y="8986"/>
                <wp:lineTo x="19624" y="6740"/>
                <wp:lineTo x="20941" y="6740"/>
                <wp:lineTo x="21565" y="6038"/>
                <wp:lineTo x="21565" y="0"/>
                <wp:lineTo x="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293052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Nella tabella sottostante è indicata la ripartizione delle risorse relative agli interventi per destinatari finali:</w:t>
      </w:r>
    </w:p>
    <w:p w14:paraId="1977CDCE"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41F1953"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81B558D"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BADD83E" w14:textId="45BAC5F6" w:rsid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9494F8D" w14:textId="7C7DA9B6" w:rsidR="004912FA" w:rsidRDefault="004912FA"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BE4B4FB" w14:textId="77777777" w:rsidR="004912FA" w:rsidRPr="00F56356" w:rsidRDefault="004912FA"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7D7B0D91" w14:textId="77777777" w:rsidTr="00F56356">
        <w:trPr>
          <w:trHeight w:val="510"/>
        </w:trPr>
        <w:tc>
          <w:tcPr>
            <w:tcW w:w="340" w:type="dxa"/>
            <w:tcBorders>
              <w:top w:val="nil"/>
              <w:left w:val="nil"/>
              <w:bottom w:val="nil"/>
              <w:right w:val="nil"/>
            </w:tcBorders>
            <w:shd w:val="clear" w:color="auto" w:fill="auto"/>
            <w:noWrap/>
            <w:vAlign w:val="bottom"/>
            <w:hideMark/>
          </w:tcPr>
          <w:p w14:paraId="474D8A1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70D0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39FF9783" w14:textId="77777777" w:rsidTr="00F56356">
        <w:trPr>
          <w:trHeight w:val="645"/>
        </w:trPr>
        <w:tc>
          <w:tcPr>
            <w:tcW w:w="340" w:type="dxa"/>
            <w:tcBorders>
              <w:top w:val="nil"/>
              <w:left w:val="nil"/>
              <w:bottom w:val="nil"/>
              <w:right w:val="nil"/>
            </w:tcBorders>
            <w:shd w:val="clear" w:color="auto" w:fill="auto"/>
            <w:noWrap/>
            <w:vAlign w:val="center"/>
            <w:hideMark/>
          </w:tcPr>
          <w:p w14:paraId="74C47FF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16D1B9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1C83E0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04922165" w14:textId="77777777" w:rsidTr="00F56356">
        <w:trPr>
          <w:trHeight w:val="405"/>
        </w:trPr>
        <w:tc>
          <w:tcPr>
            <w:tcW w:w="340" w:type="dxa"/>
            <w:tcBorders>
              <w:top w:val="nil"/>
              <w:left w:val="nil"/>
              <w:bottom w:val="nil"/>
              <w:right w:val="nil"/>
            </w:tcBorders>
            <w:shd w:val="clear" w:color="auto" w:fill="auto"/>
            <w:noWrap/>
            <w:vAlign w:val="center"/>
            <w:hideMark/>
          </w:tcPr>
          <w:p w14:paraId="1D644CB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BDEDC7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FBBD97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70E1666C" w14:textId="77777777" w:rsidTr="00F56356">
        <w:trPr>
          <w:trHeight w:val="405"/>
        </w:trPr>
        <w:tc>
          <w:tcPr>
            <w:tcW w:w="340" w:type="dxa"/>
            <w:tcBorders>
              <w:top w:val="nil"/>
              <w:left w:val="nil"/>
              <w:bottom w:val="nil"/>
              <w:right w:val="nil"/>
            </w:tcBorders>
            <w:shd w:val="clear" w:color="auto" w:fill="auto"/>
            <w:noWrap/>
            <w:vAlign w:val="center"/>
            <w:hideMark/>
          </w:tcPr>
          <w:p w14:paraId="7517C28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B8EC70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F7544E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4 - Politiche europee</w:t>
            </w:r>
          </w:p>
        </w:tc>
      </w:tr>
      <w:tr w:rsidR="00F56356" w:rsidRPr="00F56356" w14:paraId="1E3D39E6" w14:textId="77777777" w:rsidTr="00F56356">
        <w:trPr>
          <w:trHeight w:val="396"/>
        </w:trPr>
        <w:tc>
          <w:tcPr>
            <w:tcW w:w="340" w:type="dxa"/>
            <w:tcBorders>
              <w:top w:val="nil"/>
              <w:left w:val="nil"/>
              <w:bottom w:val="nil"/>
              <w:right w:val="nil"/>
            </w:tcBorders>
            <w:shd w:val="clear" w:color="auto" w:fill="auto"/>
            <w:noWrap/>
            <w:vAlign w:val="center"/>
            <w:hideMark/>
          </w:tcPr>
          <w:p w14:paraId="12233DE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0A02A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414D50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r>
      <w:tr w:rsidR="00F56356" w:rsidRPr="00F56356" w14:paraId="1C3C954A" w14:textId="77777777" w:rsidTr="00F56356">
        <w:trPr>
          <w:trHeight w:val="450"/>
        </w:trPr>
        <w:tc>
          <w:tcPr>
            <w:tcW w:w="340" w:type="dxa"/>
            <w:tcBorders>
              <w:top w:val="nil"/>
              <w:left w:val="nil"/>
              <w:bottom w:val="nil"/>
              <w:right w:val="nil"/>
            </w:tcBorders>
            <w:shd w:val="clear" w:color="auto" w:fill="auto"/>
            <w:noWrap/>
            <w:vAlign w:val="center"/>
            <w:hideMark/>
          </w:tcPr>
          <w:p w14:paraId="2DE2E38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4407E7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941CC0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r>
      <w:tr w:rsidR="00F56356" w:rsidRPr="00F56356" w14:paraId="348FC573" w14:textId="77777777" w:rsidTr="00F56356">
        <w:trPr>
          <w:trHeight w:val="805"/>
        </w:trPr>
        <w:tc>
          <w:tcPr>
            <w:tcW w:w="340" w:type="dxa"/>
            <w:tcBorders>
              <w:top w:val="nil"/>
              <w:left w:val="nil"/>
              <w:bottom w:val="nil"/>
              <w:right w:val="nil"/>
            </w:tcBorders>
            <w:shd w:val="clear" w:color="auto" w:fill="auto"/>
            <w:noWrap/>
            <w:vAlign w:val="center"/>
            <w:hideMark/>
          </w:tcPr>
          <w:p w14:paraId="5B37F79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21850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F8B04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Favorire il dibattito democratico sul futuro dell’Europa, la consapevolezza dei valori della cittadinanza europea e la conoscenza delle opportunità offerte dall’UE.</w:t>
            </w:r>
          </w:p>
        </w:tc>
      </w:tr>
      <w:tr w:rsidR="00F56356" w:rsidRPr="00F56356" w14:paraId="4C22FA6B" w14:textId="77777777" w:rsidTr="00F56356">
        <w:trPr>
          <w:trHeight w:val="1635"/>
        </w:trPr>
        <w:tc>
          <w:tcPr>
            <w:tcW w:w="340" w:type="dxa"/>
            <w:tcBorders>
              <w:top w:val="nil"/>
              <w:left w:val="nil"/>
              <w:bottom w:val="nil"/>
              <w:right w:val="nil"/>
            </w:tcBorders>
            <w:shd w:val="clear" w:color="auto" w:fill="auto"/>
            <w:noWrap/>
            <w:vAlign w:val="center"/>
            <w:hideMark/>
          </w:tcPr>
          <w:p w14:paraId="0A9699F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9D02E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8861D6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Promuovere tra i cittadini iniziative mirate ad alimentare il dibattito sul futuro dell’Europa e in grado di coinvolgere in particolare i giovani, attivando nuove iniziative/progetti e proseguendo quelli più efficaci già sperimentati, per contribuire a promuovere un’Unione più unita, più forte e più democratica, migliorando la conoscenza della sua storia e dei suoi valori, nonché dei temi europei di particolare rilievo nel contesto italiano.  </w:t>
            </w:r>
          </w:p>
        </w:tc>
      </w:tr>
      <w:tr w:rsidR="00F56356" w:rsidRPr="00F56356" w14:paraId="3CCA66CB" w14:textId="77777777" w:rsidTr="00F56356">
        <w:trPr>
          <w:trHeight w:val="525"/>
        </w:trPr>
        <w:tc>
          <w:tcPr>
            <w:tcW w:w="340" w:type="dxa"/>
            <w:tcBorders>
              <w:top w:val="nil"/>
              <w:left w:val="nil"/>
              <w:bottom w:val="nil"/>
              <w:right w:val="nil"/>
            </w:tcBorders>
            <w:shd w:val="clear" w:color="auto" w:fill="auto"/>
            <w:noWrap/>
            <w:vAlign w:val="bottom"/>
            <w:hideMark/>
          </w:tcPr>
          <w:p w14:paraId="74EDBA6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F14F1F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1933D9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 342 </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AF824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026D51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D195BF6" w14:textId="77777777" w:rsidTr="00F56356">
        <w:trPr>
          <w:trHeight w:val="1305"/>
        </w:trPr>
        <w:tc>
          <w:tcPr>
            <w:tcW w:w="340" w:type="dxa"/>
            <w:tcBorders>
              <w:top w:val="nil"/>
              <w:left w:val="nil"/>
              <w:bottom w:val="nil"/>
              <w:right w:val="nil"/>
            </w:tcBorders>
            <w:shd w:val="clear" w:color="auto" w:fill="auto"/>
            <w:noWrap/>
            <w:vAlign w:val="bottom"/>
            <w:hideMark/>
          </w:tcPr>
          <w:p w14:paraId="3BD6487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6A8064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706B3D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72DAF8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EB3638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2FED0C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49CDAE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086C3F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C418E08" w14:textId="77777777" w:rsidTr="00F56356">
        <w:trPr>
          <w:trHeight w:val="430"/>
        </w:trPr>
        <w:tc>
          <w:tcPr>
            <w:tcW w:w="340" w:type="dxa"/>
            <w:tcBorders>
              <w:top w:val="nil"/>
              <w:left w:val="nil"/>
              <w:bottom w:val="nil"/>
              <w:right w:val="nil"/>
            </w:tcBorders>
            <w:shd w:val="clear" w:color="auto" w:fill="auto"/>
            <w:noWrap/>
            <w:vAlign w:val="bottom"/>
            <w:hideMark/>
          </w:tcPr>
          <w:p w14:paraId="20E9B5C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0F02D4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904B76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4FDE63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99.750,00</w:t>
            </w:r>
          </w:p>
        </w:tc>
        <w:tc>
          <w:tcPr>
            <w:tcW w:w="1140" w:type="dxa"/>
            <w:tcBorders>
              <w:top w:val="nil"/>
              <w:left w:val="nil"/>
              <w:bottom w:val="single" w:sz="4" w:space="0" w:color="auto"/>
              <w:right w:val="single" w:sz="4" w:space="0" w:color="auto"/>
            </w:tcBorders>
            <w:shd w:val="clear" w:color="auto" w:fill="auto"/>
            <w:noWrap/>
            <w:vAlign w:val="center"/>
            <w:hideMark/>
          </w:tcPr>
          <w:p w14:paraId="3B76352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99.750,00</w:t>
            </w:r>
          </w:p>
        </w:tc>
        <w:tc>
          <w:tcPr>
            <w:tcW w:w="1180" w:type="dxa"/>
            <w:tcBorders>
              <w:top w:val="nil"/>
              <w:left w:val="nil"/>
              <w:bottom w:val="single" w:sz="4" w:space="0" w:color="auto"/>
              <w:right w:val="single" w:sz="4" w:space="0" w:color="auto"/>
            </w:tcBorders>
            <w:shd w:val="clear" w:color="auto" w:fill="auto"/>
            <w:noWrap/>
            <w:vAlign w:val="center"/>
            <w:hideMark/>
          </w:tcPr>
          <w:p w14:paraId="40E2239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45.993,47</w:t>
            </w:r>
          </w:p>
        </w:tc>
        <w:tc>
          <w:tcPr>
            <w:tcW w:w="1340" w:type="dxa"/>
            <w:tcBorders>
              <w:top w:val="nil"/>
              <w:left w:val="nil"/>
              <w:bottom w:val="single" w:sz="4" w:space="0" w:color="auto"/>
              <w:right w:val="single" w:sz="4" w:space="0" w:color="auto"/>
            </w:tcBorders>
            <w:shd w:val="clear" w:color="auto" w:fill="auto"/>
            <w:noWrap/>
            <w:vAlign w:val="center"/>
            <w:hideMark/>
          </w:tcPr>
          <w:p w14:paraId="3E7B119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24.348,06</w:t>
            </w:r>
          </w:p>
        </w:tc>
        <w:tc>
          <w:tcPr>
            <w:tcW w:w="1140" w:type="dxa"/>
            <w:tcBorders>
              <w:top w:val="nil"/>
              <w:left w:val="nil"/>
              <w:bottom w:val="single" w:sz="4" w:space="0" w:color="auto"/>
              <w:right w:val="single" w:sz="4" w:space="0" w:color="auto"/>
            </w:tcBorders>
            <w:shd w:val="clear" w:color="auto" w:fill="auto"/>
            <w:noWrap/>
            <w:vAlign w:val="center"/>
            <w:hideMark/>
          </w:tcPr>
          <w:p w14:paraId="125EDC9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70.341,53</w:t>
            </w:r>
          </w:p>
        </w:tc>
      </w:tr>
      <w:tr w:rsidR="00F56356" w:rsidRPr="00F56356" w14:paraId="29F25F0D" w14:textId="77777777" w:rsidTr="00F56356">
        <w:trPr>
          <w:trHeight w:val="330"/>
        </w:trPr>
        <w:tc>
          <w:tcPr>
            <w:tcW w:w="340" w:type="dxa"/>
            <w:tcBorders>
              <w:top w:val="nil"/>
              <w:left w:val="nil"/>
              <w:bottom w:val="nil"/>
              <w:right w:val="nil"/>
            </w:tcBorders>
            <w:shd w:val="clear" w:color="auto" w:fill="auto"/>
            <w:noWrap/>
            <w:vAlign w:val="bottom"/>
            <w:hideMark/>
          </w:tcPr>
          <w:p w14:paraId="59F2A87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D34C13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BE5C787"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92470B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605F5A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DAEC0B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42428A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A37CE4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2AA9170" w14:textId="77777777" w:rsidTr="00F56356">
        <w:trPr>
          <w:trHeight w:val="480"/>
        </w:trPr>
        <w:tc>
          <w:tcPr>
            <w:tcW w:w="340" w:type="dxa"/>
            <w:tcBorders>
              <w:top w:val="nil"/>
              <w:left w:val="nil"/>
              <w:bottom w:val="nil"/>
              <w:right w:val="nil"/>
            </w:tcBorders>
            <w:shd w:val="clear" w:color="auto" w:fill="auto"/>
            <w:noWrap/>
            <w:vAlign w:val="bottom"/>
            <w:hideMark/>
          </w:tcPr>
          <w:p w14:paraId="523551F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29614D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4FCCBA53" w14:textId="77777777" w:rsidTr="00F56356">
        <w:trPr>
          <w:trHeight w:val="540"/>
        </w:trPr>
        <w:tc>
          <w:tcPr>
            <w:tcW w:w="340" w:type="dxa"/>
            <w:tcBorders>
              <w:top w:val="nil"/>
              <w:left w:val="nil"/>
              <w:bottom w:val="nil"/>
              <w:right w:val="nil"/>
            </w:tcBorders>
            <w:shd w:val="clear" w:color="auto" w:fill="auto"/>
            <w:noWrap/>
            <w:vAlign w:val="bottom"/>
            <w:hideMark/>
          </w:tcPr>
          <w:p w14:paraId="549A4FE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EF81F1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41600784" w14:textId="77777777" w:rsidTr="00F56356">
        <w:trPr>
          <w:trHeight w:val="540"/>
        </w:trPr>
        <w:tc>
          <w:tcPr>
            <w:tcW w:w="340" w:type="dxa"/>
            <w:tcBorders>
              <w:top w:val="nil"/>
              <w:left w:val="nil"/>
              <w:bottom w:val="nil"/>
              <w:right w:val="nil"/>
            </w:tcBorders>
            <w:shd w:val="clear" w:color="auto" w:fill="auto"/>
            <w:noWrap/>
            <w:vAlign w:val="bottom"/>
            <w:hideMark/>
          </w:tcPr>
          <w:p w14:paraId="7C14D23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45D2C1C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(4) impegni rimasti da pagare in c/competenza al termine dell’esercizio.</w:t>
            </w:r>
          </w:p>
        </w:tc>
      </w:tr>
      <w:tr w:rsidR="00F56356" w:rsidRPr="00F56356" w14:paraId="4EF02D51" w14:textId="77777777" w:rsidTr="00F56356">
        <w:trPr>
          <w:trHeight w:val="480"/>
        </w:trPr>
        <w:tc>
          <w:tcPr>
            <w:tcW w:w="340" w:type="dxa"/>
            <w:tcBorders>
              <w:top w:val="nil"/>
              <w:left w:val="nil"/>
              <w:bottom w:val="nil"/>
              <w:right w:val="nil"/>
            </w:tcBorders>
            <w:shd w:val="clear" w:color="auto" w:fill="auto"/>
            <w:noWrap/>
            <w:vAlign w:val="bottom"/>
            <w:hideMark/>
          </w:tcPr>
          <w:p w14:paraId="1C0D3D3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1BD1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1BE79A2" w14:textId="77777777" w:rsidTr="00F56356">
        <w:trPr>
          <w:trHeight w:val="615"/>
        </w:trPr>
        <w:tc>
          <w:tcPr>
            <w:tcW w:w="340" w:type="dxa"/>
            <w:tcBorders>
              <w:top w:val="nil"/>
              <w:left w:val="nil"/>
              <w:bottom w:val="nil"/>
              <w:right w:val="nil"/>
            </w:tcBorders>
            <w:shd w:val="clear" w:color="auto" w:fill="auto"/>
            <w:noWrap/>
            <w:vAlign w:val="center"/>
            <w:hideMark/>
          </w:tcPr>
          <w:p w14:paraId="6F074FF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693CB3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EE8BD9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programmati</w:t>
            </w:r>
          </w:p>
        </w:tc>
      </w:tr>
      <w:tr w:rsidR="00F56356" w:rsidRPr="00F56356" w14:paraId="23B00F8E" w14:textId="77777777" w:rsidTr="00F56356">
        <w:trPr>
          <w:trHeight w:val="870"/>
        </w:trPr>
        <w:tc>
          <w:tcPr>
            <w:tcW w:w="340" w:type="dxa"/>
            <w:tcBorders>
              <w:top w:val="nil"/>
              <w:left w:val="nil"/>
              <w:bottom w:val="nil"/>
              <w:right w:val="nil"/>
            </w:tcBorders>
            <w:shd w:val="clear" w:color="auto" w:fill="auto"/>
            <w:noWrap/>
            <w:vAlign w:val="center"/>
            <w:hideMark/>
          </w:tcPr>
          <w:p w14:paraId="334D412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C92E0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1F80A4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Sistema di monitoraggio della Direttiva, Protocollo informatico, PEC, Posta elettronica, SICOGE </w:t>
            </w:r>
          </w:p>
        </w:tc>
      </w:tr>
      <w:tr w:rsidR="00F56356" w:rsidRPr="00F56356" w14:paraId="41C3E3C0" w14:textId="77777777" w:rsidTr="00F56356">
        <w:trPr>
          <w:trHeight w:val="1530"/>
        </w:trPr>
        <w:tc>
          <w:tcPr>
            <w:tcW w:w="340" w:type="dxa"/>
            <w:tcBorders>
              <w:top w:val="nil"/>
              <w:left w:val="nil"/>
              <w:bottom w:val="nil"/>
              <w:right w:val="nil"/>
            </w:tcBorders>
            <w:shd w:val="clear" w:color="auto" w:fill="auto"/>
            <w:noWrap/>
            <w:vAlign w:val="center"/>
            <w:hideMark/>
          </w:tcPr>
          <w:p w14:paraId="34517D6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4589F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47CB0B5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 di progetti/iniziative avviati /n. progetti / </w:t>
            </w:r>
            <w:proofErr w:type="gramStart"/>
            <w:r w:rsidRPr="00F56356">
              <w:rPr>
                <w:rFonts w:ascii="Times New Roman" w:eastAsia="Times New Roman" w:hAnsi="Times New Roman" w:cs="Times New Roman"/>
                <w:color w:val="000000"/>
                <w:sz w:val="20"/>
                <w:szCs w:val="20"/>
                <w:lang w:eastAsia="it-IT"/>
              </w:rPr>
              <w:t>iniziative  programmati</w:t>
            </w:r>
            <w:proofErr w:type="gramEnd"/>
            <w:r w:rsidRPr="00F56356">
              <w:rPr>
                <w:rFonts w:ascii="Times New Roman" w:eastAsia="Times New Roman" w:hAnsi="Times New Roman" w:cs="Times New Roman"/>
                <w:color w:val="000000"/>
                <w:sz w:val="20"/>
                <w:szCs w:val="20"/>
                <w:lang w:eastAsia="it-IT"/>
              </w:rPr>
              <w:t xml:space="preserve"> (sulla base della Direttiva annuale dell’Autorità politico-amm.va). </w:t>
            </w:r>
          </w:p>
        </w:tc>
        <w:tc>
          <w:tcPr>
            <w:tcW w:w="1180" w:type="dxa"/>
            <w:tcBorders>
              <w:top w:val="nil"/>
              <w:left w:val="nil"/>
              <w:bottom w:val="single" w:sz="4" w:space="0" w:color="auto"/>
              <w:right w:val="nil"/>
            </w:tcBorders>
            <w:shd w:val="clear" w:color="auto" w:fill="auto"/>
            <w:vAlign w:val="center"/>
            <w:hideMark/>
          </w:tcPr>
          <w:p w14:paraId="537E17E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7683EA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3873E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72799FF" w14:textId="77777777" w:rsidTr="00F56356">
        <w:trPr>
          <w:trHeight w:val="371"/>
        </w:trPr>
        <w:tc>
          <w:tcPr>
            <w:tcW w:w="340" w:type="dxa"/>
            <w:tcBorders>
              <w:top w:val="nil"/>
              <w:left w:val="nil"/>
              <w:bottom w:val="nil"/>
              <w:right w:val="nil"/>
            </w:tcBorders>
            <w:shd w:val="clear" w:color="auto" w:fill="auto"/>
            <w:noWrap/>
            <w:vAlign w:val="bottom"/>
            <w:hideMark/>
          </w:tcPr>
          <w:p w14:paraId="13050D6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3DEE0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854E3E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BB71B9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4AAB069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289D4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654B8B40"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C83F63A" w14:textId="77777777" w:rsidR="004912FA" w:rsidRDefault="004912FA" w:rsidP="00F56356">
      <w:pPr>
        <w:ind w:left="284"/>
        <w:rPr>
          <w:rFonts w:ascii="Times New Roman" w:eastAsiaTheme="minorEastAsia" w:hAnsi="Times New Roman" w:cs="Times New Roman"/>
          <w:b/>
          <w:sz w:val="24"/>
          <w:szCs w:val="24"/>
          <w:lang w:eastAsia="it-IT"/>
        </w:rPr>
      </w:pPr>
    </w:p>
    <w:p w14:paraId="1E29F842" w14:textId="100009C8" w:rsidR="00F56356" w:rsidRPr="00F56356" w:rsidRDefault="00F56356" w:rsidP="00F56356">
      <w:pPr>
        <w:ind w:left="284"/>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5 “Riforme istituzionali”</w:t>
      </w:r>
    </w:p>
    <w:p w14:paraId="4B25C5EE" w14:textId="77777777" w:rsidR="00F56356" w:rsidRPr="00F56356" w:rsidRDefault="00F56356" w:rsidP="00F56356">
      <w:pPr>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03272005" w14:textId="77777777" w:rsidR="00F56356" w:rsidRPr="00F56356" w:rsidRDefault="00F56356" w:rsidP="00F56356">
      <w:pPr>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bCs/>
          <w:sz w:val="24"/>
          <w:szCs w:val="24"/>
          <w:lang w:eastAsia="it-IT"/>
        </w:rPr>
        <w:t>Presidenza</w:t>
      </w:r>
      <w:r w:rsidRPr="00F56356">
        <w:rPr>
          <w:rFonts w:ascii="Times New Roman" w:eastAsiaTheme="minorEastAsia" w:hAnsi="Times New Roman" w:cs="Times New Roman"/>
          <w:sz w:val="24"/>
          <w:szCs w:val="24"/>
          <w:lang w:eastAsia="it-IT"/>
        </w:rPr>
        <w:t xml:space="preserve"> del Consiglio dei ministri </w:t>
      </w:r>
    </w:p>
    <w:p w14:paraId="0F040A27" w14:textId="77777777" w:rsidR="00F56356" w:rsidRPr="00F56356" w:rsidRDefault="00F56356" w:rsidP="00F56356">
      <w:pPr>
        <w:ind w:left="284"/>
        <w:jc w:val="both"/>
        <w:rPr>
          <w:rFonts w:ascii="Times New Roman" w:eastAsiaTheme="minorEastAsia" w:hAnsi="Times New Roman" w:cs="Times New Roman"/>
          <w:i/>
          <w:sz w:val="2"/>
          <w:szCs w:val="24"/>
          <w:lang w:eastAsia="it-IT"/>
        </w:rPr>
      </w:pPr>
    </w:p>
    <w:p w14:paraId="290645B3" w14:textId="77777777" w:rsidR="00F56356" w:rsidRPr="00F56356" w:rsidRDefault="00F56356" w:rsidP="00F56356">
      <w:pPr>
        <w:numPr>
          <w:ilvl w:val="0"/>
          <w:numId w:val="31"/>
        </w:numPr>
        <w:spacing w:after="0" w:line="240" w:lineRule="auto"/>
        <w:contextualSpacing/>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i/>
          <w:sz w:val="24"/>
          <w:szCs w:val="24"/>
          <w:lang w:eastAsia="it-IT"/>
        </w:rPr>
        <w:t>Mission</w:t>
      </w:r>
    </w:p>
    <w:p w14:paraId="70ACB21A" w14:textId="77777777" w:rsidR="00F56356" w:rsidRPr="00F56356" w:rsidRDefault="00F56356" w:rsidP="00F56356">
      <w:pPr>
        <w:spacing w:after="0"/>
        <w:ind w:left="284"/>
        <w:jc w:val="both"/>
        <w:rPr>
          <w:rFonts w:ascii="Times New Roman" w:eastAsiaTheme="minorEastAsia" w:hAnsi="Times New Roman" w:cs="Times New Roman"/>
          <w:i/>
          <w:sz w:val="12"/>
          <w:szCs w:val="24"/>
          <w:lang w:eastAsia="it-IT"/>
        </w:rPr>
      </w:pPr>
    </w:p>
    <w:p w14:paraId="2C3973A0"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Il Centro di responsabilità </w:t>
      </w:r>
      <w:r w:rsidRPr="00F56356">
        <w:rPr>
          <w:rFonts w:ascii="Times New Roman" w:eastAsiaTheme="minorEastAsia" w:hAnsi="Times New Roman" w:cs="Times New Roman"/>
          <w:sz w:val="24"/>
          <w:szCs w:val="24"/>
          <w:lang w:eastAsia="it-IT"/>
        </w:rPr>
        <w:t>5 “Riforme istituzionali” è la struttura che assicura al Presidente il supporto alle funzioni di coordinamento, di indirizzo, di promozione di iniziative, anche normative e ad ogni altra funzione attribuita, dalle vigenti disposizioni, al Presidente nell’area funzionale delle riforme istituzionali e federali. Cura le proposte ed effettua studi e ricerche in materia di riforme istituzionali ed elettorali. In particolare, si occupa di riforma degli organi costituzionali e di rilevanza costituzionale, nonché di riforme in materia di rappresentanza italiana al Parlamento europeo, di ordinamento delle autonomie territoriali, di federalismo fiscale, di conferimento di funzioni amministrative a comuni, province, città metropolitane e regioni, di forme e condizioni particolari di autonomia da parte delle regioni a statuto ordinario. Cura, in tali ambiti, i rapporti e il confronto con le sedi istituzionali e politiche nazionali e degli enti territoriali, nonché con gli organismi europei e internazionali competenti e assicura, inoltre, la verifica della coerenza delle diverse iniziative normative concernenti le riforme istituzionali.</w:t>
      </w:r>
    </w:p>
    <w:p w14:paraId="3315956C" w14:textId="77777777" w:rsidR="00F56356" w:rsidRPr="00F56356" w:rsidRDefault="00F56356" w:rsidP="00F56356">
      <w:pPr>
        <w:spacing w:after="0" w:line="360" w:lineRule="auto"/>
        <w:ind w:left="284"/>
        <w:jc w:val="both"/>
        <w:rPr>
          <w:rFonts w:ascii="Times New Roman" w:eastAsiaTheme="minorEastAsia" w:hAnsi="Times New Roman" w:cs="Times New Roman"/>
          <w:i/>
          <w:sz w:val="6"/>
          <w:szCs w:val="24"/>
          <w:lang w:eastAsia="it-IT"/>
        </w:rPr>
      </w:pPr>
    </w:p>
    <w:p w14:paraId="5E1210F9" w14:textId="77777777" w:rsidR="00F56356" w:rsidRPr="00F56356" w:rsidRDefault="00F56356" w:rsidP="00F56356">
      <w:pPr>
        <w:spacing w:after="0" w:line="360" w:lineRule="auto"/>
        <w:ind w:left="284"/>
        <w:jc w:val="both"/>
        <w:rPr>
          <w:rFonts w:ascii="Times New Roman" w:eastAsiaTheme="minorEastAsia" w:hAnsi="Times New Roman" w:cs="Times New Roman"/>
          <w:i/>
          <w:sz w:val="6"/>
          <w:szCs w:val="24"/>
          <w:lang w:eastAsia="it-IT"/>
        </w:rPr>
      </w:pPr>
    </w:p>
    <w:p w14:paraId="7621F7E5"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t xml:space="preserve">2. Ricostruzione flussi finanziari e aspetti rilevanti della gestione </w:t>
      </w:r>
    </w:p>
    <w:p w14:paraId="10300B6C"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b/>
          <w:sz w:val="2"/>
          <w:szCs w:val="24"/>
          <w:lang w:eastAsia="it-IT"/>
        </w:rPr>
      </w:pPr>
    </w:p>
    <w:p w14:paraId="1E32F232"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b/>
          <w:sz w:val="2"/>
          <w:szCs w:val="24"/>
          <w:lang w:eastAsia="it-IT"/>
        </w:rPr>
      </w:pPr>
    </w:p>
    <w:p w14:paraId="23823857"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2.1</w:t>
      </w:r>
      <w:r w:rsidRPr="00F56356">
        <w:rPr>
          <w:rFonts w:ascii="Times New Roman" w:eastAsiaTheme="minorEastAsia" w:hAnsi="Times New Roman" w:cs="Times New Roman"/>
          <w:sz w:val="24"/>
          <w:szCs w:val="24"/>
          <w:lang w:eastAsia="it-IT"/>
        </w:rPr>
        <w:t xml:space="preserve"> Le risorse complessivamente assegnate sono state pari a euro 77.824,00 e destinate interamente al funzionamento.  </w:t>
      </w:r>
    </w:p>
    <w:p w14:paraId="55B822B8"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Gli impegni assunti ammontano a euro 608,97, </w:t>
      </w:r>
      <w:r w:rsidRPr="00F56356">
        <w:rPr>
          <w:rFonts w:ascii="Times New Roman" w:eastAsiaTheme="minorEastAsia" w:hAnsi="Times New Roman" w:cs="Times New Roman"/>
          <w:color w:val="000000" w:themeColor="text1"/>
          <w:sz w:val="24"/>
          <w:szCs w:val="24"/>
          <w:lang w:eastAsia="it-IT"/>
        </w:rPr>
        <w:t>con un’economia di bilancio di euro 77.215,03. Il totale dei pagamenti riferiti alla competenza è di euro 606,97, con un indice di capacità di pagamento (rapporto pagato/impegnato) che si attesta al 99,67 per cento</w:t>
      </w:r>
      <w:r w:rsidRPr="00F56356">
        <w:rPr>
          <w:rFonts w:ascii="Times New Roman" w:eastAsiaTheme="minorEastAsia" w:hAnsi="Times New Roman" w:cs="Times New Roman"/>
          <w:sz w:val="24"/>
          <w:szCs w:val="24"/>
          <w:lang w:eastAsia="it-IT"/>
        </w:rPr>
        <w:t>.</w:t>
      </w:r>
    </w:p>
    <w:p w14:paraId="1418C0C4"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14A7E377"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07CE11EB"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07921501"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0A3C766C"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4C97C368"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75305321" w14:textId="77777777" w:rsidR="00F56356" w:rsidRPr="00F56356" w:rsidRDefault="00F56356" w:rsidP="00F56356">
      <w:pPr>
        <w:tabs>
          <w:tab w:val="left" w:pos="7513"/>
        </w:tabs>
        <w:spacing w:line="360" w:lineRule="auto"/>
        <w:ind w:left="284"/>
        <w:contextualSpacing/>
        <w:jc w:val="both"/>
        <w:rPr>
          <w:rFonts w:ascii="Times New Roman" w:eastAsiaTheme="minorEastAsia" w:hAnsi="Times New Roman" w:cs="Times New Roman"/>
          <w:sz w:val="24"/>
          <w:szCs w:val="24"/>
          <w:lang w:eastAsia="it-IT"/>
        </w:rPr>
      </w:pPr>
    </w:p>
    <w:p w14:paraId="59F21DD6"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p>
    <w:p w14:paraId="386F7688" w14:textId="77777777" w:rsidR="00F56356" w:rsidRPr="00F56356" w:rsidRDefault="00F56356" w:rsidP="00F56356">
      <w:pPr>
        <w:spacing w:after="0" w:line="360" w:lineRule="auto"/>
        <w:ind w:left="284"/>
        <w:jc w:val="center"/>
        <w:rPr>
          <w:rFonts w:ascii="Times New Roman" w:eastAsiaTheme="minorEastAsia" w:hAnsi="Times New Roman" w:cs="Times New Roman"/>
          <w:noProof/>
          <w:sz w:val="24"/>
          <w:szCs w:val="24"/>
          <w:lang w:eastAsia="it-IT"/>
        </w:rPr>
      </w:pPr>
      <w:r w:rsidRPr="00F56356">
        <w:rPr>
          <w:rFonts w:eastAsiaTheme="minorEastAsia" w:cs="Times New Roman"/>
          <w:noProof/>
          <w:lang w:eastAsia="it-IT"/>
        </w:rPr>
        <w:lastRenderedPageBreak/>
        <w:drawing>
          <wp:inline distT="0" distB="0" distL="0" distR="0" wp14:anchorId="4F76F776" wp14:editId="220036E5">
            <wp:extent cx="3747793" cy="631890"/>
            <wp:effectExtent l="0" t="0" r="508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48887" cy="648935"/>
                    </a:xfrm>
                    <a:prstGeom prst="rect">
                      <a:avLst/>
                    </a:prstGeom>
                    <a:noFill/>
                    <a:ln>
                      <a:noFill/>
                    </a:ln>
                  </pic:spPr>
                </pic:pic>
              </a:graphicData>
            </a:graphic>
          </wp:inline>
        </w:drawing>
      </w:r>
    </w:p>
    <w:p w14:paraId="27230671" w14:textId="77777777" w:rsidR="00F56356" w:rsidRPr="00F56356" w:rsidRDefault="00F56356" w:rsidP="00F56356">
      <w:pPr>
        <w:spacing w:after="0" w:line="360" w:lineRule="auto"/>
        <w:ind w:left="284"/>
        <w:jc w:val="center"/>
        <w:rPr>
          <w:rFonts w:ascii="Times New Roman" w:eastAsiaTheme="minorEastAsia" w:hAnsi="Times New Roman" w:cs="Times New Roman"/>
          <w:noProof/>
          <w:sz w:val="24"/>
          <w:szCs w:val="24"/>
          <w:lang w:eastAsia="it-IT"/>
        </w:rPr>
      </w:pPr>
      <w:r w:rsidRPr="00F56356">
        <w:rPr>
          <w:rFonts w:ascii="Times New Roman" w:eastAsiaTheme="minorEastAsia" w:hAnsi="Times New Roman" w:cs="Times New Roman"/>
          <w:noProof/>
          <w:sz w:val="24"/>
          <w:szCs w:val="24"/>
          <w:lang w:eastAsia="it-IT"/>
        </w:rPr>
        <w:drawing>
          <wp:inline distT="0" distB="0" distL="0" distR="0" wp14:anchorId="7D46BE89" wp14:editId="1E089BB0">
            <wp:extent cx="3840861" cy="1970751"/>
            <wp:effectExtent l="0" t="0" r="7620" b="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72237" cy="1986850"/>
                    </a:xfrm>
                    <a:prstGeom prst="rect">
                      <a:avLst/>
                    </a:prstGeom>
                    <a:noFill/>
                  </pic:spPr>
                </pic:pic>
              </a:graphicData>
            </a:graphic>
          </wp:inline>
        </w:drawing>
      </w:r>
    </w:p>
    <w:p w14:paraId="05BAD806" w14:textId="77777777" w:rsidR="00F56356" w:rsidRPr="00F56356" w:rsidRDefault="00F56356" w:rsidP="00F56356">
      <w:pPr>
        <w:spacing w:after="0" w:line="360" w:lineRule="auto"/>
        <w:ind w:left="284"/>
        <w:jc w:val="both"/>
        <w:rPr>
          <w:rFonts w:ascii="Times New Roman" w:eastAsiaTheme="minorEastAsia" w:hAnsi="Times New Roman" w:cs="Times New Roman"/>
          <w:sz w:val="8"/>
          <w:szCs w:val="24"/>
          <w:lang w:eastAsia="it-IT"/>
        </w:rPr>
      </w:pPr>
    </w:p>
    <w:p w14:paraId="6BFE0FC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Al 1° gennaio 2022 non risultano residui passivi</w:t>
      </w:r>
      <w:r w:rsidRPr="00F56356">
        <w:rPr>
          <w:rFonts w:ascii="Times New Roman" w:eastAsia="Times New Roman" w:hAnsi="Times New Roman" w:cs="Times New Roman"/>
          <w:color w:val="000000" w:themeColor="text1"/>
          <w:sz w:val="24"/>
          <w:szCs w:val="24"/>
          <w:lang w:eastAsia="it-IT"/>
        </w:rPr>
        <w:t xml:space="preserve">. </w:t>
      </w:r>
    </w:p>
    <w:p w14:paraId="0CB04EF1" w14:textId="77777777" w:rsidR="00F56356" w:rsidRPr="00F56356" w:rsidRDefault="00F56356" w:rsidP="00F56356">
      <w:pPr>
        <w:spacing w:after="0" w:line="360" w:lineRule="auto"/>
        <w:rPr>
          <w:rFonts w:ascii="Times New Roman" w:eastAsia="BatangChe" w:hAnsi="Times New Roman" w:cs="Times New Roman"/>
          <w:color w:val="FF0000"/>
          <w:sz w:val="16"/>
          <w:lang w:eastAsia="it-IT"/>
        </w:rPr>
      </w:pPr>
    </w:p>
    <w:p w14:paraId="62D11A96" w14:textId="77777777" w:rsidR="00F56356" w:rsidRPr="00F56356" w:rsidRDefault="00F56356" w:rsidP="00F56356">
      <w:pPr>
        <w:spacing w:after="0" w:line="360" w:lineRule="auto"/>
        <w:jc w:val="center"/>
        <w:rPr>
          <w:rFonts w:ascii="Times New Roman" w:eastAsiaTheme="minorEastAsia" w:hAnsi="Times New Roman" w:cs="Times New Roman"/>
          <w:color w:val="000000" w:themeColor="text1"/>
          <w:sz w:val="16"/>
          <w:szCs w:val="24"/>
          <w:lang w:eastAsia="it-IT"/>
        </w:rPr>
      </w:pPr>
    </w:p>
    <w:p w14:paraId="0AF5DEB0"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2.2</w:t>
      </w:r>
      <w:r w:rsidRPr="00F56356">
        <w:rPr>
          <w:rFonts w:ascii="Times New Roman" w:eastAsiaTheme="minorEastAsia" w:hAnsi="Times New Roman" w:cs="Times New Roman"/>
          <w:sz w:val="24"/>
          <w:szCs w:val="24"/>
          <w:lang w:eastAsia="it-IT"/>
        </w:rPr>
        <w:t xml:space="preserve"> Le risorse impegnate per il funzionamento pari a euro 608,97 sono state destinate </w:t>
      </w:r>
      <w:r w:rsidRPr="00F56356">
        <w:rPr>
          <w:rFonts w:ascii="Times New Roman" w:eastAsiaTheme="minorEastAsia" w:hAnsi="Times New Roman" w:cs="Times New Roman"/>
          <w:color w:val="000000" w:themeColor="text1"/>
          <w:sz w:val="24"/>
          <w:szCs w:val="24"/>
          <w:lang w:eastAsia="it-IT"/>
        </w:rPr>
        <w:t>al rimborso delle spese di missioni, ivi comprese quelle dell’Autorità politica (cap. 339).</w:t>
      </w:r>
    </w:p>
    <w:p w14:paraId="156CB286" w14:textId="77777777" w:rsidR="00F56356" w:rsidRPr="00F56356" w:rsidRDefault="00F56356" w:rsidP="00F56356">
      <w:pPr>
        <w:spacing w:after="0" w:line="360" w:lineRule="auto"/>
        <w:ind w:left="284"/>
        <w:jc w:val="both"/>
        <w:rPr>
          <w:rFonts w:ascii="Times New Roman" w:eastAsia="BatangChe" w:hAnsi="Times New Roman" w:cs="Times New Roman"/>
          <w:color w:val="FF0000"/>
          <w:sz w:val="24"/>
          <w:szCs w:val="24"/>
          <w:lang w:eastAsia="it-IT"/>
        </w:rPr>
      </w:pPr>
      <w:r w:rsidRPr="00F56356">
        <w:rPr>
          <w:rFonts w:ascii="Times New Roman" w:eastAsiaTheme="minorEastAsia" w:hAnsi="Times New Roman" w:cs="Times New Roman"/>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 </w:t>
      </w:r>
    </w:p>
    <w:p w14:paraId="06097515" w14:textId="77777777" w:rsidR="00F56356" w:rsidRPr="00F56356" w:rsidRDefault="00F56356" w:rsidP="00F56356">
      <w:pPr>
        <w:spacing w:after="0" w:line="360" w:lineRule="auto"/>
        <w:jc w:val="center"/>
        <w:rPr>
          <w:rFonts w:ascii="Times New Roman" w:eastAsia="BatangChe" w:hAnsi="Times New Roman" w:cs="Times New Roman"/>
          <w:color w:val="000000" w:themeColor="text1"/>
          <w:sz w:val="24"/>
          <w:szCs w:val="24"/>
          <w:lang w:eastAsia="it-IT"/>
        </w:rPr>
      </w:pPr>
      <w:r w:rsidRPr="00F56356">
        <w:rPr>
          <w:rFonts w:eastAsiaTheme="minorEastAsia" w:cs="Times New Roman"/>
          <w:noProof/>
          <w:lang w:eastAsia="it-IT"/>
        </w:rPr>
        <w:drawing>
          <wp:anchor distT="0" distB="0" distL="114300" distR="114300" simplePos="0" relativeHeight="251685888" behindDoc="1" locked="0" layoutInCell="1" allowOverlap="1" wp14:anchorId="4B49639D" wp14:editId="597F4C1C">
            <wp:simplePos x="0" y="0"/>
            <wp:positionH relativeFrom="margin">
              <wp:align>right</wp:align>
            </wp:positionH>
            <wp:positionV relativeFrom="paragraph">
              <wp:posOffset>264795</wp:posOffset>
            </wp:positionV>
            <wp:extent cx="5924550" cy="1292225"/>
            <wp:effectExtent l="0" t="0" r="0" b="3175"/>
            <wp:wrapTight wrapText="bothSides">
              <wp:wrapPolygon edited="0">
                <wp:start x="0" y="0"/>
                <wp:lineTo x="0" y="21335"/>
                <wp:lineTo x="11668" y="21335"/>
                <wp:lineTo x="16947" y="20379"/>
                <wp:lineTo x="21531" y="18150"/>
                <wp:lineTo x="21531" y="0"/>
                <wp:lineTo x="0" y="0"/>
              </wp:wrapPolygon>
            </wp:wrapTight>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24550" cy="1292225"/>
                    </a:xfrm>
                    <a:prstGeom prst="rect">
                      <a:avLst/>
                    </a:prstGeom>
                    <a:noFill/>
                    <a:ln>
                      <a:noFill/>
                    </a:ln>
                  </pic:spPr>
                </pic:pic>
              </a:graphicData>
            </a:graphic>
            <wp14:sizeRelH relativeFrom="margin">
              <wp14:pctWidth>0</wp14:pctWidth>
            </wp14:sizeRelH>
          </wp:anchor>
        </w:drawing>
      </w:r>
      <w:r w:rsidRPr="00F56356">
        <w:rPr>
          <w:rFonts w:ascii="Times New Roman" w:eastAsia="BatangChe" w:hAnsi="Times New Roman" w:cs="Times New Roman"/>
          <w:color w:val="000000" w:themeColor="text1"/>
          <w:sz w:val="24"/>
          <w:szCs w:val="24"/>
          <w:lang w:eastAsia="it-IT"/>
        </w:rPr>
        <w:t>Indicatori di bilancio</w:t>
      </w:r>
    </w:p>
    <w:p w14:paraId="33DD5529" w14:textId="77777777" w:rsidR="00F56356" w:rsidRPr="00F56356" w:rsidRDefault="00F56356" w:rsidP="00F56356">
      <w:pPr>
        <w:spacing w:after="0" w:line="360" w:lineRule="auto"/>
        <w:ind w:left="142"/>
        <w:jc w:val="both"/>
        <w:rPr>
          <w:rFonts w:ascii="Times New Roman" w:eastAsiaTheme="minorEastAsia" w:hAnsi="Times New Roman" w:cs="Times New Roman"/>
          <w:color w:val="FF0000"/>
          <w:sz w:val="24"/>
          <w:szCs w:val="24"/>
          <w:lang w:eastAsia="it-IT"/>
        </w:rPr>
      </w:pPr>
    </w:p>
    <w:p w14:paraId="4D18D804"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4D23EE4A"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dovuti: </w:t>
      </w:r>
    </w:p>
    <w:p w14:paraId="767968BE"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per il capitolo 339 - </w:t>
      </w:r>
      <w:r w:rsidRPr="00F56356">
        <w:rPr>
          <w:rFonts w:ascii="Times New Roman" w:eastAsiaTheme="minorEastAsia" w:hAnsi="Times New Roman" w:cs="Times New Roman"/>
          <w:i/>
          <w:iCs/>
          <w:color w:val="000000" w:themeColor="text1"/>
          <w:sz w:val="24"/>
          <w:szCs w:val="24"/>
          <w:lang w:eastAsia="it-IT"/>
        </w:rPr>
        <w:t>Rimborso spese per</w:t>
      </w:r>
      <w:r w:rsidRPr="00F56356">
        <w:rPr>
          <w:rFonts w:ascii="Times New Roman" w:eastAsiaTheme="minorEastAsia" w:hAnsi="Times New Roman" w:cs="Times New Roman"/>
          <w:color w:val="000000" w:themeColor="text1"/>
          <w:sz w:val="24"/>
          <w:szCs w:val="24"/>
          <w:lang w:eastAsia="it-IT"/>
        </w:rPr>
        <w:t xml:space="preserve"> m</w:t>
      </w:r>
      <w:r w:rsidRPr="00F56356">
        <w:rPr>
          <w:rFonts w:ascii="Times New Roman" w:eastAsiaTheme="minorEastAsia" w:hAnsi="Times New Roman" w:cs="Times New Roman"/>
          <w:i/>
          <w:color w:val="000000" w:themeColor="text1"/>
          <w:sz w:val="24"/>
          <w:szCs w:val="24"/>
          <w:lang w:eastAsia="it-IT"/>
        </w:rPr>
        <w:t>issioni nel territorio nazionale ed all’estero, ivi comprese quelle del Ministro,</w:t>
      </w:r>
      <w:r w:rsidRPr="00F56356">
        <w:rPr>
          <w:rFonts w:ascii="Times New Roman" w:eastAsiaTheme="minorEastAsia" w:hAnsi="Times New Roman" w:cs="Times New Roman"/>
          <w:color w:val="000000" w:themeColor="text1"/>
          <w:sz w:val="24"/>
          <w:szCs w:val="24"/>
          <w:lang w:eastAsia="it-IT"/>
        </w:rPr>
        <w:t xml:space="preserve"> dalla circostanza che i pagamenti dei rimborsi delle spese di missione dei componenti della Commissione di esperti per la determinazione dei collegi elettorali, istituita ai sensi dell’articolo 3 della legge n. 165 del 2017 e aggiornata nella composizione con decreto del Presidente del Consiglio dei ministri del 18 marzo 2022,  saranno effettuati nel 2023, al termine dei lavori della Commissione; inoltre, le missioni istituzionali del Ministro per le riforme istituzionali e la semplificazione normativa sono state effettuate soltanto nei mesi di novembre e dicembre del 2022 e le relative procedure di rimborso sono pertanto a carico dell’anno 2023;</w:t>
      </w:r>
    </w:p>
    <w:p w14:paraId="2AB43564"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b) per il capitolo 367 - </w:t>
      </w:r>
      <w:r w:rsidRPr="00F56356">
        <w:rPr>
          <w:rFonts w:ascii="Times New Roman" w:eastAsiaTheme="minorEastAsia" w:hAnsi="Times New Roman" w:cs="Times New Roman"/>
          <w:i/>
          <w:color w:val="000000" w:themeColor="text1"/>
          <w:sz w:val="24"/>
          <w:szCs w:val="24"/>
          <w:lang w:eastAsia="it-IT"/>
        </w:rPr>
        <w:t xml:space="preserve">Spese per la realizzazione di iniziative di valorizzazione, diffusione e confronto in tema di riforme costituzionali ed istituzionali, di rilevazione dei loro effetti, nonché di </w:t>
      </w:r>
      <w:r w:rsidRPr="00F56356">
        <w:rPr>
          <w:rFonts w:ascii="Times New Roman" w:eastAsiaTheme="minorEastAsia" w:hAnsi="Times New Roman" w:cs="Times New Roman"/>
          <w:i/>
          <w:color w:val="000000" w:themeColor="text1"/>
          <w:sz w:val="24"/>
          <w:szCs w:val="24"/>
          <w:lang w:eastAsia="it-IT"/>
        </w:rPr>
        <w:lastRenderedPageBreak/>
        <w:t>analisi, documentazione e ricerca su istituzioni internazionali ed europee,</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dalla circostanza che il Dipartimento ha ottimizzato le proprie attività realizzando tutte le iniziative programmate con risorse interne. Inoltre, le spese per la stampa del Libro bianco “Per la partecipazione dei cittadini. Come ridurre l’astensionismo e agevolare il voto”, frutto dell’attività della Commissione di esperti istituita con decreto del Ministro per i rapporti con il Parlamento con delega alle riforme istituzionali del 22 dicembre 2021, hanno gravato sul cap. 474 del Dipartimento per l’informazione e l’editoria (per un importo pari a euro 7.240,00).</w:t>
      </w:r>
    </w:p>
    <w:p w14:paraId="5E70F440"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2E571A8F"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5EA2BB96"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240348F4"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2D127BDA"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3926316A"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09427379"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555492C4"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288F50AE"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1D16F722"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1513979D"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2BAC27B8"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067C94D7"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7466AB28"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21C1206F"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09060264"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4696756B"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15236177"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095ED2AC"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15C4CC0E"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39D4F813"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3A3DB337"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6C11154D" w14:textId="1D89EE3B" w:rsid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4F851B49" w14:textId="40748ECB" w:rsidR="004912FA" w:rsidRDefault="004912FA" w:rsidP="00F56356">
      <w:pPr>
        <w:spacing w:after="0" w:line="360" w:lineRule="auto"/>
        <w:ind w:left="284"/>
        <w:jc w:val="both"/>
        <w:rPr>
          <w:rFonts w:ascii="Times New Roman" w:eastAsiaTheme="minorEastAsia" w:hAnsi="Times New Roman" w:cs="Times New Roman"/>
          <w:color w:val="FF0000"/>
          <w:sz w:val="24"/>
          <w:szCs w:val="24"/>
          <w:lang w:eastAsia="it-IT"/>
        </w:rPr>
      </w:pPr>
    </w:p>
    <w:p w14:paraId="5296E254" w14:textId="01758F87" w:rsidR="004912FA" w:rsidRDefault="004912FA" w:rsidP="00F56356">
      <w:pPr>
        <w:spacing w:after="0" w:line="360" w:lineRule="auto"/>
        <w:ind w:left="284"/>
        <w:jc w:val="both"/>
        <w:rPr>
          <w:rFonts w:ascii="Times New Roman" w:eastAsiaTheme="minorEastAsia" w:hAnsi="Times New Roman" w:cs="Times New Roman"/>
          <w:color w:val="FF0000"/>
          <w:sz w:val="24"/>
          <w:szCs w:val="24"/>
          <w:lang w:eastAsia="it-IT"/>
        </w:rPr>
      </w:pPr>
    </w:p>
    <w:p w14:paraId="160FEDCF" w14:textId="77777777" w:rsidR="004912FA" w:rsidRPr="00F56356" w:rsidRDefault="004912FA" w:rsidP="00F56356">
      <w:pPr>
        <w:spacing w:after="0" w:line="360" w:lineRule="auto"/>
        <w:ind w:left="284"/>
        <w:jc w:val="both"/>
        <w:rPr>
          <w:rFonts w:ascii="Times New Roman" w:eastAsiaTheme="minorEastAsia" w:hAnsi="Times New Roman" w:cs="Times New Roman"/>
          <w:color w:val="FF0000"/>
          <w:sz w:val="24"/>
          <w:szCs w:val="24"/>
          <w:lang w:eastAsia="it-IT"/>
        </w:rPr>
      </w:pPr>
    </w:p>
    <w:p w14:paraId="666B2062"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36C641B8"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5924D494" w14:textId="77777777" w:rsidTr="00F56356">
        <w:trPr>
          <w:trHeight w:val="510"/>
        </w:trPr>
        <w:tc>
          <w:tcPr>
            <w:tcW w:w="340" w:type="dxa"/>
            <w:tcBorders>
              <w:top w:val="nil"/>
              <w:left w:val="nil"/>
              <w:bottom w:val="nil"/>
              <w:right w:val="nil"/>
            </w:tcBorders>
            <w:shd w:val="clear" w:color="auto" w:fill="auto"/>
            <w:noWrap/>
            <w:vAlign w:val="bottom"/>
            <w:hideMark/>
          </w:tcPr>
          <w:p w14:paraId="6ED3FBD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70882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6F60500" w14:textId="77777777" w:rsidTr="00F56356">
        <w:trPr>
          <w:trHeight w:val="645"/>
        </w:trPr>
        <w:tc>
          <w:tcPr>
            <w:tcW w:w="340" w:type="dxa"/>
            <w:tcBorders>
              <w:top w:val="nil"/>
              <w:left w:val="nil"/>
              <w:bottom w:val="nil"/>
              <w:right w:val="nil"/>
            </w:tcBorders>
            <w:shd w:val="clear" w:color="auto" w:fill="auto"/>
            <w:noWrap/>
            <w:vAlign w:val="center"/>
            <w:hideMark/>
          </w:tcPr>
          <w:p w14:paraId="74FC0E6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4C0663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41D669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1 - Organi costituzionali, a rilevanza costituzionale e Presidenza del Consiglio dei ministri</w:t>
            </w:r>
          </w:p>
        </w:tc>
      </w:tr>
      <w:tr w:rsidR="00F56356" w:rsidRPr="00F56356" w14:paraId="7C5C3741" w14:textId="77777777" w:rsidTr="00F56356">
        <w:trPr>
          <w:trHeight w:val="405"/>
        </w:trPr>
        <w:tc>
          <w:tcPr>
            <w:tcW w:w="340" w:type="dxa"/>
            <w:tcBorders>
              <w:top w:val="nil"/>
              <w:left w:val="nil"/>
              <w:bottom w:val="nil"/>
              <w:right w:val="nil"/>
            </w:tcBorders>
            <w:shd w:val="clear" w:color="auto" w:fill="auto"/>
            <w:noWrap/>
            <w:vAlign w:val="center"/>
            <w:hideMark/>
          </w:tcPr>
          <w:p w14:paraId="372AAFC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BA6833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E05B77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1.3 - Presidenza del Consiglio dei ministri</w:t>
            </w:r>
          </w:p>
        </w:tc>
      </w:tr>
      <w:tr w:rsidR="00F56356" w:rsidRPr="00F56356" w14:paraId="22E3A9FE" w14:textId="77777777" w:rsidTr="00F56356">
        <w:trPr>
          <w:trHeight w:val="405"/>
        </w:trPr>
        <w:tc>
          <w:tcPr>
            <w:tcW w:w="340" w:type="dxa"/>
            <w:tcBorders>
              <w:top w:val="nil"/>
              <w:left w:val="nil"/>
              <w:bottom w:val="nil"/>
              <w:right w:val="nil"/>
            </w:tcBorders>
            <w:shd w:val="clear" w:color="auto" w:fill="auto"/>
            <w:noWrap/>
            <w:vAlign w:val="center"/>
            <w:hideMark/>
          </w:tcPr>
          <w:p w14:paraId="78C0AF7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317ABE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E2B017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5 - Riforme istituzionali</w:t>
            </w:r>
          </w:p>
        </w:tc>
      </w:tr>
      <w:tr w:rsidR="00F56356" w:rsidRPr="00F56356" w14:paraId="34302961" w14:textId="77777777" w:rsidTr="00F56356">
        <w:trPr>
          <w:trHeight w:val="450"/>
        </w:trPr>
        <w:tc>
          <w:tcPr>
            <w:tcW w:w="340" w:type="dxa"/>
            <w:tcBorders>
              <w:top w:val="nil"/>
              <w:left w:val="nil"/>
              <w:bottom w:val="nil"/>
              <w:right w:val="nil"/>
            </w:tcBorders>
            <w:shd w:val="clear" w:color="auto" w:fill="auto"/>
            <w:noWrap/>
            <w:vAlign w:val="center"/>
            <w:hideMark/>
          </w:tcPr>
          <w:p w14:paraId="12FD298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52DDE2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BAF6E8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r>
      <w:tr w:rsidR="00F56356" w:rsidRPr="00F56356" w14:paraId="16E48664" w14:textId="77777777" w:rsidTr="00F56356">
        <w:trPr>
          <w:trHeight w:val="450"/>
        </w:trPr>
        <w:tc>
          <w:tcPr>
            <w:tcW w:w="340" w:type="dxa"/>
            <w:tcBorders>
              <w:top w:val="nil"/>
              <w:left w:val="nil"/>
              <w:bottom w:val="nil"/>
              <w:right w:val="nil"/>
            </w:tcBorders>
            <w:shd w:val="clear" w:color="auto" w:fill="auto"/>
            <w:noWrap/>
            <w:vAlign w:val="center"/>
            <w:hideMark/>
          </w:tcPr>
          <w:p w14:paraId="36B03D2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2264BD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237848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r>
      <w:tr w:rsidR="00F56356" w:rsidRPr="00F56356" w14:paraId="2BB3A446" w14:textId="77777777" w:rsidTr="00F56356">
        <w:trPr>
          <w:trHeight w:val="930"/>
        </w:trPr>
        <w:tc>
          <w:tcPr>
            <w:tcW w:w="340" w:type="dxa"/>
            <w:tcBorders>
              <w:top w:val="nil"/>
              <w:left w:val="nil"/>
              <w:bottom w:val="nil"/>
              <w:right w:val="nil"/>
            </w:tcBorders>
            <w:shd w:val="clear" w:color="auto" w:fill="auto"/>
            <w:noWrap/>
            <w:vAlign w:val="center"/>
            <w:hideMark/>
          </w:tcPr>
          <w:p w14:paraId="58045F2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C3372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E28BBA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Promuovere e accrescere l’informazione, le conoscenze e le competenze in materia di riforme costituzionali e istituzionali; favorire la partecipazione dei cittadini attraverso la consultazione anche con strumenti telematici. </w:t>
            </w:r>
          </w:p>
        </w:tc>
      </w:tr>
      <w:tr w:rsidR="00F56356" w:rsidRPr="00F56356" w14:paraId="1DF13A54" w14:textId="77777777" w:rsidTr="00F56356">
        <w:trPr>
          <w:trHeight w:val="915"/>
        </w:trPr>
        <w:tc>
          <w:tcPr>
            <w:tcW w:w="340" w:type="dxa"/>
            <w:tcBorders>
              <w:top w:val="nil"/>
              <w:left w:val="nil"/>
              <w:bottom w:val="nil"/>
              <w:right w:val="nil"/>
            </w:tcBorders>
            <w:shd w:val="clear" w:color="auto" w:fill="auto"/>
            <w:noWrap/>
            <w:vAlign w:val="center"/>
            <w:hideMark/>
          </w:tcPr>
          <w:p w14:paraId="25B1EAA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8488C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87FE7E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Realizzazione e diffusione di studi e approfondimenti sui temi delle riforme istituzionali; promozione di processi partecipativi e di consultazione. </w:t>
            </w:r>
          </w:p>
        </w:tc>
      </w:tr>
      <w:tr w:rsidR="00F56356" w:rsidRPr="00F56356" w14:paraId="0787C991" w14:textId="77777777" w:rsidTr="00F56356">
        <w:trPr>
          <w:trHeight w:val="525"/>
        </w:trPr>
        <w:tc>
          <w:tcPr>
            <w:tcW w:w="340" w:type="dxa"/>
            <w:tcBorders>
              <w:top w:val="nil"/>
              <w:left w:val="nil"/>
              <w:bottom w:val="nil"/>
              <w:right w:val="nil"/>
            </w:tcBorders>
            <w:shd w:val="clear" w:color="auto" w:fill="auto"/>
            <w:noWrap/>
            <w:vAlign w:val="bottom"/>
            <w:hideMark/>
          </w:tcPr>
          <w:p w14:paraId="4A576A1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168D58A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78E10C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 367 </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0255DA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487C47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73560E58" w14:textId="77777777" w:rsidTr="00F56356">
        <w:trPr>
          <w:trHeight w:val="1305"/>
        </w:trPr>
        <w:tc>
          <w:tcPr>
            <w:tcW w:w="340" w:type="dxa"/>
            <w:tcBorders>
              <w:top w:val="nil"/>
              <w:left w:val="nil"/>
              <w:bottom w:val="nil"/>
              <w:right w:val="nil"/>
            </w:tcBorders>
            <w:shd w:val="clear" w:color="auto" w:fill="auto"/>
            <w:noWrap/>
            <w:vAlign w:val="bottom"/>
            <w:hideMark/>
          </w:tcPr>
          <w:p w14:paraId="7F4C811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50118C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620B12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F39391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14F7D2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181D0B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C3093C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EA24C4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580B18A" w14:textId="77777777" w:rsidTr="00F56356">
        <w:trPr>
          <w:trHeight w:val="855"/>
        </w:trPr>
        <w:tc>
          <w:tcPr>
            <w:tcW w:w="340" w:type="dxa"/>
            <w:tcBorders>
              <w:top w:val="nil"/>
              <w:left w:val="nil"/>
              <w:bottom w:val="nil"/>
              <w:right w:val="nil"/>
            </w:tcBorders>
            <w:shd w:val="clear" w:color="auto" w:fill="auto"/>
            <w:noWrap/>
            <w:vAlign w:val="bottom"/>
            <w:hideMark/>
          </w:tcPr>
          <w:p w14:paraId="4771472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FC335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EFA81F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B5A0D1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74.566,00</w:t>
            </w:r>
          </w:p>
        </w:tc>
        <w:tc>
          <w:tcPr>
            <w:tcW w:w="1140" w:type="dxa"/>
            <w:tcBorders>
              <w:top w:val="nil"/>
              <w:left w:val="nil"/>
              <w:bottom w:val="single" w:sz="4" w:space="0" w:color="auto"/>
              <w:right w:val="single" w:sz="4" w:space="0" w:color="auto"/>
            </w:tcBorders>
            <w:shd w:val="clear" w:color="auto" w:fill="auto"/>
            <w:noWrap/>
            <w:vAlign w:val="center"/>
            <w:hideMark/>
          </w:tcPr>
          <w:p w14:paraId="58B53C6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54.566,00</w:t>
            </w:r>
          </w:p>
        </w:tc>
        <w:tc>
          <w:tcPr>
            <w:tcW w:w="1180" w:type="dxa"/>
            <w:tcBorders>
              <w:top w:val="nil"/>
              <w:left w:val="nil"/>
              <w:bottom w:val="single" w:sz="4" w:space="0" w:color="auto"/>
              <w:right w:val="single" w:sz="4" w:space="0" w:color="auto"/>
            </w:tcBorders>
            <w:shd w:val="clear" w:color="auto" w:fill="auto"/>
            <w:noWrap/>
            <w:vAlign w:val="center"/>
            <w:hideMark/>
          </w:tcPr>
          <w:p w14:paraId="3BDBA18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3D0648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1CAE4B0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55B4EE8B" w14:textId="77777777" w:rsidTr="00F56356">
        <w:trPr>
          <w:trHeight w:val="330"/>
        </w:trPr>
        <w:tc>
          <w:tcPr>
            <w:tcW w:w="340" w:type="dxa"/>
            <w:tcBorders>
              <w:top w:val="nil"/>
              <w:left w:val="nil"/>
              <w:bottom w:val="nil"/>
              <w:right w:val="nil"/>
            </w:tcBorders>
            <w:shd w:val="clear" w:color="auto" w:fill="auto"/>
            <w:noWrap/>
            <w:vAlign w:val="bottom"/>
            <w:hideMark/>
          </w:tcPr>
          <w:p w14:paraId="1527FA3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39B6C5D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3D12D0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AB9A13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E6B7B6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C68E00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E67315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77DC339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B04A506" w14:textId="77777777" w:rsidTr="00F56356">
        <w:trPr>
          <w:trHeight w:val="480"/>
        </w:trPr>
        <w:tc>
          <w:tcPr>
            <w:tcW w:w="340" w:type="dxa"/>
            <w:tcBorders>
              <w:top w:val="nil"/>
              <w:left w:val="nil"/>
              <w:bottom w:val="nil"/>
              <w:right w:val="nil"/>
            </w:tcBorders>
            <w:shd w:val="clear" w:color="auto" w:fill="auto"/>
            <w:noWrap/>
            <w:vAlign w:val="bottom"/>
            <w:hideMark/>
          </w:tcPr>
          <w:p w14:paraId="1930228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6A9CC04"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87A7ADE" w14:textId="77777777" w:rsidTr="00F56356">
        <w:trPr>
          <w:trHeight w:val="540"/>
        </w:trPr>
        <w:tc>
          <w:tcPr>
            <w:tcW w:w="340" w:type="dxa"/>
            <w:tcBorders>
              <w:top w:val="nil"/>
              <w:left w:val="nil"/>
              <w:bottom w:val="nil"/>
              <w:right w:val="nil"/>
            </w:tcBorders>
            <w:shd w:val="clear" w:color="auto" w:fill="auto"/>
            <w:noWrap/>
            <w:vAlign w:val="bottom"/>
            <w:hideMark/>
          </w:tcPr>
          <w:p w14:paraId="1C3B9C6A"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5EC620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272AA35D" w14:textId="77777777" w:rsidTr="00F56356">
        <w:trPr>
          <w:trHeight w:val="540"/>
        </w:trPr>
        <w:tc>
          <w:tcPr>
            <w:tcW w:w="340" w:type="dxa"/>
            <w:tcBorders>
              <w:top w:val="nil"/>
              <w:left w:val="nil"/>
              <w:bottom w:val="nil"/>
              <w:right w:val="nil"/>
            </w:tcBorders>
            <w:shd w:val="clear" w:color="auto" w:fill="auto"/>
            <w:noWrap/>
            <w:vAlign w:val="bottom"/>
            <w:hideMark/>
          </w:tcPr>
          <w:p w14:paraId="1DC870F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DA17C4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06E3762B" w14:textId="77777777" w:rsidTr="00F56356">
        <w:trPr>
          <w:trHeight w:val="480"/>
        </w:trPr>
        <w:tc>
          <w:tcPr>
            <w:tcW w:w="340" w:type="dxa"/>
            <w:tcBorders>
              <w:top w:val="nil"/>
              <w:left w:val="nil"/>
              <w:bottom w:val="nil"/>
              <w:right w:val="nil"/>
            </w:tcBorders>
            <w:shd w:val="clear" w:color="auto" w:fill="auto"/>
            <w:noWrap/>
            <w:vAlign w:val="bottom"/>
            <w:hideMark/>
          </w:tcPr>
          <w:p w14:paraId="29C9F74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F7BF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B0D4491" w14:textId="77777777" w:rsidTr="00F56356">
        <w:trPr>
          <w:trHeight w:val="615"/>
        </w:trPr>
        <w:tc>
          <w:tcPr>
            <w:tcW w:w="340" w:type="dxa"/>
            <w:tcBorders>
              <w:top w:val="nil"/>
              <w:left w:val="nil"/>
              <w:bottom w:val="nil"/>
              <w:right w:val="nil"/>
            </w:tcBorders>
            <w:shd w:val="clear" w:color="auto" w:fill="auto"/>
            <w:noWrap/>
            <w:vAlign w:val="center"/>
            <w:hideMark/>
          </w:tcPr>
          <w:p w14:paraId="5F39156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BF6083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8A55DD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Grado di realizzazione dei progetti/iniziative/attività previsti negli atti programmatici. </w:t>
            </w:r>
          </w:p>
        </w:tc>
      </w:tr>
      <w:tr w:rsidR="00F56356" w:rsidRPr="00F56356" w14:paraId="5A02F6B1" w14:textId="77777777" w:rsidTr="00F56356">
        <w:trPr>
          <w:trHeight w:val="870"/>
        </w:trPr>
        <w:tc>
          <w:tcPr>
            <w:tcW w:w="340" w:type="dxa"/>
            <w:tcBorders>
              <w:top w:val="nil"/>
              <w:left w:val="nil"/>
              <w:bottom w:val="nil"/>
              <w:right w:val="nil"/>
            </w:tcBorders>
            <w:shd w:val="clear" w:color="auto" w:fill="auto"/>
            <w:noWrap/>
            <w:vAlign w:val="center"/>
            <w:hideMark/>
          </w:tcPr>
          <w:p w14:paraId="670C2B2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8DFF45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2ACCB6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Sito web istituzionale, portale delle consultazioni e piattaforma </w:t>
            </w:r>
            <w:proofErr w:type="spellStart"/>
            <w:r w:rsidRPr="00F56356">
              <w:rPr>
                <w:rFonts w:ascii="Times New Roman" w:eastAsia="Times New Roman" w:hAnsi="Times New Roman" w:cs="Times New Roman"/>
                <w:color w:val="000000"/>
                <w:sz w:val="20"/>
                <w:szCs w:val="20"/>
                <w:lang w:eastAsia="it-IT"/>
              </w:rPr>
              <w:t>ParteciPa</w:t>
            </w:r>
            <w:proofErr w:type="spellEnd"/>
            <w:r w:rsidRPr="00F56356">
              <w:rPr>
                <w:rFonts w:ascii="Times New Roman" w:eastAsia="Times New Roman" w:hAnsi="Times New Roman" w:cs="Times New Roman"/>
                <w:color w:val="000000"/>
                <w:sz w:val="20"/>
                <w:szCs w:val="20"/>
                <w:lang w:eastAsia="it-IT"/>
              </w:rPr>
              <w:t>, protocollo informatico, posta istituzionale, sistema di monitoraggio della direttiva.</w:t>
            </w:r>
          </w:p>
        </w:tc>
      </w:tr>
      <w:tr w:rsidR="00F56356" w:rsidRPr="00F56356" w14:paraId="2D420AB9" w14:textId="77777777" w:rsidTr="00F56356">
        <w:trPr>
          <w:trHeight w:val="840"/>
        </w:trPr>
        <w:tc>
          <w:tcPr>
            <w:tcW w:w="340" w:type="dxa"/>
            <w:tcBorders>
              <w:top w:val="nil"/>
              <w:left w:val="nil"/>
              <w:bottom w:val="nil"/>
              <w:right w:val="nil"/>
            </w:tcBorders>
            <w:shd w:val="clear" w:color="auto" w:fill="auto"/>
            <w:noWrap/>
            <w:vAlign w:val="center"/>
            <w:hideMark/>
          </w:tcPr>
          <w:p w14:paraId="3EBED5D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1D93E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BBF209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 iniziative realizzate / N. iniziative programmate nella Direttiva dell’Autorità politica </w:t>
            </w:r>
          </w:p>
        </w:tc>
        <w:tc>
          <w:tcPr>
            <w:tcW w:w="1180" w:type="dxa"/>
            <w:tcBorders>
              <w:top w:val="nil"/>
              <w:left w:val="nil"/>
              <w:bottom w:val="single" w:sz="4" w:space="0" w:color="auto"/>
              <w:right w:val="nil"/>
            </w:tcBorders>
            <w:shd w:val="clear" w:color="auto" w:fill="auto"/>
            <w:vAlign w:val="center"/>
            <w:hideMark/>
          </w:tcPr>
          <w:p w14:paraId="0E52126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D97DEB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64702C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A32F602" w14:textId="77777777" w:rsidTr="00F56356">
        <w:trPr>
          <w:trHeight w:val="615"/>
        </w:trPr>
        <w:tc>
          <w:tcPr>
            <w:tcW w:w="340" w:type="dxa"/>
            <w:tcBorders>
              <w:top w:val="nil"/>
              <w:left w:val="nil"/>
              <w:bottom w:val="nil"/>
              <w:right w:val="nil"/>
            </w:tcBorders>
            <w:shd w:val="clear" w:color="auto" w:fill="auto"/>
            <w:noWrap/>
            <w:vAlign w:val="bottom"/>
            <w:hideMark/>
          </w:tcPr>
          <w:p w14:paraId="59A215C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A2B34F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9B92E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395F004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0C9AA0A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310E52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70148E74"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p>
    <w:p w14:paraId="5FA9EF46"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54D4971"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10734F0" w14:textId="77777777" w:rsidR="00F56356" w:rsidRPr="00F56356" w:rsidRDefault="00F56356" w:rsidP="00F56356">
      <w:pPr>
        <w:ind w:left="284"/>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lastRenderedPageBreak/>
        <w:t>CDR 6 “Funzione pubblica”</w:t>
      </w:r>
    </w:p>
    <w:p w14:paraId="1C86C091" w14:textId="77777777" w:rsidR="00F56356" w:rsidRPr="00F56356" w:rsidRDefault="00F56356" w:rsidP="00F56356">
      <w:pPr>
        <w:spacing w:after="0"/>
        <w:ind w:left="284"/>
        <w:jc w:val="both"/>
        <w:rPr>
          <w:rFonts w:ascii="Times New Roman" w:eastAsiaTheme="minorEastAsia" w:hAnsi="Times New Roman" w:cs="Times New Roman"/>
          <w:b/>
          <w:color w:val="000000" w:themeColor="text1"/>
          <w:sz w:val="8"/>
          <w:szCs w:val="24"/>
          <w:lang w:eastAsia="it-IT"/>
        </w:rPr>
      </w:pPr>
    </w:p>
    <w:p w14:paraId="78964B4C"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MISSIONE 1 - </w:t>
      </w:r>
      <w:r w:rsidRPr="00F56356">
        <w:rPr>
          <w:rFonts w:ascii="Times New Roman" w:eastAsiaTheme="minorEastAsia" w:hAnsi="Times New Roman" w:cs="Times New Roman"/>
          <w:color w:val="000000" w:themeColor="text1"/>
          <w:sz w:val="24"/>
          <w:szCs w:val="24"/>
          <w:lang w:eastAsia="it-IT"/>
        </w:rPr>
        <w:t xml:space="preserve">Organi costituzionali, a rilevanza costituzionale e Presidenza del Consiglio dei ministri </w:t>
      </w:r>
    </w:p>
    <w:p w14:paraId="38D38D88"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Programma 1.3 - </w:t>
      </w:r>
      <w:r w:rsidRPr="00F56356">
        <w:rPr>
          <w:rFonts w:ascii="Times New Roman" w:eastAsiaTheme="minorEastAsia" w:hAnsi="Times New Roman" w:cs="Times New Roman"/>
          <w:color w:val="000000" w:themeColor="text1"/>
          <w:sz w:val="24"/>
          <w:szCs w:val="24"/>
          <w:lang w:eastAsia="it-IT"/>
        </w:rPr>
        <w:t xml:space="preserve">Presidenza del Consiglio dei ministri </w:t>
      </w:r>
    </w:p>
    <w:p w14:paraId="26E97C0A" w14:textId="77777777" w:rsidR="00F56356" w:rsidRPr="00F56356" w:rsidRDefault="00F56356" w:rsidP="00F56356">
      <w:pPr>
        <w:spacing w:after="0" w:line="360" w:lineRule="auto"/>
        <w:ind w:left="284"/>
        <w:jc w:val="both"/>
        <w:rPr>
          <w:rFonts w:ascii="Times New Roman" w:eastAsiaTheme="minorEastAsia" w:hAnsi="Times New Roman" w:cs="Times New Roman"/>
          <w:b/>
          <w:color w:val="000000" w:themeColor="text1"/>
          <w:sz w:val="18"/>
          <w:szCs w:val="24"/>
          <w:lang w:eastAsia="it-IT"/>
        </w:rPr>
      </w:pPr>
    </w:p>
    <w:p w14:paraId="6648591B"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MISSIONE 24</w:t>
      </w:r>
      <w:r w:rsidRPr="00F56356">
        <w:rPr>
          <w:rFonts w:ascii="Times New Roman" w:eastAsiaTheme="minorEastAsia" w:hAnsi="Times New Roman" w:cs="Times New Roman"/>
          <w:color w:val="000000" w:themeColor="text1"/>
          <w:sz w:val="24"/>
          <w:szCs w:val="24"/>
          <w:lang w:eastAsia="it-IT"/>
        </w:rPr>
        <w:t xml:space="preserve"> – Diritti sociali, politiche sociali e famiglia</w:t>
      </w:r>
    </w:p>
    <w:p w14:paraId="008F59F9" w14:textId="77777777" w:rsidR="00F56356" w:rsidRPr="00F56356" w:rsidRDefault="00F56356" w:rsidP="00F56356">
      <w:pPr>
        <w:spacing w:after="0" w:line="360" w:lineRule="auto"/>
        <w:ind w:left="284"/>
        <w:jc w:val="both"/>
        <w:rPr>
          <w:rFonts w:ascii="Times New Roman" w:eastAsiaTheme="minorEastAsia" w:hAnsi="Times New Roman" w:cs="Times New Roman"/>
          <w:b/>
          <w:color w:val="000000" w:themeColor="text1"/>
          <w:sz w:val="16"/>
          <w:szCs w:val="24"/>
          <w:lang w:eastAsia="it-IT"/>
        </w:rPr>
      </w:pPr>
      <w:r w:rsidRPr="00F56356">
        <w:rPr>
          <w:rFonts w:ascii="Times New Roman" w:eastAsiaTheme="minorEastAsia" w:hAnsi="Times New Roman" w:cs="Times New Roman"/>
          <w:b/>
          <w:color w:val="000000" w:themeColor="text1"/>
          <w:sz w:val="24"/>
          <w:szCs w:val="24"/>
          <w:lang w:eastAsia="it-IT"/>
        </w:rPr>
        <w:t xml:space="preserve">Programma 24.5 – </w:t>
      </w:r>
      <w:r w:rsidRPr="00F56356">
        <w:rPr>
          <w:rFonts w:ascii="Times New Roman" w:eastAsiaTheme="minorEastAsia" w:hAnsi="Times New Roman" w:cs="Times New Roman"/>
          <w:color w:val="000000" w:themeColor="text1"/>
          <w:sz w:val="24"/>
          <w:szCs w:val="24"/>
          <w:lang w:eastAsia="it-IT"/>
        </w:rPr>
        <w:t>Famiglia, pari opportunità e situazioni di disagio</w:t>
      </w:r>
    </w:p>
    <w:p w14:paraId="167B4DEC" w14:textId="77777777" w:rsidR="00F56356" w:rsidRPr="00F56356" w:rsidRDefault="00F56356" w:rsidP="00F56356">
      <w:pPr>
        <w:spacing w:after="0" w:line="360" w:lineRule="auto"/>
        <w:ind w:left="284"/>
        <w:jc w:val="both"/>
        <w:rPr>
          <w:rFonts w:ascii="Times New Roman" w:eastAsiaTheme="minorEastAsia" w:hAnsi="Times New Roman" w:cs="Times New Roman"/>
          <w:b/>
          <w:color w:val="000000" w:themeColor="text1"/>
          <w:sz w:val="18"/>
          <w:szCs w:val="24"/>
          <w:lang w:eastAsia="it-IT"/>
        </w:rPr>
      </w:pPr>
    </w:p>
    <w:p w14:paraId="13690D83" w14:textId="77777777" w:rsidR="00F56356" w:rsidRPr="00F56356" w:rsidRDefault="00F56356"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MISSIONE 32</w:t>
      </w:r>
      <w:r w:rsidRPr="00F56356">
        <w:rPr>
          <w:rFonts w:ascii="Times New Roman" w:eastAsiaTheme="minorEastAsia" w:hAnsi="Times New Roman" w:cs="Times New Roman"/>
          <w:color w:val="000000" w:themeColor="text1"/>
          <w:sz w:val="24"/>
          <w:szCs w:val="24"/>
          <w:lang w:eastAsia="it-IT"/>
        </w:rPr>
        <w:t xml:space="preserve"> - Servizi istituzionali e generali delle amministrazioni pubbliche </w:t>
      </w:r>
    </w:p>
    <w:p w14:paraId="4038111A"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Programma 32.4 - </w:t>
      </w:r>
      <w:r w:rsidRPr="00F56356">
        <w:rPr>
          <w:rFonts w:ascii="Times New Roman" w:eastAsiaTheme="minorEastAsia" w:hAnsi="Times New Roman" w:cs="Times New Roman"/>
          <w:color w:val="000000" w:themeColor="text1"/>
          <w:sz w:val="24"/>
          <w:szCs w:val="24"/>
          <w:lang w:eastAsia="it-IT"/>
        </w:rPr>
        <w:t>Servizi generali delle</w:t>
      </w:r>
      <w:r w:rsidRPr="00F56356">
        <w:rPr>
          <w:rFonts w:ascii="Times New Roman" w:eastAsiaTheme="minorEastAsia" w:hAnsi="Times New Roman" w:cs="Times New Roman"/>
          <w:b/>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strutture pubbliche preposte ad attività formative</w:t>
      </w:r>
      <w:r w:rsidRPr="00F56356">
        <w:rPr>
          <w:rFonts w:ascii="Times New Roman" w:eastAsiaTheme="minorEastAsia" w:hAnsi="Times New Roman" w:cs="Times New Roman"/>
          <w:b/>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e ad altre attività trasversali per le pubbliche amministrazioni</w:t>
      </w:r>
    </w:p>
    <w:p w14:paraId="41F4DE9C" w14:textId="77777777" w:rsidR="00F56356" w:rsidRPr="00F56356" w:rsidRDefault="00F56356" w:rsidP="00F56356">
      <w:pPr>
        <w:spacing w:after="0" w:line="360" w:lineRule="auto"/>
        <w:ind w:left="284"/>
        <w:jc w:val="both"/>
        <w:rPr>
          <w:rFonts w:ascii="Times New Roman" w:eastAsiaTheme="minorEastAsia" w:hAnsi="Times New Roman" w:cs="Times New Roman"/>
          <w:i/>
          <w:color w:val="000000" w:themeColor="text1"/>
          <w:sz w:val="6"/>
          <w:szCs w:val="24"/>
          <w:lang w:eastAsia="it-IT"/>
        </w:rPr>
      </w:pPr>
    </w:p>
    <w:p w14:paraId="6A0CE5D4" w14:textId="77777777" w:rsidR="00F56356" w:rsidRPr="00F56356" w:rsidRDefault="00F56356"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bookmarkStart w:id="42" w:name="OLE_LINK2"/>
      <w:bookmarkStart w:id="43" w:name="OLE_LINK3"/>
    </w:p>
    <w:p w14:paraId="0BD9EA15" w14:textId="77777777" w:rsidR="00F56356" w:rsidRPr="00F56356" w:rsidRDefault="00F56356" w:rsidP="00F56356">
      <w:pPr>
        <w:spacing w:line="360" w:lineRule="auto"/>
        <w:ind w:left="284"/>
        <w:jc w:val="both"/>
        <w:rPr>
          <w:rFonts w:ascii="Times New Roman" w:eastAsia="Times New Roman" w:hAnsi="Times New Roman" w:cs="Times New Roman"/>
          <w:b/>
          <w:i/>
          <w:color w:val="000000" w:themeColor="text1"/>
          <w:sz w:val="24"/>
          <w:szCs w:val="24"/>
        </w:rPr>
      </w:pPr>
      <w:r w:rsidRPr="00F56356">
        <w:rPr>
          <w:rFonts w:ascii="Times New Roman" w:eastAsia="Times New Roman" w:hAnsi="Times New Roman" w:cs="Times New Roman"/>
          <w:b/>
          <w:color w:val="000000" w:themeColor="text1"/>
          <w:sz w:val="24"/>
          <w:szCs w:val="24"/>
        </w:rPr>
        <w:t xml:space="preserve">1. </w:t>
      </w:r>
      <w:r w:rsidRPr="00F56356">
        <w:rPr>
          <w:rFonts w:ascii="Times New Roman" w:eastAsia="Times New Roman" w:hAnsi="Times New Roman" w:cs="Times New Roman"/>
          <w:b/>
          <w:i/>
          <w:color w:val="000000" w:themeColor="text1"/>
          <w:sz w:val="24"/>
          <w:szCs w:val="24"/>
        </w:rPr>
        <w:t xml:space="preserve"> Mission</w:t>
      </w:r>
    </w:p>
    <w:p w14:paraId="41F5E8F7"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Il Centro di responsabilità 6 “Funzione pubblica” è la struttura di supporto al Presidente che opera nell’area funzionale relativa al coordinamento e alla verifica delle attività in materia di organizzazione e funzionamento delle pubbliche amministrazioni, con specifico riferimento allo sviluppo della capacità amministrativa, all’innovazione amministrativa e organizzativa finalizzate al miglioramento del livello di performance e dei servizi erogati a cittadini e imprese. In particolare, il Centro promuove e coordina le politiche di semplificazione normativa e amministrativa, le politiche e gli interventi di innovazione finalizzati a supportare lo sviluppo delle competenze e la formazione del personale pubblico attraverso la formulazione di indirizzi e direttive, le politiche in materia di trasparenza delle amministrazioni pubbliche, le politiche inerenti all’organizzazione degli uffici, le politiche per il personale e la dirigenza pubblica (elaborazione di indirizzi in materia di procedure di reclutamento, programmazione e organizzazione dei concorsi; programmazione organici, reclutamento, mobilità, ecc.) e le politiche relative alla promozione di nuovi modelli di lavoro pubblico, con riferimento a quelli flessibili (lavoro agile). Svolge le funzioni relative alla misurazione e valutazione della performance, organizzativa e individuale. Cura le attività di indirizzo e coordinamento delle amministrazioni in materia di relazioni sindacali, anche attraverso il raccordo con l’Agenzia per la rappresentanza negoziale delle amministrazioni pubbliche (ARAN). </w:t>
      </w:r>
    </w:p>
    <w:p w14:paraId="11F7348F"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Contribuisce all’elaborazione e alla pianificazione integrata delle politiche di modernizzazione delle pubbliche amministrazioni; coordina l’attività normativa e amministrativa di semplificazione delle procedure, nonché la misurazione e la riduzione degli oneri gravanti sui cittadini e sulle imprese; effettua il monitoraggio e la verifica relativamente all’attuazione delle riforme concernenti l’organizzazione e l’attività delle pubbliche amministrazioni; definisce le strategie di azione e </w:t>
      </w:r>
      <w:r w:rsidRPr="00F56356">
        <w:rPr>
          <w:rFonts w:ascii="Times New Roman" w:eastAsiaTheme="minorEastAsia" w:hAnsi="Times New Roman" w:cs="Times New Roman"/>
          <w:color w:val="000000" w:themeColor="text1"/>
          <w:sz w:val="24"/>
          <w:szCs w:val="24"/>
          <w:lang w:eastAsia="it-IT"/>
        </w:rPr>
        <w:lastRenderedPageBreak/>
        <w:t xml:space="preserve">comunicazione volte a migliorare i rapporti tra amministrazioni e cittadini, anche attraverso la valorizzazione degli Uffici di relazione con il pubblico; svolge attività di ricerca e di monitoraggio sulla qualità dei servizi delle pubbliche amministrazioni. Assicura, inoltre, le attività inerenti agli interventi del PNRR assegnati alla responsabilità del Ministro per la pubblica amministrazione, nonché di coordinamento degli interventi di rafforzamento della capacità amministrativa e istituzionale, funzionali all’attuazione delle riforme amministrative ai diversi livelli di governo, nell’ambito della programmazione europea 2014-2020. In quest’ambito svolge le funzioni di Organismo intermedio del PON </w:t>
      </w:r>
      <w:proofErr w:type="spellStart"/>
      <w:r w:rsidRPr="00F56356">
        <w:rPr>
          <w:rFonts w:ascii="Times New Roman" w:eastAsiaTheme="minorEastAsia" w:hAnsi="Times New Roman" w:cs="Times New Roman"/>
          <w:color w:val="000000" w:themeColor="text1"/>
          <w:sz w:val="24"/>
          <w:szCs w:val="24"/>
          <w:lang w:eastAsia="it-IT"/>
        </w:rPr>
        <w:t>Governance</w:t>
      </w:r>
      <w:proofErr w:type="spellEnd"/>
      <w:r w:rsidRPr="00F56356">
        <w:rPr>
          <w:rFonts w:ascii="Times New Roman" w:eastAsiaTheme="minorEastAsia" w:hAnsi="Times New Roman" w:cs="Times New Roman"/>
          <w:color w:val="000000" w:themeColor="text1"/>
          <w:sz w:val="24"/>
          <w:szCs w:val="24"/>
          <w:lang w:eastAsia="it-IT"/>
        </w:rPr>
        <w:t xml:space="preserve"> capacità istituzionale 2014-2020 e assicura la presidenza del Comitato di pilotaggio OT11-OT2. Esercita, altresì, compiti di vigilanza sull’Istituto Nazionale di Statistica, sull’Agenzia per la rappresentanza negoziale delle pubbliche amministrazioni, sulla Scuola Nazionale dell’Amministrazione e sul </w:t>
      </w:r>
      <w:proofErr w:type="spellStart"/>
      <w:r w:rsidRPr="00F56356">
        <w:rPr>
          <w:rFonts w:ascii="Times New Roman" w:eastAsiaTheme="minorEastAsia" w:hAnsi="Times New Roman" w:cs="Times New Roman"/>
          <w:color w:val="000000" w:themeColor="text1"/>
          <w:sz w:val="24"/>
          <w:szCs w:val="24"/>
          <w:lang w:eastAsia="it-IT"/>
        </w:rPr>
        <w:t>Formez</w:t>
      </w:r>
      <w:proofErr w:type="spellEnd"/>
      <w:r w:rsidRPr="00F56356">
        <w:rPr>
          <w:rFonts w:ascii="Times New Roman" w:eastAsiaTheme="minorEastAsia" w:hAnsi="Times New Roman" w:cs="Times New Roman"/>
          <w:color w:val="000000" w:themeColor="text1"/>
          <w:sz w:val="24"/>
          <w:szCs w:val="24"/>
          <w:lang w:eastAsia="it-IT"/>
        </w:rPr>
        <w:t xml:space="preserve">. Il Centro è impegnato nel coordinamento della partecipazione italiana all’Open Government Partnership, del cui organo di governo (OGP Steering Committee) è entrato a far parte nel 2017. Nel contesto internazionale assicura la partecipazione italiana al Comitato Public </w:t>
      </w:r>
      <w:proofErr w:type="spellStart"/>
      <w:r w:rsidRPr="00F56356">
        <w:rPr>
          <w:rFonts w:ascii="Times New Roman" w:eastAsiaTheme="minorEastAsia" w:hAnsi="Times New Roman" w:cs="Times New Roman"/>
          <w:color w:val="000000" w:themeColor="text1"/>
          <w:sz w:val="24"/>
          <w:szCs w:val="24"/>
          <w:lang w:eastAsia="it-IT"/>
        </w:rPr>
        <w:t>Governance</w:t>
      </w:r>
      <w:proofErr w:type="spellEnd"/>
      <w:r w:rsidRPr="00F56356">
        <w:rPr>
          <w:rFonts w:ascii="Times New Roman" w:eastAsiaTheme="minorEastAsia" w:hAnsi="Times New Roman" w:cs="Times New Roman"/>
          <w:color w:val="000000" w:themeColor="text1"/>
          <w:sz w:val="24"/>
          <w:szCs w:val="24"/>
          <w:lang w:eastAsia="it-IT"/>
        </w:rPr>
        <w:t xml:space="preserve"> dell’OCSE, all’EUPAN e all’EIPA.         </w:t>
      </w:r>
    </w:p>
    <w:bookmarkEnd w:id="42"/>
    <w:bookmarkEnd w:id="43"/>
    <w:p w14:paraId="53A809D8" w14:textId="77777777" w:rsidR="00F56356" w:rsidRPr="00F56356" w:rsidRDefault="00F56356" w:rsidP="00F56356">
      <w:pPr>
        <w:spacing w:after="0" w:line="360" w:lineRule="auto"/>
        <w:ind w:left="284"/>
        <w:jc w:val="both"/>
        <w:rPr>
          <w:rFonts w:ascii="Times New Roman" w:eastAsiaTheme="minorEastAsia" w:hAnsi="Times New Roman" w:cs="Times New Roman"/>
          <w:b/>
          <w:sz w:val="32"/>
          <w:szCs w:val="24"/>
          <w:lang w:eastAsia="it-IT"/>
        </w:rPr>
      </w:pPr>
    </w:p>
    <w:p w14:paraId="708E90A3"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t xml:space="preserve">2. Ricostruzione flussi finanziari e aspetti rilevanti della gestione </w:t>
      </w:r>
    </w:p>
    <w:p w14:paraId="284FB002"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sz w:val="24"/>
          <w:szCs w:val="24"/>
          <w:lang w:eastAsia="it-IT"/>
        </w:rPr>
        <w:t>2</w:t>
      </w:r>
      <w:r w:rsidRPr="00F56356">
        <w:rPr>
          <w:rFonts w:ascii="Times New Roman" w:eastAsiaTheme="minorEastAsia" w:hAnsi="Times New Roman" w:cs="Times New Roman"/>
          <w:b/>
          <w:color w:val="000000" w:themeColor="text1"/>
          <w:sz w:val="24"/>
          <w:szCs w:val="24"/>
          <w:lang w:eastAsia="it-IT"/>
        </w:rPr>
        <w:t>.1</w:t>
      </w:r>
      <w:r w:rsidRPr="00F56356">
        <w:rPr>
          <w:rFonts w:ascii="Times New Roman" w:eastAsiaTheme="minorEastAsia" w:hAnsi="Times New Roman" w:cs="Times New Roman"/>
          <w:color w:val="000000" w:themeColor="text1"/>
          <w:sz w:val="24"/>
          <w:szCs w:val="24"/>
          <w:lang w:eastAsia="it-IT"/>
        </w:rPr>
        <w:t xml:space="preserve"> Le risorse complessivamente assegnate sono state pari a euro 100.489.464,05, nell’ambito delle quali euro 604.341,60 riferiti a reiscrizioni di residui passivi perenti ed euro 10.005.402,00 riferiti a riassegnazioni dall’avanzo di esercizio 2021.</w:t>
      </w:r>
    </w:p>
    <w:p w14:paraId="141FFAB2" w14:textId="77777777" w:rsidR="00F56356" w:rsidRPr="00F56356" w:rsidRDefault="00F56356" w:rsidP="00F56356">
      <w:pPr>
        <w:tabs>
          <w:tab w:val="left" w:pos="7513"/>
        </w:tabs>
        <w:spacing w:line="360" w:lineRule="auto"/>
        <w:ind w:left="284"/>
        <w:contextualSpacing/>
        <w:jc w:val="both"/>
        <w:rPr>
          <w:rFonts w:ascii="Times New Roman" w:eastAsia="Times New Roman" w:hAnsi="Times New Roman" w:cs="Times New Roman"/>
          <w:sz w:val="24"/>
          <w:szCs w:val="24"/>
        </w:rPr>
      </w:pPr>
      <w:r w:rsidRPr="00F56356">
        <w:rPr>
          <w:rFonts w:ascii="Times New Roman" w:eastAsia="Times New Roman" w:hAnsi="Times New Roman" w:cs="Times New Roman"/>
          <w:sz w:val="24"/>
          <w:szCs w:val="24"/>
        </w:rPr>
        <w:t xml:space="preserve">Gli impegni assunti ammontano a euro 49.846.464,86, </w:t>
      </w:r>
      <w:r w:rsidRPr="00F56356">
        <w:rPr>
          <w:rFonts w:ascii="Times New Roman" w:eastAsia="Times New Roman" w:hAnsi="Times New Roman" w:cs="Times New Roman"/>
          <w:color w:val="000000" w:themeColor="text1"/>
          <w:sz w:val="24"/>
          <w:szCs w:val="24"/>
        </w:rPr>
        <w:t xml:space="preserve">con un’economia di bilancio di euro </w:t>
      </w:r>
      <w:bookmarkStart w:id="44" w:name="_Hlk133226052"/>
      <w:r w:rsidRPr="00F56356">
        <w:rPr>
          <w:rFonts w:ascii="Times New Roman" w:eastAsia="Times New Roman" w:hAnsi="Times New Roman" w:cs="Times New Roman"/>
          <w:color w:val="000000" w:themeColor="text1"/>
          <w:sz w:val="24"/>
          <w:szCs w:val="24"/>
        </w:rPr>
        <w:t>50.642.999,19</w:t>
      </w:r>
      <w:bookmarkEnd w:id="44"/>
      <w:r w:rsidRPr="00F56356">
        <w:rPr>
          <w:rFonts w:ascii="Times New Roman" w:eastAsia="Times New Roman" w:hAnsi="Times New Roman" w:cs="Times New Roman"/>
          <w:color w:val="000000" w:themeColor="text1"/>
          <w:sz w:val="24"/>
          <w:szCs w:val="24"/>
        </w:rPr>
        <w:t>. Il totale dei pagamenti riferiti alla competenza è di euro 40.176.984,52, con un indice di capacità di pagamento (rapporto pagato/impegnato) che si attesta all’80,60 per cento</w:t>
      </w:r>
      <w:r w:rsidRPr="00F56356">
        <w:rPr>
          <w:rFonts w:ascii="Times New Roman" w:eastAsia="Times New Roman" w:hAnsi="Times New Roman" w:cs="Times New Roman"/>
          <w:sz w:val="24"/>
          <w:szCs w:val="24"/>
        </w:rPr>
        <w:t>.</w:t>
      </w:r>
    </w:p>
    <w:p w14:paraId="29E13A75"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408C7265" w14:textId="7C22E7C7" w:rsid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6222B0DE" w14:textId="77777777" w:rsidR="004912FA" w:rsidRPr="00F56356" w:rsidRDefault="004912FA" w:rsidP="00F56356">
      <w:pPr>
        <w:tabs>
          <w:tab w:val="left" w:pos="7513"/>
        </w:tabs>
        <w:spacing w:line="360" w:lineRule="auto"/>
        <w:contextualSpacing/>
        <w:jc w:val="both"/>
        <w:rPr>
          <w:rFonts w:ascii="Times New Roman" w:eastAsia="Times New Roman" w:hAnsi="Times New Roman" w:cs="Times New Roman"/>
          <w:sz w:val="24"/>
          <w:szCs w:val="24"/>
        </w:rPr>
      </w:pPr>
    </w:p>
    <w:p w14:paraId="670D6900"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08821CD0"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02981C0D"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2078D2F3"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56417EE8"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29AE77D4"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2537C8EC" w14:textId="77777777" w:rsidR="00F56356" w:rsidRPr="00F56356" w:rsidRDefault="00F56356" w:rsidP="00F56356">
      <w:pPr>
        <w:tabs>
          <w:tab w:val="left" w:pos="7513"/>
        </w:tabs>
        <w:spacing w:line="360" w:lineRule="auto"/>
        <w:contextualSpacing/>
        <w:jc w:val="both"/>
        <w:rPr>
          <w:rFonts w:ascii="Times New Roman" w:eastAsia="Times New Roman" w:hAnsi="Times New Roman" w:cs="Times New Roman"/>
          <w:sz w:val="24"/>
          <w:szCs w:val="24"/>
        </w:rPr>
      </w:pPr>
    </w:p>
    <w:p w14:paraId="6823D575" w14:textId="77777777" w:rsidR="00F56356" w:rsidRPr="00F56356" w:rsidRDefault="00F56356" w:rsidP="00F56356">
      <w:pPr>
        <w:spacing w:after="0" w:line="360" w:lineRule="auto"/>
        <w:jc w:val="center"/>
        <w:rPr>
          <w:rFonts w:eastAsiaTheme="minorEastAsia" w:cs="Times New Roman"/>
          <w:sz w:val="32"/>
          <w:szCs w:val="32"/>
          <w:lang w:eastAsia="it-IT"/>
        </w:rPr>
      </w:pPr>
      <w:r w:rsidRPr="00F56356">
        <w:rPr>
          <w:rFonts w:eastAsiaTheme="minorEastAsia" w:cs="Times New Roman"/>
          <w:noProof/>
          <w:lang w:eastAsia="it-IT"/>
        </w:rPr>
        <w:lastRenderedPageBreak/>
        <w:drawing>
          <wp:inline distT="0" distB="0" distL="0" distR="0" wp14:anchorId="0397B25B" wp14:editId="6DA1FAEA">
            <wp:extent cx="3881374" cy="607902"/>
            <wp:effectExtent l="0" t="0" r="5080" b="19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21914" cy="629913"/>
                    </a:xfrm>
                    <a:prstGeom prst="rect">
                      <a:avLst/>
                    </a:prstGeom>
                    <a:noFill/>
                    <a:ln>
                      <a:noFill/>
                    </a:ln>
                  </pic:spPr>
                </pic:pic>
              </a:graphicData>
            </a:graphic>
          </wp:inline>
        </w:drawing>
      </w:r>
    </w:p>
    <w:p w14:paraId="41C0CD89" w14:textId="77777777" w:rsidR="00F56356" w:rsidRPr="00F56356" w:rsidRDefault="00F56356" w:rsidP="00F56356">
      <w:pPr>
        <w:spacing w:after="0" w:line="360" w:lineRule="auto"/>
        <w:jc w:val="center"/>
        <w:rPr>
          <w:rFonts w:eastAsiaTheme="minorEastAsia" w:cs="Times New Roman"/>
          <w:sz w:val="32"/>
          <w:szCs w:val="32"/>
          <w:lang w:eastAsia="it-IT"/>
        </w:rPr>
      </w:pPr>
      <w:r w:rsidRPr="00F56356">
        <w:rPr>
          <w:rFonts w:eastAsiaTheme="minorEastAsia" w:cs="Times New Roman"/>
          <w:noProof/>
          <w:sz w:val="32"/>
          <w:szCs w:val="32"/>
          <w:lang w:eastAsia="it-IT"/>
        </w:rPr>
        <w:drawing>
          <wp:inline distT="0" distB="0" distL="0" distR="0" wp14:anchorId="7A23C323" wp14:editId="490217B7">
            <wp:extent cx="3952621" cy="1898534"/>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88357" cy="1915699"/>
                    </a:xfrm>
                    <a:prstGeom prst="rect">
                      <a:avLst/>
                    </a:prstGeom>
                    <a:noFill/>
                  </pic:spPr>
                </pic:pic>
              </a:graphicData>
            </a:graphic>
          </wp:inline>
        </w:drawing>
      </w:r>
    </w:p>
    <w:p w14:paraId="1C99C70E"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I residui passivi al 1° gennaio 2022 erano pari a euro 19.612.371,32</w:t>
      </w:r>
      <w:r w:rsidRPr="00F56356">
        <w:rPr>
          <w:rFonts w:ascii="Times New Roman" w:eastAsiaTheme="minorEastAsia" w:hAnsi="Times New Roman" w:cs="Times New Roman"/>
          <w:color w:val="000000" w:themeColor="text1"/>
          <w:sz w:val="24"/>
          <w:szCs w:val="24"/>
          <w:lang w:eastAsia="it-IT"/>
        </w:rPr>
        <w:t>. Su questi sono stati effettuati pagamenti per euro 16.099.065,07 e realizzate economie per euro 157.688,62.</w:t>
      </w:r>
    </w:p>
    <w:p w14:paraId="5276261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9A067E6" w14:textId="77777777" w:rsidR="00F56356" w:rsidRPr="00F56356" w:rsidRDefault="00F56356" w:rsidP="00F56356">
      <w:pPr>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7"/>
        <w:gridCol w:w="1567"/>
        <w:gridCol w:w="1458"/>
        <w:gridCol w:w="991"/>
        <w:gridCol w:w="1214"/>
        <w:gridCol w:w="1153"/>
      </w:tblGrid>
      <w:tr w:rsidR="00F56356" w:rsidRPr="00F56356" w14:paraId="6068F8BF"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9BBA"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05A73AEB" w14:textId="77777777" w:rsidTr="00F56356">
        <w:trPr>
          <w:trHeight w:val="465"/>
          <w:jc w:val="center"/>
        </w:trPr>
        <w:tc>
          <w:tcPr>
            <w:tcW w:w="4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BB0D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5F5C392A"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58" w:type="dxa"/>
            <w:vMerge w:val="restart"/>
            <w:tcBorders>
              <w:top w:val="nil"/>
              <w:left w:val="single" w:sz="4" w:space="0" w:color="auto"/>
              <w:bottom w:val="single" w:sz="4" w:space="0" w:color="auto"/>
              <w:right w:val="single" w:sz="4" w:space="0" w:color="auto"/>
            </w:tcBorders>
            <w:shd w:val="clear" w:color="auto" w:fill="auto"/>
            <w:vAlign w:val="center"/>
            <w:hideMark/>
          </w:tcPr>
          <w:p w14:paraId="7009F345"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58" w:type="dxa"/>
            <w:gridSpan w:val="3"/>
            <w:tcBorders>
              <w:top w:val="single" w:sz="4" w:space="0" w:color="auto"/>
              <w:left w:val="nil"/>
              <w:bottom w:val="single" w:sz="4" w:space="0" w:color="auto"/>
              <w:right w:val="single" w:sz="4" w:space="0" w:color="000000"/>
            </w:tcBorders>
            <w:shd w:val="clear" w:color="auto" w:fill="auto"/>
            <w:vAlign w:val="center"/>
            <w:hideMark/>
          </w:tcPr>
          <w:p w14:paraId="48C6974D"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6C7F1BB4" w14:textId="77777777" w:rsidTr="00F56356">
        <w:trPr>
          <w:trHeight w:val="300"/>
          <w:jc w:val="center"/>
        </w:trPr>
        <w:tc>
          <w:tcPr>
            <w:tcW w:w="477" w:type="dxa"/>
            <w:vMerge/>
            <w:tcBorders>
              <w:top w:val="nil"/>
              <w:left w:val="single" w:sz="4" w:space="0" w:color="auto"/>
              <w:bottom w:val="single" w:sz="4" w:space="0" w:color="auto"/>
              <w:right w:val="single" w:sz="4" w:space="0" w:color="auto"/>
            </w:tcBorders>
            <w:vAlign w:val="center"/>
            <w:hideMark/>
          </w:tcPr>
          <w:p w14:paraId="7B8C09F5"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4666EBDF"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58" w:type="dxa"/>
            <w:vMerge/>
            <w:tcBorders>
              <w:top w:val="nil"/>
              <w:left w:val="single" w:sz="4" w:space="0" w:color="auto"/>
              <w:bottom w:val="single" w:sz="4" w:space="0" w:color="auto"/>
              <w:right w:val="single" w:sz="4" w:space="0" w:color="auto"/>
            </w:tcBorders>
            <w:vAlign w:val="center"/>
            <w:hideMark/>
          </w:tcPr>
          <w:p w14:paraId="7573AB31"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1" w:type="dxa"/>
            <w:tcBorders>
              <w:top w:val="nil"/>
              <w:left w:val="nil"/>
              <w:bottom w:val="single" w:sz="4" w:space="0" w:color="auto"/>
              <w:right w:val="single" w:sz="4" w:space="0" w:color="auto"/>
            </w:tcBorders>
            <w:shd w:val="clear" w:color="auto" w:fill="auto"/>
            <w:vAlign w:val="center"/>
            <w:hideMark/>
          </w:tcPr>
          <w:p w14:paraId="717B673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4" w:type="dxa"/>
            <w:tcBorders>
              <w:top w:val="nil"/>
              <w:left w:val="nil"/>
              <w:bottom w:val="single" w:sz="4" w:space="0" w:color="auto"/>
              <w:right w:val="single" w:sz="4" w:space="0" w:color="auto"/>
            </w:tcBorders>
            <w:shd w:val="clear" w:color="auto" w:fill="auto"/>
            <w:vAlign w:val="center"/>
            <w:hideMark/>
          </w:tcPr>
          <w:p w14:paraId="2632AE53"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3" w:type="dxa"/>
            <w:tcBorders>
              <w:top w:val="nil"/>
              <w:left w:val="nil"/>
              <w:bottom w:val="single" w:sz="4" w:space="0" w:color="auto"/>
              <w:right w:val="single" w:sz="4" w:space="0" w:color="auto"/>
            </w:tcBorders>
            <w:shd w:val="clear" w:color="auto" w:fill="auto"/>
            <w:vAlign w:val="center"/>
            <w:hideMark/>
          </w:tcPr>
          <w:p w14:paraId="015672C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8CA1940"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6356C48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375</w:t>
            </w:r>
          </w:p>
        </w:tc>
        <w:tc>
          <w:tcPr>
            <w:tcW w:w="1567" w:type="dxa"/>
            <w:tcBorders>
              <w:top w:val="nil"/>
              <w:left w:val="nil"/>
              <w:bottom w:val="single" w:sz="4" w:space="0" w:color="auto"/>
              <w:right w:val="single" w:sz="4" w:space="0" w:color="auto"/>
            </w:tcBorders>
            <w:shd w:val="clear" w:color="auto" w:fill="auto"/>
            <w:noWrap/>
            <w:vAlign w:val="center"/>
            <w:hideMark/>
          </w:tcPr>
          <w:p w14:paraId="12BF137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133.312,00</w:t>
            </w:r>
          </w:p>
        </w:tc>
        <w:tc>
          <w:tcPr>
            <w:tcW w:w="1458" w:type="dxa"/>
            <w:tcBorders>
              <w:top w:val="nil"/>
              <w:left w:val="nil"/>
              <w:bottom w:val="single" w:sz="4" w:space="0" w:color="auto"/>
              <w:right w:val="single" w:sz="4" w:space="0" w:color="auto"/>
            </w:tcBorders>
            <w:shd w:val="clear" w:color="auto" w:fill="auto"/>
            <w:noWrap/>
            <w:vAlign w:val="center"/>
            <w:hideMark/>
          </w:tcPr>
          <w:p w14:paraId="475B7A1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85.000,00</w:t>
            </w:r>
          </w:p>
        </w:tc>
        <w:tc>
          <w:tcPr>
            <w:tcW w:w="991" w:type="dxa"/>
            <w:tcBorders>
              <w:top w:val="nil"/>
              <w:left w:val="nil"/>
              <w:bottom w:val="single" w:sz="4" w:space="0" w:color="auto"/>
              <w:right w:val="single" w:sz="4" w:space="0" w:color="auto"/>
            </w:tcBorders>
            <w:shd w:val="clear" w:color="auto" w:fill="auto"/>
            <w:noWrap/>
            <w:vAlign w:val="center"/>
            <w:hideMark/>
          </w:tcPr>
          <w:p w14:paraId="1B6718A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5D2A5C4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36,24</w:t>
            </w:r>
          </w:p>
        </w:tc>
        <w:tc>
          <w:tcPr>
            <w:tcW w:w="1153" w:type="dxa"/>
            <w:tcBorders>
              <w:top w:val="nil"/>
              <w:left w:val="nil"/>
              <w:bottom w:val="single" w:sz="4" w:space="0" w:color="auto"/>
              <w:right w:val="single" w:sz="4" w:space="0" w:color="auto"/>
            </w:tcBorders>
            <w:shd w:val="clear" w:color="auto" w:fill="auto"/>
            <w:noWrap/>
            <w:vAlign w:val="center"/>
            <w:hideMark/>
          </w:tcPr>
          <w:p w14:paraId="3D2392F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-63,76</w:t>
            </w:r>
          </w:p>
        </w:tc>
      </w:tr>
      <w:tr w:rsidR="00F56356" w:rsidRPr="00F56356" w14:paraId="418F1266"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1C3767F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376</w:t>
            </w:r>
          </w:p>
        </w:tc>
        <w:tc>
          <w:tcPr>
            <w:tcW w:w="1567" w:type="dxa"/>
            <w:tcBorders>
              <w:top w:val="nil"/>
              <w:left w:val="nil"/>
              <w:bottom w:val="single" w:sz="4" w:space="0" w:color="auto"/>
              <w:right w:val="single" w:sz="4" w:space="0" w:color="auto"/>
            </w:tcBorders>
            <w:shd w:val="clear" w:color="auto" w:fill="auto"/>
            <w:noWrap/>
            <w:vAlign w:val="center"/>
            <w:hideMark/>
          </w:tcPr>
          <w:p w14:paraId="149C660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108,43</w:t>
            </w:r>
          </w:p>
        </w:tc>
        <w:tc>
          <w:tcPr>
            <w:tcW w:w="1458" w:type="dxa"/>
            <w:tcBorders>
              <w:top w:val="nil"/>
              <w:left w:val="nil"/>
              <w:bottom w:val="single" w:sz="4" w:space="0" w:color="auto"/>
              <w:right w:val="single" w:sz="4" w:space="0" w:color="auto"/>
            </w:tcBorders>
            <w:shd w:val="clear" w:color="auto" w:fill="auto"/>
            <w:noWrap/>
            <w:vAlign w:val="center"/>
            <w:hideMark/>
          </w:tcPr>
          <w:p w14:paraId="4F0287E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2F23E08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0E69D62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0D48EBE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26AB581D"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28C1BB3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380</w:t>
            </w:r>
          </w:p>
        </w:tc>
        <w:tc>
          <w:tcPr>
            <w:tcW w:w="1567" w:type="dxa"/>
            <w:tcBorders>
              <w:top w:val="nil"/>
              <w:left w:val="nil"/>
              <w:bottom w:val="single" w:sz="4" w:space="0" w:color="auto"/>
              <w:right w:val="single" w:sz="4" w:space="0" w:color="auto"/>
            </w:tcBorders>
            <w:shd w:val="clear" w:color="auto" w:fill="auto"/>
            <w:noWrap/>
            <w:vAlign w:val="center"/>
            <w:hideMark/>
          </w:tcPr>
          <w:p w14:paraId="2B37A62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8.887,65</w:t>
            </w:r>
          </w:p>
        </w:tc>
        <w:tc>
          <w:tcPr>
            <w:tcW w:w="1458" w:type="dxa"/>
            <w:tcBorders>
              <w:top w:val="nil"/>
              <w:left w:val="nil"/>
              <w:bottom w:val="single" w:sz="4" w:space="0" w:color="auto"/>
              <w:right w:val="single" w:sz="4" w:space="0" w:color="auto"/>
            </w:tcBorders>
            <w:shd w:val="clear" w:color="auto" w:fill="auto"/>
            <w:noWrap/>
            <w:vAlign w:val="center"/>
            <w:hideMark/>
          </w:tcPr>
          <w:p w14:paraId="10EE5EC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23B75AC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4C23482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00931C2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08A9EC52"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16600B8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383</w:t>
            </w:r>
          </w:p>
        </w:tc>
        <w:tc>
          <w:tcPr>
            <w:tcW w:w="1567" w:type="dxa"/>
            <w:tcBorders>
              <w:top w:val="nil"/>
              <w:left w:val="nil"/>
              <w:bottom w:val="single" w:sz="4" w:space="0" w:color="auto"/>
              <w:right w:val="single" w:sz="4" w:space="0" w:color="auto"/>
            </w:tcBorders>
            <w:shd w:val="clear" w:color="auto" w:fill="auto"/>
            <w:noWrap/>
            <w:vAlign w:val="center"/>
            <w:hideMark/>
          </w:tcPr>
          <w:p w14:paraId="7DA6375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793,44</w:t>
            </w:r>
          </w:p>
        </w:tc>
        <w:tc>
          <w:tcPr>
            <w:tcW w:w="1458" w:type="dxa"/>
            <w:tcBorders>
              <w:top w:val="nil"/>
              <w:left w:val="nil"/>
              <w:bottom w:val="single" w:sz="4" w:space="0" w:color="auto"/>
              <w:right w:val="single" w:sz="4" w:space="0" w:color="auto"/>
            </w:tcBorders>
            <w:shd w:val="clear" w:color="auto" w:fill="auto"/>
            <w:noWrap/>
            <w:vAlign w:val="center"/>
            <w:hideMark/>
          </w:tcPr>
          <w:p w14:paraId="6CA5837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24B07A4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214F520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7B0BA4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483D0A16"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79DBC60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399</w:t>
            </w:r>
          </w:p>
        </w:tc>
        <w:tc>
          <w:tcPr>
            <w:tcW w:w="1567" w:type="dxa"/>
            <w:tcBorders>
              <w:top w:val="nil"/>
              <w:left w:val="nil"/>
              <w:bottom w:val="single" w:sz="4" w:space="0" w:color="auto"/>
              <w:right w:val="single" w:sz="4" w:space="0" w:color="auto"/>
            </w:tcBorders>
            <w:shd w:val="clear" w:color="auto" w:fill="auto"/>
            <w:noWrap/>
            <w:vAlign w:val="center"/>
            <w:hideMark/>
          </w:tcPr>
          <w:p w14:paraId="7F47E16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1.091.830,45</w:t>
            </w:r>
          </w:p>
        </w:tc>
        <w:tc>
          <w:tcPr>
            <w:tcW w:w="1458" w:type="dxa"/>
            <w:tcBorders>
              <w:top w:val="nil"/>
              <w:left w:val="nil"/>
              <w:bottom w:val="single" w:sz="4" w:space="0" w:color="auto"/>
              <w:right w:val="single" w:sz="4" w:space="0" w:color="auto"/>
            </w:tcBorders>
            <w:shd w:val="clear" w:color="auto" w:fill="auto"/>
            <w:noWrap/>
            <w:vAlign w:val="center"/>
            <w:hideMark/>
          </w:tcPr>
          <w:p w14:paraId="039E88A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73EE3C7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4" w:type="dxa"/>
            <w:tcBorders>
              <w:top w:val="nil"/>
              <w:left w:val="nil"/>
              <w:bottom w:val="single" w:sz="4" w:space="0" w:color="auto"/>
              <w:right w:val="single" w:sz="4" w:space="0" w:color="auto"/>
            </w:tcBorders>
            <w:shd w:val="clear" w:color="auto" w:fill="auto"/>
            <w:noWrap/>
            <w:vAlign w:val="center"/>
            <w:hideMark/>
          </w:tcPr>
          <w:p w14:paraId="1592CFD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3C3B411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5C745BF"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68B8DC0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400</w:t>
            </w:r>
          </w:p>
        </w:tc>
        <w:tc>
          <w:tcPr>
            <w:tcW w:w="1567" w:type="dxa"/>
            <w:tcBorders>
              <w:top w:val="nil"/>
              <w:left w:val="nil"/>
              <w:bottom w:val="single" w:sz="4" w:space="0" w:color="auto"/>
              <w:right w:val="single" w:sz="4" w:space="0" w:color="auto"/>
            </w:tcBorders>
            <w:shd w:val="clear" w:color="auto" w:fill="auto"/>
            <w:noWrap/>
            <w:vAlign w:val="center"/>
            <w:hideMark/>
          </w:tcPr>
          <w:p w14:paraId="16DF252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w:t>
            </w:r>
          </w:p>
        </w:tc>
        <w:tc>
          <w:tcPr>
            <w:tcW w:w="1458" w:type="dxa"/>
            <w:tcBorders>
              <w:top w:val="nil"/>
              <w:left w:val="nil"/>
              <w:bottom w:val="single" w:sz="4" w:space="0" w:color="auto"/>
              <w:right w:val="single" w:sz="4" w:space="0" w:color="auto"/>
            </w:tcBorders>
            <w:shd w:val="clear" w:color="auto" w:fill="auto"/>
            <w:noWrap/>
            <w:vAlign w:val="center"/>
            <w:hideMark/>
          </w:tcPr>
          <w:p w14:paraId="09A0629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w:t>
            </w:r>
          </w:p>
        </w:tc>
        <w:tc>
          <w:tcPr>
            <w:tcW w:w="991" w:type="dxa"/>
            <w:tcBorders>
              <w:top w:val="nil"/>
              <w:left w:val="nil"/>
              <w:bottom w:val="single" w:sz="4" w:space="0" w:color="auto"/>
              <w:right w:val="single" w:sz="4" w:space="0" w:color="auto"/>
            </w:tcBorders>
            <w:shd w:val="clear" w:color="auto" w:fill="auto"/>
            <w:noWrap/>
            <w:vAlign w:val="center"/>
            <w:hideMark/>
          </w:tcPr>
          <w:p w14:paraId="68F3218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52594C3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3" w:type="dxa"/>
            <w:tcBorders>
              <w:top w:val="nil"/>
              <w:left w:val="nil"/>
              <w:bottom w:val="single" w:sz="4" w:space="0" w:color="auto"/>
              <w:right w:val="single" w:sz="4" w:space="0" w:color="auto"/>
            </w:tcBorders>
            <w:shd w:val="clear" w:color="auto" w:fill="auto"/>
            <w:noWrap/>
            <w:vAlign w:val="center"/>
            <w:hideMark/>
          </w:tcPr>
          <w:p w14:paraId="46CDF1E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r>
      <w:tr w:rsidR="00F56356" w:rsidRPr="00F56356" w14:paraId="5BFDF1A2"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28CBAE1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416</w:t>
            </w:r>
          </w:p>
        </w:tc>
        <w:tc>
          <w:tcPr>
            <w:tcW w:w="1567" w:type="dxa"/>
            <w:tcBorders>
              <w:top w:val="nil"/>
              <w:left w:val="nil"/>
              <w:bottom w:val="single" w:sz="4" w:space="0" w:color="auto"/>
              <w:right w:val="single" w:sz="4" w:space="0" w:color="auto"/>
            </w:tcBorders>
            <w:shd w:val="clear" w:color="auto" w:fill="auto"/>
            <w:noWrap/>
            <w:vAlign w:val="center"/>
            <w:hideMark/>
          </w:tcPr>
          <w:p w14:paraId="28E386C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120.440,48</w:t>
            </w:r>
          </w:p>
        </w:tc>
        <w:tc>
          <w:tcPr>
            <w:tcW w:w="1458" w:type="dxa"/>
            <w:tcBorders>
              <w:top w:val="nil"/>
              <w:left w:val="nil"/>
              <w:bottom w:val="single" w:sz="4" w:space="0" w:color="auto"/>
              <w:right w:val="single" w:sz="4" w:space="0" w:color="auto"/>
            </w:tcBorders>
            <w:shd w:val="clear" w:color="auto" w:fill="auto"/>
            <w:noWrap/>
            <w:vAlign w:val="center"/>
            <w:hideMark/>
          </w:tcPr>
          <w:p w14:paraId="3BB7080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77BC4FD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0E5077C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4010B50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5F8589AC" w14:textId="77777777" w:rsidTr="00F56356">
        <w:trPr>
          <w:trHeight w:val="315"/>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382BCC1D"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7" w:type="dxa"/>
            <w:tcBorders>
              <w:top w:val="nil"/>
              <w:left w:val="nil"/>
              <w:bottom w:val="single" w:sz="4" w:space="0" w:color="auto"/>
              <w:right w:val="single" w:sz="4" w:space="0" w:color="auto"/>
            </w:tcBorders>
            <w:shd w:val="clear" w:color="auto" w:fill="auto"/>
            <w:noWrap/>
            <w:vAlign w:val="center"/>
            <w:hideMark/>
          </w:tcPr>
          <w:p w14:paraId="03423C7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1.415.372,45</w:t>
            </w:r>
          </w:p>
        </w:tc>
        <w:tc>
          <w:tcPr>
            <w:tcW w:w="1458" w:type="dxa"/>
            <w:tcBorders>
              <w:top w:val="nil"/>
              <w:left w:val="nil"/>
              <w:bottom w:val="single" w:sz="4" w:space="0" w:color="auto"/>
              <w:right w:val="single" w:sz="4" w:space="0" w:color="auto"/>
            </w:tcBorders>
            <w:shd w:val="clear" w:color="auto" w:fill="auto"/>
            <w:noWrap/>
            <w:vAlign w:val="center"/>
            <w:hideMark/>
          </w:tcPr>
          <w:p w14:paraId="1F16897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145.000,00</w:t>
            </w:r>
          </w:p>
        </w:tc>
        <w:tc>
          <w:tcPr>
            <w:tcW w:w="991" w:type="dxa"/>
            <w:tcBorders>
              <w:top w:val="nil"/>
              <w:left w:val="nil"/>
              <w:bottom w:val="nil"/>
              <w:right w:val="nil"/>
            </w:tcBorders>
            <w:shd w:val="clear" w:color="auto" w:fill="auto"/>
            <w:noWrap/>
            <w:vAlign w:val="center"/>
            <w:hideMark/>
          </w:tcPr>
          <w:p w14:paraId="3EA41A6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4" w:type="dxa"/>
            <w:tcBorders>
              <w:top w:val="nil"/>
              <w:left w:val="nil"/>
              <w:bottom w:val="nil"/>
              <w:right w:val="nil"/>
            </w:tcBorders>
            <w:shd w:val="clear" w:color="auto" w:fill="auto"/>
            <w:noWrap/>
            <w:vAlign w:val="center"/>
            <w:hideMark/>
          </w:tcPr>
          <w:p w14:paraId="3894FA0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3" w:type="dxa"/>
            <w:tcBorders>
              <w:top w:val="nil"/>
              <w:left w:val="nil"/>
              <w:bottom w:val="nil"/>
              <w:right w:val="nil"/>
            </w:tcBorders>
            <w:shd w:val="clear" w:color="auto" w:fill="auto"/>
            <w:noWrap/>
            <w:vAlign w:val="center"/>
            <w:hideMark/>
          </w:tcPr>
          <w:p w14:paraId="4648522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20FF78F5" w14:textId="77777777" w:rsidR="00F56356" w:rsidRPr="00F56356" w:rsidRDefault="00F56356" w:rsidP="00F56356">
      <w:pPr>
        <w:spacing w:after="0" w:line="360" w:lineRule="auto"/>
        <w:jc w:val="center"/>
        <w:rPr>
          <w:rFonts w:ascii="Times New Roman" w:eastAsiaTheme="minorEastAsia" w:hAnsi="Times New Roman" w:cs="Times New Roman"/>
          <w:color w:val="000000" w:themeColor="text1"/>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69"/>
        <w:gridCol w:w="1580"/>
        <w:gridCol w:w="1520"/>
        <w:gridCol w:w="972"/>
        <w:gridCol w:w="1190"/>
        <w:gridCol w:w="1130"/>
      </w:tblGrid>
      <w:tr w:rsidR="00F56356" w:rsidRPr="00F56356" w14:paraId="6026C165"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010F2"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25B31412" w14:textId="77777777" w:rsidTr="00F56356">
        <w:trPr>
          <w:trHeight w:val="465"/>
          <w:jc w:val="center"/>
        </w:trPr>
        <w:tc>
          <w:tcPr>
            <w:tcW w:w="4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D6235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80" w:type="dxa"/>
            <w:vMerge w:val="restart"/>
            <w:tcBorders>
              <w:top w:val="nil"/>
              <w:left w:val="single" w:sz="4" w:space="0" w:color="auto"/>
              <w:bottom w:val="single" w:sz="4" w:space="0" w:color="auto"/>
              <w:right w:val="single" w:sz="4" w:space="0" w:color="auto"/>
            </w:tcBorders>
            <w:shd w:val="clear" w:color="auto" w:fill="auto"/>
            <w:vAlign w:val="center"/>
            <w:hideMark/>
          </w:tcPr>
          <w:p w14:paraId="3716D72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14:paraId="02483056"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92" w:type="dxa"/>
            <w:gridSpan w:val="3"/>
            <w:tcBorders>
              <w:top w:val="single" w:sz="4" w:space="0" w:color="auto"/>
              <w:left w:val="nil"/>
              <w:bottom w:val="single" w:sz="4" w:space="0" w:color="auto"/>
              <w:right w:val="single" w:sz="4" w:space="0" w:color="000000"/>
            </w:tcBorders>
            <w:shd w:val="clear" w:color="auto" w:fill="auto"/>
            <w:vAlign w:val="center"/>
            <w:hideMark/>
          </w:tcPr>
          <w:p w14:paraId="267305D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44258865" w14:textId="77777777" w:rsidTr="00F56356">
        <w:trPr>
          <w:trHeight w:val="300"/>
          <w:jc w:val="center"/>
        </w:trPr>
        <w:tc>
          <w:tcPr>
            <w:tcW w:w="468" w:type="dxa"/>
            <w:vMerge/>
            <w:tcBorders>
              <w:top w:val="nil"/>
              <w:left w:val="single" w:sz="4" w:space="0" w:color="auto"/>
              <w:bottom w:val="single" w:sz="4" w:space="0" w:color="auto"/>
              <w:right w:val="single" w:sz="4" w:space="0" w:color="auto"/>
            </w:tcBorders>
            <w:vAlign w:val="center"/>
            <w:hideMark/>
          </w:tcPr>
          <w:p w14:paraId="6215CBA8"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80" w:type="dxa"/>
            <w:vMerge/>
            <w:tcBorders>
              <w:top w:val="nil"/>
              <w:left w:val="single" w:sz="4" w:space="0" w:color="auto"/>
              <w:bottom w:val="single" w:sz="4" w:space="0" w:color="auto"/>
              <w:right w:val="single" w:sz="4" w:space="0" w:color="auto"/>
            </w:tcBorders>
            <w:vAlign w:val="center"/>
            <w:hideMark/>
          </w:tcPr>
          <w:p w14:paraId="7932D30E"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20" w:type="dxa"/>
            <w:vMerge/>
            <w:tcBorders>
              <w:top w:val="nil"/>
              <w:left w:val="single" w:sz="4" w:space="0" w:color="auto"/>
              <w:bottom w:val="single" w:sz="4" w:space="0" w:color="auto"/>
              <w:right w:val="single" w:sz="4" w:space="0" w:color="auto"/>
            </w:tcBorders>
            <w:vAlign w:val="center"/>
            <w:hideMark/>
          </w:tcPr>
          <w:p w14:paraId="2DD7B6E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72" w:type="dxa"/>
            <w:tcBorders>
              <w:top w:val="nil"/>
              <w:left w:val="nil"/>
              <w:bottom w:val="single" w:sz="4" w:space="0" w:color="auto"/>
              <w:right w:val="single" w:sz="4" w:space="0" w:color="auto"/>
            </w:tcBorders>
            <w:shd w:val="clear" w:color="auto" w:fill="auto"/>
            <w:vAlign w:val="center"/>
            <w:hideMark/>
          </w:tcPr>
          <w:p w14:paraId="479158D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90" w:type="dxa"/>
            <w:tcBorders>
              <w:top w:val="nil"/>
              <w:left w:val="nil"/>
              <w:bottom w:val="single" w:sz="4" w:space="0" w:color="auto"/>
              <w:right w:val="single" w:sz="4" w:space="0" w:color="auto"/>
            </w:tcBorders>
            <w:shd w:val="clear" w:color="auto" w:fill="auto"/>
            <w:vAlign w:val="center"/>
            <w:hideMark/>
          </w:tcPr>
          <w:p w14:paraId="2E0B3463"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30" w:type="dxa"/>
            <w:tcBorders>
              <w:top w:val="nil"/>
              <w:left w:val="nil"/>
              <w:bottom w:val="single" w:sz="4" w:space="0" w:color="auto"/>
              <w:right w:val="single" w:sz="4" w:space="0" w:color="auto"/>
            </w:tcBorders>
            <w:shd w:val="clear" w:color="auto" w:fill="auto"/>
            <w:vAlign w:val="center"/>
            <w:hideMark/>
          </w:tcPr>
          <w:p w14:paraId="7EE5777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3663BBEC"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EEE54F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243</w:t>
            </w:r>
          </w:p>
        </w:tc>
        <w:tc>
          <w:tcPr>
            <w:tcW w:w="1580" w:type="dxa"/>
            <w:tcBorders>
              <w:top w:val="nil"/>
              <w:left w:val="nil"/>
              <w:bottom w:val="single" w:sz="4" w:space="0" w:color="auto"/>
              <w:right w:val="single" w:sz="4" w:space="0" w:color="auto"/>
            </w:tcBorders>
            <w:shd w:val="clear" w:color="auto" w:fill="auto"/>
            <w:noWrap/>
            <w:vAlign w:val="center"/>
            <w:hideMark/>
          </w:tcPr>
          <w:p w14:paraId="483DA1F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3.046.990,40</w:t>
            </w:r>
          </w:p>
        </w:tc>
        <w:tc>
          <w:tcPr>
            <w:tcW w:w="1520" w:type="dxa"/>
            <w:tcBorders>
              <w:top w:val="nil"/>
              <w:left w:val="nil"/>
              <w:bottom w:val="single" w:sz="4" w:space="0" w:color="auto"/>
              <w:right w:val="single" w:sz="4" w:space="0" w:color="auto"/>
            </w:tcBorders>
            <w:shd w:val="clear" w:color="auto" w:fill="auto"/>
            <w:noWrap/>
            <w:vAlign w:val="center"/>
            <w:hideMark/>
          </w:tcPr>
          <w:p w14:paraId="7F7BDA8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1.081.316,89</w:t>
            </w:r>
          </w:p>
        </w:tc>
        <w:tc>
          <w:tcPr>
            <w:tcW w:w="972" w:type="dxa"/>
            <w:tcBorders>
              <w:top w:val="nil"/>
              <w:left w:val="nil"/>
              <w:bottom w:val="single" w:sz="4" w:space="0" w:color="auto"/>
              <w:right w:val="single" w:sz="4" w:space="0" w:color="auto"/>
            </w:tcBorders>
            <w:shd w:val="clear" w:color="auto" w:fill="auto"/>
            <w:noWrap/>
            <w:vAlign w:val="center"/>
            <w:hideMark/>
          </w:tcPr>
          <w:p w14:paraId="4D7C07D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0" w:type="dxa"/>
            <w:tcBorders>
              <w:top w:val="nil"/>
              <w:left w:val="nil"/>
              <w:bottom w:val="single" w:sz="4" w:space="0" w:color="auto"/>
              <w:right w:val="single" w:sz="4" w:space="0" w:color="auto"/>
            </w:tcBorders>
            <w:shd w:val="clear" w:color="auto" w:fill="auto"/>
            <w:noWrap/>
            <w:vAlign w:val="center"/>
            <w:hideMark/>
          </w:tcPr>
          <w:p w14:paraId="2A44F0E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64,51</w:t>
            </w:r>
          </w:p>
        </w:tc>
        <w:tc>
          <w:tcPr>
            <w:tcW w:w="1130" w:type="dxa"/>
            <w:tcBorders>
              <w:top w:val="nil"/>
              <w:left w:val="nil"/>
              <w:bottom w:val="single" w:sz="4" w:space="0" w:color="auto"/>
              <w:right w:val="single" w:sz="4" w:space="0" w:color="auto"/>
            </w:tcBorders>
            <w:shd w:val="clear" w:color="auto" w:fill="auto"/>
            <w:noWrap/>
            <w:vAlign w:val="center"/>
            <w:hideMark/>
          </w:tcPr>
          <w:p w14:paraId="31DAEA8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87863B3"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2B2D0AC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408</w:t>
            </w:r>
          </w:p>
        </w:tc>
        <w:tc>
          <w:tcPr>
            <w:tcW w:w="1580" w:type="dxa"/>
            <w:tcBorders>
              <w:top w:val="nil"/>
              <w:left w:val="nil"/>
              <w:bottom w:val="single" w:sz="4" w:space="0" w:color="auto"/>
              <w:right w:val="single" w:sz="4" w:space="0" w:color="auto"/>
            </w:tcBorders>
            <w:shd w:val="clear" w:color="auto" w:fill="auto"/>
            <w:noWrap/>
            <w:vAlign w:val="center"/>
            <w:hideMark/>
          </w:tcPr>
          <w:p w14:paraId="7A03370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1.813.526,43</w:t>
            </w:r>
          </w:p>
        </w:tc>
        <w:tc>
          <w:tcPr>
            <w:tcW w:w="1520" w:type="dxa"/>
            <w:tcBorders>
              <w:top w:val="nil"/>
              <w:left w:val="nil"/>
              <w:bottom w:val="single" w:sz="4" w:space="0" w:color="auto"/>
              <w:right w:val="single" w:sz="4" w:space="0" w:color="auto"/>
            </w:tcBorders>
            <w:shd w:val="clear" w:color="auto" w:fill="auto"/>
            <w:noWrap/>
            <w:vAlign w:val="center"/>
            <w:hideMark/>
          </w:tcPr>
          <w:p w14:paraId="6863E7D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894.119,28</w:t>
            </w:r>
          </w:p>
        </w:tc>
        <w:tc>
          <w:tcPr>
            <w:tcW w:w="972" w:type="dxa"/>
            <w:tcBorders>
              <w:top w:val="nil"/>
              <w:left w:val="nil"/>
              <w:bottom w:val="single" w:sz="4" w:space="0" w:color="auto"/>
              <w:right w:val="single" w:sz="4" w:space="0" w:color="auto"/>
            </w:tcBorders>
            <w:shd w:val="clear" w:color="auto" w:fill="auto"/>
            <w:noWrap/>
            <w:vAlign w:val="center"/>
            <w:hideMark/>
          </w:tcPr>
          <w:p w14:paraId="5BC2996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90" w:type="dxa"/>
            <w:tcBorders>
              <w:top w:val="nil"/>
              <w:left w:val="nil"/>
              <w:bottom w:val="single" w:sz="4" w:space="0" w:color="auto"/>
              <w:right w:val="single" w:sz="4" w:space="0" w:color="auto"/>
            </w:tcBorders>
            <w:shd w:val="clear" w:color="auto" w:fill="auto"/>
            <w:noWrap/>
            <w:vAlign w:val="center"/>
            <w:hideMark/>
          </w:tcPr>
          <w:p w14:paraId="5383938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50,70</w:t>
            </w:r>
          </w:p>
        </w:tc>
        <w:tc>
          <w:tcPr>
            <w:tcW w:w="1130" w:type="dxa"/>
            <w:tcBorders>
              <w:top w:val="nil"/>
              <w:left w:val="nil"/>
              <w:bottom w:val="single" w:sz="4" w:space="0" w:color="auto"/>
              <w:right w:val="single" w:sz="4" w:space="0" w:color="auto"/>
            </w:tcBorders>
            <w:shd w:val="clear" w:color="auto" w:fill="auto"/>
            <w:noWrap/>
            <w:vAlign w:val="center"/>
            <w:hideMark/>
          </w:tcPr>
          <w:p w14:paraId="79C07C9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-29,30</w:t>
            </w:r>
          </w:p>
        </w:tc>
      </w:tr>
      <w:tr w:rsidR="00F56356" w:rsidRPr="00F56356" w14:paraId="180D63A9"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auto" w:fill="auto"/>
            <w:noWrap/>
            <w:vAlign w:val="center"/>
            <w:hideMark/>
          </w:tcPr>
          <w:p w14:paraId="6D95C8B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410</w:t>
            </w:r>
          </w:p>
        </w:tc>
        <w:tc>
          <w:tcPr>
            <w:tcW w:w="1580" w:type="dxa"/>
            <w:tcBorders>
              <w:top w:val="nil"/>
              <w:left w:val="nil"/>
              <w:bottom w:val="single" w:sz="4" w:space="0" w:color="auto"/>
              <w:right w:val="single" w:sz="4" w:space="0" w:color="auto"/>
            </w:tcBorders>
            <w:shd w:val="clear" w:color="auto" w:fill="auto"/>
            <w:noWrap/>
            <w:vAlign w:val="center"/>
            <w:hideMark/>
          </w:tcPr>
          <w:p w14:paraId="26428DB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12.017,24</w:t>
            </w:r>
          </w:p>
        </w:tc>
        <w:tc>
          <w:tcPr>
            <w:tcW w:w="1520" w:type="dxa"/>
            <w:tcBorders>
              <w:top w:val="nil"/>
              <w:left w:val="nil"/>
              <w:bottom w:val="single" w:sz="4" w:space="0" w:color="auto"/>
              <w:right w:val="single" w:sz="4" w:space="0" w:color="auto"/>
            </w:tcBorders>
            <w:shd w:val="clear" w:color="auto" w:fill="auto"/>
            <w:noWrap/>
            <w:vAlign w:val="center"/>
            <w:hideMark/>
          </w:tcPr>
          <w:p w14:paraId="62429E8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2" w:type="dxa"/>
            <w:tcBorders>
              <w:top w:val="nil"/>
              <w:left w:val="nil"/>
              <w:bottom w:val="single" w:sz="4" w:space="0" w:color="auto"/>
              <w:right w:val="single" w:sz="4" w:space="0" w:color="auto"/>
            </w:tcBorders>
            <w:shd w:val="clear" w:color="auto" w:fill="auto"/>
            <w:noWrap/>
            <w:vAlign w:val="center"/>
            <w:hideMark/>
          </w:tcPr>
          <w:p w14:paraId="30C8C27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0" w:type="dxa"/>
            <w:tcBorders>
              <w:top w:val="nil"/>
              <w:left w:val="nil"/>
              <w:bottom w:val="single" w:sz="4" w:space="0" w:color="auto"/>
              <w:right w:val="single" w:sz="4" w:space="0" w:color="auto"/>
            </w:tcBorders>
            <w:shd w:val="clear" w:color="auto" w:fill="auto"/>
            <w:noWrap/>
            <w:vAlign w:val="center"/>
            <w:hideMark/>
          </w:tcPr>
          <w:p w14:paraId="20D826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0" w:type="dxa"/>
            <w:tcBorders>
              <w:top w:val="nil"/>
              <w:left w:val="nil"/>
              <w:bottom w:val="single" w:sz="4" w:space="0" w:color="auto"/>
              <w:right w:val="single" w:sz="4" w:space="0" w:color="auto"/>
            </w:tcBorders>
            <w:shd w:val="clear" w:color="auto" w:fill="auto"/>
            <w:noWrap/>
            <w:vAlign w:val="center"/>
            <w:hideMark/>
          </w:tcPr>
          <w:p w14:paraId="1F40E7E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6C3F4065"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54B4FC9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412</w:t>
            </w:r>
          </w:p>
        </w:tc>
        <w:tc>
          <w:tcPr>
            <w:tcW w:w="1580" w:type="dxa"/>
            <w:tcBorders>
              <w:top w:val="nil"/>
              <w:left w:val="nil"/>
              <w:bottom w:val="single" w:sz="4" w:space="0" w:color="auto"/>
              <w:right w:val="single" w:sz="4" w:space="0" w:color="auto"/>
            </w:tcBorders>
            <w:shd w:val="clear" w:color="000000" w:fill="FFFFFF"/>
            <w:noWrap/>
            <w:vAlign w:val="center"/>
            <w:hideMark/>
          </w:tcPr>
          <w:p w14:paraId="3E4B47E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695.000,00</w:t>
            </w:r>
          </w:p>
        </w:tc>
        <w:tc>
          <w:tcPr>
            <w:tcW w:w="1520" w:type="dxa"/>
            <w:tcBorders>
              <w:top w:val="nil"/>
              <w:left w:val="nil"/>
              <w:bottom w:val="single" w:sz="4" w:space="0" w:color="auto"/>
              <w:right w:val="single" w:sz="4" w:space="0" w:color="auto"/>
            </w:tcBorders>
            <w:shd w:val="clear" w:color="000000" w:fill="FFFFFF"/>
            <w:noWrap/>
            <w:vAlign w:val="center"/>
            <w:hideMark/>
          </w:tcPr>
          <w:p w14:paraId="69117BD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425.000,00</w:t>
            </w:r>
          </w:p>
        </w:tc>
        <w:tc>
          <w:tcPr>
            <w:tcW w:w="972" w:type="dxa"/>
            <w:tcBorders>
              <w:top w:val="nil"/>
              <w:left w:val="nil"/>
              <w:bottom w:val="single" w:sz="4" w:space="0" w:color="auto"/>
              <w:right w:val="single" w:sz="4" w:space="0" w:color="auto"/>
            </w:tcBorders>
            <w:shd w:val="clear" w:color="auto" w:fill="auto"/>
            <w:noWrap/>
            <w:vAlign w:val="center"/>
            <w:hideMark/>
          </w:tcPr>
          <w:p w14:paraId="5EC8158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90" w:type="dxa"/>
            <w:tcBorders>
              <w:top w:val="nil"/>
              <w:left w:val="nil"/>
              <w:bottom w:val="single" w:sz="4" w:space="0" w:color="auto"/>
              <w:right w:val="single" w:sz="4" w:space="0" w:color="auto"/>
            </w:tcBorders>
            <w:shd w:val="clear" w:color="auto" w:fill="auto"/>
            <w:noWrap/>
            <w:vAlign w:val="center"/>
            <w:hideMark/>
          </w:tcPr>
          <w:p w14:paraId="3CEDFD7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38,85</w:t>
            </w:r>
          </w:p>
        </w:tc>
        <w:tc>
          <w:tcPr>
            <w:tcW w:w="1130" w:type="dxa"/>
            <w:tcBorders>
              <w:top w:val="nil"/>
              <w:left w:val="nil"/>
              <w:bottom w:val="single" w:sz="4" w:space="0" w:color="auto"/>
              <w:right w:val="single" w:sz="4" w:space="0" w:color="auto"/>
            </w:tcBorders>
            <w:shd w:val="clear" w:color="auto" w:fill="auto"/>
            <w:noWrap/>
            <w:vAlign w:val="center"/>
            <w:hideMark/>
          </w:tcPr>
          <w:p w14:paraId="11224F0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-51,15</w:t>
            </w:r>
          </w:p>
        </w:tc>
      </w:tr>
      <w:tr w:rsidR="00F56356" w:rsidRPr="00F56356" w14:paraId="474AE8F3"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5196560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413</w:t>
            </w:r>
          </w:p>
        </w:tc>
        <w:tc>
          <w:tcPr>
            <w:tcW w:w="1580" w:type="dxa"/>
            <w:tcBorders>
              <w:top w:val="nil"/>
              <w:left w:val="nil"/>
              <w:bottom w:val="single" w:sz="4" w:space="0" w:color="auto"/>
              <w:right w:val="single" w:sz="4" w:space="0" w:color="auto"/>
            </w:tcBorders>
            <w:shd w:val="clear" w:color="000000" w:fill="FFFFFF"/>
            <w:noWrap/>
            <w:vAlign w:val="center"/>
            <w:hideMark/>
          </w:tcPr>
          <w:p w14:paraId="0F6E532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11.500.000,00</w:t>
            </w:r>
          </w:p>
        </w:tc>
        <w:tc>
          <w:tcPr>
            <w:tcW w:w="1520" w:type="dxa"/>
            <w:tcBorders>
              <w:top w:val="nil"/>
              <w:left w:val="nil"/>
              <w:bottom w:val="single" w:sz="4" w:space="0" w:color="auto"/>
              <w:right w:val="single" w:sz="4" w:space="0" w:color="auto"/>
            </w:tcBorders>
            <w:shd w:val="clear" w:color="000000" w:fill="FFFFFF"/>
            <w:noWrap/>
            <w:vAlign w:val="center"/>
            <w:hideMark/>
          </w:tcPr>
          <w:p w14:paraId="1679FE5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2" w:type="dxa"/>
            <w:tcBorders>
              <w:top w:val="nil"/>
              <w:left w:val="nil"/>
              <w:bottom w:val="single" w:sz="4" w:space="0" w:color="auto"/>
              <w:right w:val="single" w:sz="4" w:space="0" w:color="auto"/>
            </w:tcBorders>
            <w:shd w:val="clear" w:color="auto" w:fill="auto"/>
            <w:noWrap/>
            <w:vAlign w:val="center"/>
            <w:hideMark/>
          </w:tcPr>
          <w:p w14:paraId="611F991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0" w:type="dxa"/>
            <w:tcBorders>
              <w:top w:val="nil"/>
              <w:left w:val="nil"/>
              <w:bottom w:val="single" w:sz="4" w:space="0" w:color="auto"/>
              <w:right w:val="single" w:sz="4" w:space="0" w:color="auto"/>
            </w:tcBorders>
            <w:shd w:val="clear" w:color="auto" w:fill="auto"/>
            <w:noWrap/>
            <w:vAlign w:val="center"/>
            <w:hideMark/>
          </w:tcPr>
          <w:p w14:paraId="1440CB6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0" w:type="dxa"/>
            <w:tcBorders>
              <w:top w:val="nil"/>
              <w:left w:val="nil"/>
              <w:bottom w:val="single" w:sz="4" w:space="0" w:color="auto"/>
              <w:right w:val="single" w:sz="4" w:space="0" w:color="auto"/>
            </w:tcBorders>
            <w:shd w:val="clear" w:color="auto" w:fill="auto"/>
            <w:noWrap/>
            <w:vAlign w:val="center"/>
            <w:hideMark/>
          </w:tcPr>
          <w:p w14:paraId="14C7927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094E8BC0"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1FD7869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414</w:t>
            </w:r>
          </w:p>
        </w:tc>
        <w:tc>
          <w:tcPr>
            <w:tcW w:w="1580" w:type="dxa"/>
            <w:tcBorders>
              <w:top w:val="nil"/>
              <w:left w:val="nil"/>
              <w:bottom w:val="single" w:sz="4" w:space="0" w:color="auto"/>
              <w:right w:val="single" w:sz="4" w:space="0" w:color="auto"/>
            </w:tcBorders>
            <w:shd w:val="clear" w:color="000000" w:fill="FFFFFF"/>
            <w:noWrap/>
            <w:vAlign w:val="center"/>
            <w:hideMark/>
          </w:tcPr>
          <w:p w14:paraId="2A52762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1.129.464,80</w:t>
            </w:r>
          </w:p>
        </w:tc>
        <w:tc>
          <w:tcPr>
            <w:tcW w:w="1520" w:type="dxa"/>
            <w:tcBorders>
              <w:top w:val="nil"/>
              <w:left w:val="nil"/>
              <w:bottom w:val="single" w:sz="4" w:space="0" w:color="auto"/>
              <w:right w:val="single" w:sz="4" w:space="0" w:color="auto"/>
            </w:tcBorders>
            <w:shd w:val="clear" w:color="000000" w:fill="FFFFFF"/>
            <w:noWrap/>
            <w:vAlign w:val="center"/>
            <w:hideMark/>
          </w:tcPr>
          <w:p w14:paraId="388B1A8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810.181,46</w:t>
            </w:r>
          </w:p>
        </w:tc>
        <w:tc>
          <w:tcPr>
            <w:tcW w:w="972" w:type="dxa"/>
            <w:tcBorders>
              <w:top w:val="nil"/>
              <w:left w:val="nil"/>
              <w:bottom w:val="single" w:sz="4" w:space="0" w:color="auto"/>
              <w:right w:val="single" w:sz="4" w:space="0" w:color="auto"/>
            </w:tcBorders>
            <w:shd w:val="clear" w:color="auto" w:fill="auto"/>
            <w:noWrap/>
            <w:vAlign w:val="center"/>
            <w:hideMark/>
          </w:tcPr>
          <w:p w14:paraId="4B85392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0" w:type="dxa"/>
            <w:tcBorders>
              <w:top w:val="nil"/>
              <w:left w:val="nil"/>
              <w:bottom w:val="single" w:sz="4" w:space="0" w:color="auto"/>
              <w:right w:val="single" w:sz="4" w:space="0" w:color="auto"/>
            </w:tcBorders>
            <w:shd w:val="clear" w:color="auto" w:fill="auto"/>
            <w:noWrap/>
            <w:vAlign w:val="center"/>
            <w:hideMark/>
          </w:tcPr>
          <w:p w14:paraId="50EF83E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28,27</w:t>
            </w:r>
          </w:p>
        </w:tc>
        <w:tc>
          <w:tcPr>
            <w:tcW w:w="1130" w:type="dxa"/>
            <w:tcBorders>
              <w:top w:val="nil"/>
              <w:left w:val="nil"/>
              <w:bottom w:val="single" w:sz="4" w:space="0" w:color="auto"/>
              <w:right w:val="single" w:sz="4" w:space="0" w:color="auto"/>
            </w:tcBorders>
            <w:shd w:val="clear" w:color="auto" w:fill="auto"/>
            <w:noWrap/>
            <w:vAlign w:val="center"/>
            <w:hideMark/>
          </w:tcPr>
          <w:p w14:paraId="0FA35DB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EA09829" w14:textId="77777777" w:rsidTr="00F56356">
        <w:trPr>
          <w:trHeight w:val="315"/>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2553F18F"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80" w:type="dxa"/>
            <w:tcBorders>
              <w:top w:val="nil"/>
              <w:left w:val="nil"/>
              <w:bottom w:val="single" w:sz="4" w:space="0" w:color="auto"/>
              <w:right w:val="single" w:sz="4" w:space="0" w:color="auto"/>
            </w:tcBorders>
            <w:shd w:val="clear" w:color="000000" w:fill="FFFFFF"/>
            <w:noWrap/>
            <w:vAlign w:val="center"/>
            <w:hideMark/>
          </w:tcPr>
          <w:p w14:paraId="2066C64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18.196.998,87</w:t>
            </w:r>
          </w:p>
        </w:tc>
        <w:tc>
          <w:tcPr>
            <w:tcW w:w="1520" w:type="dxa"/>
            <w:tcBorders>
              <w:top w:val="nil"/>
              <w:left w:val="nil"/>
              <w:bottom w:val="single" w:sz="4" w:space="0" w:color="auto"/>
              <w:right w:val="single" w:sz="4" w:space="0" w:color="auto"/>
            </w:tcBorders>
            <w:shd w:val="clear" w:color="000000" w:fill="FFFFFF"/>
            <w:noWrap/>
            <w:vAlign w:val="center"/>
            <w:hideMark/>
          </w:tcPr>
          <w:p w14:paraId="21D0742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3.210.617,63</w:t>
            </w:r>
          </w:p>
        </w:tc>
        <w:tc>
          <w:tcPr>
            <w:tcW w:w="972" w:type="dxa"/>
            <w:tcBorders>
              <w:top w:val="nil"/>
              <w:left w:val="nil"/>
              <w:bottom w:val="nil"/>
              <w:right w:val="nil"/>
            </w:tcBorders>
            <w:shd w:val="clear" w:color="auto" w:fill="auto"/>
            <w:noWrap/>
            <w:vAlign w:val="center"/>
            <w:hideMark/>
          </w:tcPr>
          <w:p w14:paraId="550482B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90" w:type="dxa"/>
            <w:tcBorders>
              <w:top w:val="nil"/>
              <w:left w:val="nil"/>
              <w:bottom w:val="nil"/>
              <w:right w:val="nil"/>
            </w:tcBorders>
            <w:shd w:val="clear" w:color="auto" w:fill="auto"/>
            <w:noWrap/>
            <w:vAlign w:val="center"/>
            <w:hideMark/>
          </w:tcPr>
          <w:p w14:paraId="29166C3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30" w:type="dxa"/>
            <w:tcBorders>
              <w:top w:val="nil"/>
              <w:left w:val="nil"/>
              <w:bottom w:val="nil"/>
              <w:right w:val="nil"/>
            </w:tcBorders>
            <w:shd w:val="clear" w:color="auto" w:fill="auto"/>
            <w:noWrap/>
            <w:vAlign w:val="center"/>
            <w:hideMark/>
          </w:tcPr>
          <w:p w14:paraId="5C42180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21FA5202" w14:textId="77777777" w:rsidR="00F56356" w:rsidRPr="00F56356" w:rsidRDefault="00F56356" w:rsidP="00F56356">
      <w:pPr>
        <w:spacing w:after="0" w:line="360" w:lineRule="auto"/>
        <w:jc w:val="center"/>
        <w:rPr>
          <w:rFonts w:ascii="Times New Roman" w:eastAsiaTheme="minorEastAsia" w:hAnsi="Times New Roman" w:cs="Times New Roman"/>
          <w:color w:val="000000" w:themeColor="text1"/>
          <w:sz w:val="24"/>
          <w:szCs w:val="24"/>
          <w:lang w:eastAsia="it-IT"/>
        </w:rPr>
      </w:pPr>
    </w:p>
    <w:p w14:paraId="1B28ECF9"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color w:val="8DB3E2" w:themeColor="text2" w:themeTint="66"/>
          <w:sz w:val="24"/>
          <w:szCs w:val="24"/>
          <w:lang w:eastAsia="it-IT"/>
        </w:rPr>
      </w:pPr>
      <w:r w:rsidRPr="00F56356">
        <w:rPr>
          <w:rFonts w:ascii="Times New Roman" w:eastAsiaTheme="minorEastAsia" w:hAnsi="Times New Roman" w:cs="Times New Roman"/>
          <w:b/>
          <w:sz w:val="24"/>
          <w:szCs w:val="24"/>
          <w:lang w:eastAsia="it-IT"/>
        </w:rPr>
        <w:t>2.2</w:t>
      </w:r>
      <w:r w:rsidRPr="00F56356">
        <w:rPr>
          <w:rFonts w:ascii="Times New Roman" w:eastAsiaTheme="minorEastAsia" w:hAnsi="Times New Roman" w:cs="Times New Roman"/>
          <w:sz w:val="24"/>
          <w:szCs w:val="24"/>
          <w:lang w:eastAsia="it-IT"/>
        </w:rPr>
        <w:t xml:space="preserve"> Le risorse impegnate pari a euro </w:t>
      </w:r>
      <w:r w:rsidRPr="00F56356">
        <w:rPr>
          <w:rFonts w:ascii="Times New Roman" w:eastAsiaTheme="minorEastAsia" w:hAnsi="Times New Roman" w:cs="Times New Roman"/>
          <w:color w:val="000000" w:themeColor="text1"/>
          <w:sz w:val="24"/>
          <w:szCs w:val="24"/>
          <w:lang w:eastAsia="it-IT"/>
        </w:rPr>
        <w:t>49.846.464,86</w:t>
      </w:r>
      <w:r w:rsidRPr="00F56356">
        <w:rPr>
          <w:rFonts w:eastAsiaTheme="minorEastAsia" w:cs="Times New Roman"/>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sono state destinate per euro 1.795.876,68 al funzionamento ed euro 48.050.588,18 agli interventi.</w:t>
      </w:r>
    </w:p>
    <w:p w14:paraId="0C17C28F"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color w:val="8DB3E2" w:themeColor="text2" w:themeTint="66"/>
          <w:sz w:val="16"/>
          <w:szCs w:val="24"/>
          <w:lang w:eastAsia="it-IT"/>
        </w:rPr>
      </w:pPr>
    </w:p>
    <w:p w14:paraId="068FA0F9"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sz w:val="24"/>
          <w:szCs w:val="24"/>
          <w:lang w:eastAsia="it-IT"/>
        </w:rPr>
        <w:lastRenderedPageBreak/>
        <w:t xml:space="preserve">2.2.1 </w:t>
      </w:r>
      <w:r w:rsidRPr="00F56356">
        <w:rPr>
          <w:rFonts w:ascii="Times New Roman" w:eastAsiaTheme="minorEastAsia" w:hAnsi="Times New Roman" w:cs="Times New Roman"/>
          <w:sz w:val="24"/>
          <w:szCs w:val="24"/>
          <w:lang w:eastAsia="it-IT"/>
        </w:rPr>
        <w:t xml:space="preserve">Le risorse impegnate per il funzionamento di euro </w:t>
      </w:r>
      <w:r w:rsidRPr="00F56356">
        <w:rPr>
          <w:rFonts w:ascii="Times New Roman" w:eastAsiaTheme="minorEastAsia" w:hAnsi="Times New Roman" w:cs="Times New Roman"/>
          <w:color w:val="000000" w:themeColor="text1"/>
          <w:sz w:val="24"/>
          <w:szCs w:val="24"/>
          <w:lang w:eastAsia="it-IT"/>
        </w:rPr>
        <w:t>1.795.876,68</w:t>
      </w:r>
      <w:r w:rsidRPr="00F56356">
        <w:rPr>
          <w:rFonts w:ascii="Times New Roman" w:eastAsiaTheme="minorEastAsia" w:hAnsi="Times New Roman" w:cs="Times New Roman"/>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sono state destinate alle spese per il funzionamento per il Nucleo della Concretezza (cap. 375), al rimborso delle spese di missioni nel territorio nazionale e all’estero e per attività ispettiva (cap. 376), ai gettoni di presenza per i componenti della Commissione per l’attuazione del progetto di riqualificazione delle pubbliche amministrazioni (RIPAM) (cap. 380), alle spese per giornali, periodici, riviste e abbonamenti </w:t>
      </w:r>
      <w:r w:rsidRPr="00F56356">
        <w:rPr>
          <w:rFonts w:ascii="Times New Roman" w:eastAsiaTheme="minorEastAsia" w:hAnsi="Times New Roman" w:cs="Times New Roman"/>
          <w:i/>
          <w:color w:val="000000" w:themeColor="text1"/>
          <w:sz w:val="24"/>
          <w:szCs w:val="24"/>
          <w:lang w:eastAsia="it-IT"/>
        </w:rPr>
        <w:t>on line</w:t>
      </w:r>
      <w:r w:rsidRPr="00F56356">
        <w:rPr>
          <w:rFonts w:ascii="Times New Roman" w:eastAsiaTheme="minorEastAsia" w:hAnsi="Times New Roman" w:cs="Times New Roman"/>
          <w:color w:val="000000" w:themeColor="text1"/>
          <w:sz w:val="24"/>
          <w:szCs w:val="24"/>
          <w:lang w:eastAsia="it-IT"/>
        </w:rPr>
        <w:t xml:space="preserve"> (cap. 383),</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ai rimborsi al Capo della Tesoreria per la sistemazione F24 EP (cap. 399), alle spese  di rappresentanza (cap. 405) e alle spese per il funzionamento dell’Unità per la valutazione della performance (cap. 416).</w:t>
      </w:r>
    </w:p>
    <w:p w14:paraId="4F1F2CB3"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p>
    <w:p w14:paraId="7A02AA5D" w14:textId="77777777" w:rsidR="00F56356" w:rsidRPr="00F56356" w:rsidRDefault="00F56356"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eastAsiaTheme="minorEastAsia" w:cs="Times New Roman"/>
          <w:noProof/>
          <w:lang w:eastAsia="it-IT"/>
        </w:rPr>
        <w:drawing>
          <wp:anchor distT="0" distB="0" distL="114300" distR="114300" simplePos="0" relativeHeight="251686912" behindDoc="1" locked="0" layoutInCell="1" allowOverlap="1" wp14:anchorId="7054A703" wp14:editId="7A980EA1">
            <wp:simplePos x="0" y="0"/>
            <wp:positionH relativeFrom="margin">
              <wp:align>right</wp:align>
            </wp:positionH>
            <wp:positionV relativeFrom="paragraph">
              <wp:posOffset>266065</wp:posOffset>
            </wp:positionV>
            <wp:extent cx="6019165" cy="3095625"/>
            <wp:effectExtent l="0" t="0" r="635" b="9525"/>
            <wp:wrapTight wrapText="bothSides">
              <wp:wrapPolygon edited="0">
                <wp:start x="0" y="0"/>
                <wp:lineTo x="0" y="21534"/>
                <wp:lineTo x="11758" y="21534"/>
                <wp:lineTo x="16407" y="21268"/>
                <wp:lineTo x="21534" y="20204"/>
                <wp:lineTo x="21534"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19165" cy="309562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Indicatori di bilancio</w:t>
      </w:r>
    </w:p>
    <w:p w14:paraId="534E9BBC" w14:textId="77777777" w:rsidR="00F56356" w:rsidRPr="00F56356" w:rsidRDefault="00F56356" w:rsidP="00F56356">
      <w:pPr>
        <w:tabs>
          <w:tab w:val="left" w:pos="0"/>
        </w:tabs>
        <w:spacing w:after="0" w:line="240" w:lineRule="auto"/>
        <w:jc w:val="both"/>
        <w:rPr>
          <w:rFonts w:ascii="Times New Roman" w:eastAsiaTheme="minorEastAsia" w:hAnsi="Times New Roman" w:cs="Times New Roman"/>
          <w:sz w:val="16"/>
          <w:szCs w:val="16"/>
          <w:lang w:eastAsia="it-IT"/>
        </w:rPr>
      </w:pPr>
    </w:p>
    <w:p w14:paraId="09B94F25" w14:textId="77777777" w:rsidR="00F56356" w:rsidRPr="00F56356" w:rsidRDefault="00F56356" w:rsidP="00F56356">
      <w:pPr>
        <w:tabs>
          <w:tab w:val="left" w:pos="0"/>
        </w:tabs>
        <w:spacing w:after="0" w:line="240" w:lineRule="auto"/>
        <w:jc w:val="center"/>
        <w:rPr>
          <w:rFonts w:ascii="Times New Roman" w:eastAsiaTheme="minorEastAsia" w:hAnsi="Times New Roman" w:cs="Times New Roman"/>
          <w:sz w:val="6"/>
          <w:szCs w:val="16"/>
          <w:lang w:eastAsia="it-IT"/>
        </w:rPr>
      </w:pPr>
    </w:p>
    <w:p w14:paraId="251DFBBC" w14:textId="77777777" w:rsidR="00F56356" w:rsidRPr="00F56356" w:rsidRDefault="00F56356" w:rsidP="00F56356">
      <w:pPr>
        <w:tabs>
          <w:tab w:val="left" w:pos="0"/>
        </w:tabs>
        <w:spacing w:after="0" w:line="240" w:lineRule="auto"/>
        <w:jc w:val="both"/>
        <w:rPr>
          <w:rFonts w:ascii="Times New Roman" w:eastAsiaTheme="minorEastAsia" w:hAnsi="Times New Roman" w:cs="Times New Roman"/>
          <w:sz w:val="2"/>
          <w:szCs w:val="16"/>
          <w:lang w:eastAsia="it-IT"/>
        </w:rPr>
      </w:pPr>
    </w:p>
    <w:p w14:paraId="0A4F251B" w14:textId="77777777" w:rsidR="00F56356" w:rsidRPr="00F56356" w:rsidRDefault="00F56356" w:rsidP="00F56356">
      <w:pPr>
        <w:tabs>
          <w:tab w:val="left" w:pos="284"/>
        </w:tabs>
        <w:spacing w:after="0" w:line="240" w:lineRule="auto"/>
        <w:ind w:left="142"/>
        <w:jc w:val="both"/>
        <w:rPr>
          <w:rFonts w:ascii="Times New Roman" w:eastAsiaTheme="minorEastAsia" w:hAnsi="Times New Roman" w:cs="Times New Roman"/>
          <w:i/>
          <w:color w:val="000000" w:themeColor="text1"/>
          <w:sz w:val="16"/>
          <w:szCs w:val="16"/>
          <w:lang w:eastAsia="it-IT"/>
        </w:rPr>
      </w:pPr>
      <w:r w:rsidRPr="00F56356">
        <w:rPr>
          <w:rFonts w:ascii="Times New Roman" w:eastAsiaTheme="minorEastAsia" w:hAnsi="Times New Roman" w:cs="Times New Roman"/>
          <w:i/>
          <w:color w:val="000000" w:themeColor="text1"/>
          <w:sz w:val="16"/>
          <w:szCs w:val="16"/>
          <w:lang w:eastAsia="it-IT"/>
        </w:rPr>
        <w:t xml:space="preserve">(*) Le risorse stanziate sui capitoli 131 e 426 per gli esperti e per il personale assegnati all’Unità per la semplificazione e la qualità della regolazione e all’Unità per la valutazione della performance sono state trasferite ai capitoli 125 e 124, iscritti nel CR 1 “Segretariato generale” per la gestione in forma accentrata da parte del Dipartimento per il personale. </w:t>
      </w:r>
    </w:p>
    <w:p w14:paraId="194F2D11" w14:textId="77777777" w:rsidR="00F56356" w:rsidRPr="00F56356" w:rsidRDefault="00F56356" w:rsidP="00F56356">
      <w:pPr>
        <w:tabs>
          <w:tab w:val="left" w:pos="0"/>
        </w:tabs>
        <w:spacing w:after="0" w:line="240" w:lineRule="auto"/>
        <w:jc w:val="both"/>
        <w:rPr>
          <w:rFonts w:eastAsiaTheme="minorEastAsia" w:cstheme="minorHAnsi"/>
          <w:color w:val="000000" w:themeColor="text1"/>
          <w:sz w:val="16"/>
          <w:szCs w:val="16"/>
          <w:lang w:eastAsia="it-IT"/>
        </w:rPr>
      </w:pPr>
    </w:p>
    <w:p w14:paraId="0D8097C1" w14:textId="020AFE47" w:rsidR="00F56356" w:rsidRDefault="00F56356" w:rsidP="00F56356">
      <w:pPr>
        <w:tabs>
          <w:tab w:val="left" w:pos="284"/>
        </w:tabs>
        <w:spacing w:after="0" w:line="360" w:lineRule="auto"/>
        <w:jc w:val="both"/>
        <w:rPr>
          <w:rFonts w:ascii="Times New Roman" w:eastAsiaTheme="minorEastAsia" w:hAnsi="Times New Roman" w:cs="Times New Roman"/>
          <w:b/>
          <w:color w:val="FF0000"/>
          <w:sz w:val="24"/>
          <w:szCs w:val="24"/>
          <w:lang w:eastAsia="it-IT"/>
        </w:rPr>
      </w:pPr>
    </w:p>
    <w:p w14:paraId="194A91E5"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2.2.2</w:t>
      </w:r>
      <w:r w:rsidRPr="00F56356">
        <w:rPr>
          <w:rFonts w:ascii="Times New Roman" w:eastAsiaTheme="minorEastAsia" w:hAnsi="Times New Roman" w:cs="Times New Roman"/>
          <w:sz w:val="24"/>
          <w:szCs w:val="24"/>
          <w:lang w:eastAsia="it-IT"/>
        </w:rPr>
        <w:t xml:space="preserve"> Le risorse impegnate per interventi di euro </w:t>
      </w:r>
      <w:r w:rsidRPr="00F56356">
        <w:rPr>
          <w:rFonts w:ascii="Times New Roman" w:eastAsiaTheme="minorEastAsia" w:hAnsi="Times New Roman" w:cs="Times New Roman"/>
          <w:color w:val="000000" w:themeColor="text1"/>
          <w:sz w:val="24"/>
          <w:szCs w:val="24"/>
          <w:lang w:eastAsia="it-IT"/>
        </w:rPr>
        <w:t xml:space="preserve">48.050.588,18, di cui euro 604.341,60 riferiti a reiscrizioni di residui passivi perenti, </w:t>
      </w:r>
      <w:r w:rsidRPr="00F56356">
        <w:rPr>
          <w:rFonts w:ascii="Times New Roman" w:eastAsiaTheme="minorEastAsia" w:hAnsi="Times New Roman" w:cs="Times New Roman"/>
          <w:sz w:val="24"/>
          <w:szCs w:val="24"/>
          <w:lang w:eastAsia="it-IT"/>
        </w:rPr>
        <w:t>sono state destinate:</w:t>
      </w:r>
    </w:p>
    <w:p w14:paraId="5CCBBC4E"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w:t>
      </w:r>
      <w:r w:rsidRPr="00F56356">
        <w:rPr>
          <w:rFonts w:ascii="Times New Roman" w:eastAsiaTheme="minorEastAsia" w:hAnsi="Times New Roman" w:cs="Times New Roman"/>
          <w:i/>
          <w:color w:val="000000" w:themeColor="text1"/>
          <w:sz w:val="24"/>
          <w:szCs w:val="24"/>
          <w:lang w:eastAsia="it-IT"/>
        </w:rPr>
        <w:t>“Fondo per l’innovazione sociale</w:t>
      </w:r>
      <w:r w:rsidRPr="00F56356">
        <w:rPr>
          <w:rFonts w:ascii="Times New Roman" w:eastAsiaTheme="minorEastAsia" w:hAnsi="Times New Roman" w:cs="Times New Roman"/>
          <w:color w:val="000000" w:themeColor="text1"/>
          <w:sz w:val="24"/>
          <w:szCs w:val="24"/>
          <w:lang w:eastAsia="it-IT"/>
        </w:rPr>
        <w:t>” (cap. 243)</w:t>
      </w:r>
    </w:p>
    <w:p w14:paraId="0F03EC6F"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8.052.444,00 al finanziamento di progetti sperimentali e studi di fattibilità con i Comuni, e in particolare:</w:t>
      </w:r>
    </w:p>
    <w:p w14:paraId="2492079D"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Torino;</w:t>
      </w:r>
    </w:p>
    <w:p w14:paraId="113AC8BC"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Novara;</w:t>
      </w:r>
    </w:p>
    <w:p w14:paraId="17339EB4"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449.024,00 comune di Prato;</w:t>
      </w:r>
    </w:p>
    <w:p w14:paraId="325C2107"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450.000,00 comune di Catanzaro; </w:t>
      </w:r>
    </w:p>
    <w:p w14:paraId="136BE7E1"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Lecce;</w:t>
      </w:r>
    </w:p>
    <w:p w14:paraId="2DAB7084"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 euro 450.000,00 comune di Padova;</w:t>
      </w:r>
    </w:p>
    <w:p w14:paraId="25084043"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417.000,00 comune di Bergamo;</w:t>
      </w:r>
    </w:p>
    <w:p w14:paraId="489608AE"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Campobasso;</w:t>
      </w:r>
    </w:p>
    <w:p w14:paraId="3ED7D9D9"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Fermo;</w:t>
      </w:r>
    </w:p>
    <w:p w14:paraId="79CD1D1D"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Siracusa;</w:t>
      </w:r>
    </w:p>
    <w:p w14:paraId="4CE2E615"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Lucca;</w:t>
      </w:r>
    </w:p>
    <w:p w14:paraId="37A199E8"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Cuneo;</w:t>
      </w:r>
    </w:p>
    <w:p w14:paraId="4D9A30CC"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436.500,00 comune di Trapani;</w:t>
      </w:r>
    </w:p>
    <w:p w14:paraId="2F4EE1F2"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Milano;</w:t>
      </w:r>
    </w:p>
    <w:p w14:paraId="003EC09B"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449.920,00 comune di Roma capitale;</w:t>
      </w:r>
    </w:p>
    <w:p w14:paraId="026FBCED"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Bari;</w:t>
      </w:r>
    </w:p>
    <w:p w14:paraId="13AF6F92"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Firenze;</w:t>
      </w:r>
    </w:p>
    <w:p w14:paraId="4C5800FA"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450.000,00 comune di Perugia;</w:t>
      </w:r>
    </w:p>
    <w:p w14:paraId="672A65AD"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b) “</w:t>
      </w:r>
      <w:r w:rsidRPr="00F56356">
        <w:rPr>
          <w:rFonts w:ascii="Times New Roman" w:eastAsiaTheme="minorEastAsia" w:hAnsi="Times New Roman" w:cs="Times New Roman"/>
          <w:i/>
          <w:color w:val="000000" w:themeColor="text1"/>
          <w:sz w:val="24"/>
          <w:szCs w:val="24"/>
          <w:lang w:eastAsia="it-IT"/>
        </w:rPr>
        <w:t>Quota assicurativa INAIL</w:t>
      </w:r>
      <w:r w:rsidRPr="00F56356">
        <w:rPr>
          <w:rFonts w:ascii="Times New Roman" w:eastAsiaTheme="minorEastAsia" w:hAnsi="Times New Roman" w:cs="Times New Roman"/>
          <w:color w:val="000000" w:themeColor="text1"/>
          <w:sz w:val="24"/>
          <w:szCs w:val="24"/>
          <w:lang w:eastAsia="it-IT"/>
        </w:rPr>
        <w:t xml:space="preserve">” (cap. 373) </w:t>
      </w:r>
    </w:p>
    <w:p w14:paraId="608B80C0"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177,35 al versamento di quote assicurative all’INAIL;</w:t>
      </w:r>
    </w:p>
    <w:p w14:paraId="62D73CF6"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c) “</w:t>
      </w:r>
      <w:r w:rsidRPr="00F56356">
        <w:rPr>
          <w:rFonts w:ascii="Times New Roman" w:eastAsiaTheme="minorEastAsia" w:hAnsi="Times New Roman" w:cs="Times New Roman"/>
          <w:i/>
          <w:color w:val="000000" w:themeColor="text1"/>
          <w:sz w:val="24"/>
          <w:szCs w:val="24"/>
          <w:lang w:eastAsia="it-IT"/>
        </w:rPr>
        <w:t>Partecipazione alle spese dell’Istituto europeo di amministrazione pubblica di Maastricht e di altri organismi internazionali”</w:t>
      </w:r>
      <w:r w:rsidRPr="00F56356">
        <w:rPr>
          <w:rFonts w:ascii="Times New Roman" w:eastAsiaTheme="minorEastAsia" w:hAnsi="Times New Roman" w:cs="Times New Roman"/>
          <w:color w:val="000000" w:themeColor="text1"/>
          <w:sz w:val="24"/>
          <w:szCs w:val="24"/>
          <w:lang w:eastAsia="it-IT"/>
        </w:rPr>
        <w:t xml:space="preserve"> (cap. 404) </w:t>
      </w:r>
    </w:p>
    <w:p w14:paraId="764A82D4"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153.750,00, di cui euro 55.000,00 quale contributo italiano all’EIPA - anno 2022 ed euro 98.750,00 quale contributo di adesione all’Open Government </w:t>
      </w:r>
      <w:proofErr w:type="spellStart"/>
      <w:r w:rsidRPr="00F56356">
        <w:rPr>
          <w:rFonts w:ascii="Times New Roman" w:eastAsia="Times New Roman" w:hAnsi="Times New Roman" w:cs="Times New Roman"/>
          <w:color w:val="000000" w:themeColor="text1"/>
          <w:sz w:val="24"/>
          <w:szCs w:val="24"/>
          <w:lang w:eastAsia="it-IT"/>
        </w:rPr>
        <w:t>Partership</w:t>
      </w:r>
      <w:proofErr w:type="spellEnd"/>
      <w:r w:rsidRPr="00F56356">
        <w:rPr>
          <w:rFonts w:ascii="Times New Roman" w:eastAsia="Times New Roman" w:hAnsi="Times New Roman" w:cs="Times New Roman"/>
          <w:color w:val="000000" w:themeColor="text1"/>
          <w:sz w:val="24"/>
          <w:szCs w:val="24"/>
          <w:lang w:eastAsia="it-IT"/>
        </w:rPr>
        <w:t xml:space="preserve"> - anno 2022; </w:t>
      </w:r>
    </w:p>
    <w:p w14:paraId="2389FA93"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d) “</w:t>
      </w:r>
      <w:r w:rsidRPr="00F56356">
        <w:rPr>
          <w:rFonts w:ascii="Times New Roman" w:eastAsiaTheme="minorEastAsia" w:hAnsi="Times New Roman" w:cs="Times New Roman"/>
          <w:i/>
          <w:color w:val="000000" w:themeColor="text1"/>
          <w:sz w:val="24"/>
          <w:szCs w:val="24"/>
          <w:lang w:eastAsia="it-IT"/>
        </w:rPr>
        <w:t>Interventi di rafforzamento della capacità amministrativa per la modernizzazione della P.A., ivi compreso lo sviluppo di banche dati”</w:t>
      </w:r>
      <w:r w:rsidRPr="00F56356">
        <w:rPr>
          <w:rFonts w:ascii="Times New Roman" w:eastAsiaTheme="minorEastAsia" w:hAnsi="Times New Roman" w:cs="Times New Roman"/>
          <w:color w:val="000000" w:themeColor="text1"/>
          <w:sz w:val="24"/>
          <w:szCs w:val="24"/>
          <w:lang w:eastAsia="it-IT"/>
        </w:rPr>
        <w:t xml:space="preserve"> (cap. 408) </w:t>
      </w:r>
    </w:p>
    <w:p w14:paraId="7F5EA11B"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4.450.862,72, di cui:</w:t>
      </w:r>
    </w:p>
    <w:p w14:paraId="6C57827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213.924,88, riferiti a reiscrizioni di residui passivi perenti;</w:t>
      </w:r>
    </w:p>
    <w:p w14:paraId="7435F503"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2.534.897,76 alla prosecuzione delle attività, in collaborazione con il Ministero dell’interno quale Autorità di gestione dei PAC, volte alla realizzazione di specifiche azioni di supporto e rafforzamento delle competenze e delle strutture organizzative delle amministrazioni territoriali coinvolte nell’attuazione del “Programma Nazionale servizi di cura all’infanzia e agli anziani non autosufficienti”; </w:t>
      </w:r>
    </w:p>
    <w:p w14:paraId="55055AD1"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1.002.169,56 all’acquisizione di servizi di hosting e di cloud computing per le banche dati del Dipartimento, tramite contratto esecutivo, e successivi atti aggiuntivi e implementazioni, nell’ambito del contratto quadro SPC Cloud lotto 1; </w:t>
      </w:r>
    </w:p>
    <w:p w14:paraId="4979DEF7"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150.000,00 all’implementazione e manutenzione del sistema di banche dati </w:t>
      </w:r>
      <w:proofErr w:type="spellStart"/>
      <w:r w:rsidRPr="00F56356">
        <w:rPr>
          <w:rFonts w:ascii="Times New Roman" w:eastAsia="Times New Roman" w:hAnsi="Times New Roman" w:cs="Times New Roman"/>
          <w:color w:val="000000" w:themeColor="text1"/>
          <w:sz w:val="24"/>
          <w:szCs w:val="24"/>
          <w:lang w:eastAsia="it-IT"/>
        </w:rPr>
        <w:t>PerlaPA</w:t>
      </w:r>
      <w:proofErr w:type="spellEnd"/>
      <w:r w:rsidRPr="00F56356">
        <w:rPr>
          <w:rFonts w:ascii="Times New Roman" w:eastAsia="Times New Roman" w:hAnsi="Times New Roman" w:cs="Times New Roman"/>
          <w:color w:val="000000" w:themeColor="text1"/>
          <w:sz w:val="24"/>
          <w:szCs w:val="24"/>
          <w:lang w:eastAsia="it-IT"/>
        </w:rPr>
        <w:t xml:space="preserve"> e </w:t>
      </w:r>
      <w:proofErr w:type="spellStart"/>
      <w:r w:rsidRPr="00F56356">
        <w:rPr>
          <w:rFonts w:ascii="Times New Roman" w:eastAsia="Times New Roman" w:hAnsi="Times New Roman" w:cs="Times New Roman"/>
          <w:color w:val="000000" w:themeColor="text1"/>
          <w:sz w:val="24"/>
          <w:szCs w:val="24"/>
          <w:lang w:eastAsia="it-IT"/>
        </w:rPr>
        <w:t>OpenData</w:t>
      </w:r>
      <w:proofErr w:type="spellEnd"/>
      <w:r w:rsidRPr="00F56356">
        <w:rPr>
          <w:rFonts w:ascii="Times New Roman" w:eastAsia="Times New Roman" w:hAnsi="Times New Roman" w:cs="Times New Roman"/>
          <w:color w:val="000000" w:themeColor="text1"/>
          <w:sz w:val="24"/>
          <w:szCs w:val="24"/>
          <w:lang w:eastAsia="it-IT"/>
        </w:rPr>
        <w:t xml:space="preserve"> DFP;</w:t>
      </w:r>
    </w:p>
    <w:p w14:paraId="636B77CE"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293,18 al contributo Consip relativo al contratto quadro Cloud lotto 4;</w:t>
      </w:r>
    </w:p>
    <w:p w14:paraId="2CDFFE04"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122.000,00 all’acquisto del servizio di supporto specialistico avente ad oggetto l’</w:t>
      </w:r>
      <w:proofErr w:type="spellStart"/>
      <w:r w:rsidRPr="00F56356">
        <w:rPr>
          <w:rFonts w:ascii="Times New Roman" w:eastAsia="Times New Roman" w:hAnsi="Times New Roman" w:cs="Times New Roman"/>
          <w:color w:val="000000" w:themeColor="text1"/>
          <w:sz w:val="24"/>
          <w:szCs w:val="24"/>
          <w:lang w:eastAsia="it-IT"/>
        </w:rPr>
        <w:t>assessment</w:t>
      </w:r>
      <w:proofErr w:type="spellEnd"/>
      <w:r w:rsidRPr="00F56356">
        <w:rPr>
          <w:rFonts w:ascii="Times New Roman" w:eastAsia="Times New Roman" w:hAnsi="Times New Roman" w:cs="Times New Roman"/>
          <w:color w:val="000000" w:themeColor="text1"/>
          <w:sz w:val="24"/>
          <w:szCs w:val="24"/>
          <w:lang w:eastAsia="it-IT"/>
        </w:rPr>
        <w:t xml:space="preserve"> procedurale e organizzativo di </w:t>
      </w:r>
      <w:proofErr w:type="spellStart"/>
      <w:r w:rsidRPr="00F56356">
        <w:rPr>
          <w:rFonts w:ascii="Times New Roman" w:eastAsia="Times New Roman" w:hAnsi="Times New Roman" w:cs="Times New Roman"/>
          <w:color w:val="000000" w:themeColor="text1"/>
          <w:sz w:val="24"/>
          <w:szCs w:val="24"/>
          <w:lang w:eastAsia="it-IT"/>
        </w:rPr>
        <w:t>Formez</w:t>
      </w:r>
      <w:proofErr w:type="spellEnd"/>
      <w:r w:rsidRPr="00F56356">
        <w:rPr>
          <w:rFonts w:ascii="Times New Roman" w:eastAsia="Times New Roman" w:hAnsi="Times New Roman" w:cs="Times New Roman"/>
          <w:color w:val="000000" w:themeColor="text1"/>
          <w:sz w:val="24"/>
          <w:szCs w:val="24"/>
          <w:lang w:eastAsia="it-IT"/>
        </w:rPr>
        <w:t xml:space="preserve"> PA;</w:t>
      </w:r>
    </w:p>
    <w:p w14:paraId="2820B3A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379.629,40 ai servizi di </w:t>
      </w:r>
      <w:r w:rsidRPr="00F56356">
        <w:rPr>
          <w:rFonts w:ascii="Times New Roman" w:eastAsia="Times New Roman" w:hAnsi="Times New Roman" w:cs="Times New Roman"/>
          <w:iCs/>
          <w:color w:val="000000" w:themeColor="text1"/>
          <w:sz w:val="24"/>
          <w:szCs w:val="24"/>
          <w:lang w:eastAsia="it-IT"/>
        </w:rPr>
        <w:t>cloud computing</w:t>
      </w:r>
      <w:r w:rsidRPr="00F56356">
        <w:rPr>
          <w:rFonts w:ascii="Times New Roman" w:eastAsia="Times New Roman" w:hAnsi="Times New Roman" w:cs="Times New Roman"/>
          <w:color w:val="000000" w:themeColor="text1"/>
          <w:sz w:val="24"/>
          <w:szCs w:val="24"/>
          <w:lang w:eastAsia="it-IT"/>
        </w:rPr>
        <w:t xml:space="preserve">, di sicurezza, di realizzazione di portali e servizi </w:t>
      </w:r>
      <w:r w:rsidRPr="00F56356">
        <w:rPr>
          <w:rFonts w:ascii="Times New Roman" w:eastAsia="Times New Roman" w:hAnsi="Times New Roman" w:cs="Times New Roman"/>
          <w:i/>
          <w:color w:val="000000" w:themeColor="text1"/>
          <w:sz w:val="24"/>
          <w:szCs w:val="24"/>
          <w:lang w:eastAsia="it-IT"/>
        </w:rPr>
        <w:t xml:space="preserve">on line </w:t>
      </w:r>
      <w:r w:rsidRPr="00F56356">
        <w:rPr>
          <w:rFonts w:ascii="Times New Roman" w:eastAsia="Times New Roman" w:hAnsi="Times New Roman" w:cs="Times New Roman"/>
          <w:color w:val="000000" w:themeColor="text1"/>
          <w:sz w:val="24"/>
          <w:szCs w:val="24"/>
          <w:lang w:eastAsia="it-IT"/>
        </w:rPr>
        <w:t>e di cooperazione applicativa per le pubbliche amministrazioni - SPC Cloud lotto 1;</w:t>
      </w:r>
    </w:p>
    <w:p w14:paraId="0999AD9F"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47.917,94 per interventi di manutenzione evolutiva sul sito DFP;</w:t>
      </w:r>
    </w:p>
    <w:p w14:paraId="67A661F5"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30,00 quale contributo all’Autorità Nazionale Anticorruzione (ANAC);</w:t>
      </w:r>
    </w:p>
    <w:p w14:paraId="7508F2DB"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bookmarkStart w:id="45" w:name="_Hlk96685248"/>
      <w:r w:rsidRPr="00F56356">
        <w:rPr>
          <w:rFonts w:ascii="Times New Roman" w:eastAsiaTheme="minorEastAsia" w:hAnsi="Times New Roman" w:cs="Times New Roman"/>
          <w:color w:val="000000" w:themeColor="text1"/>
          <w:sz w:val="24"/>
          <w:szCs w:val="24"/>
          <w:lang w:eastAsia="it-IT"/>
        </w:rPr>
        <w:t>e) “</w:t>
      </w:r>
      <w:r w:rsidRPr="00F56356">
        <w:rPr>
          <w:rFonts w:ascii="Times New Roman" w:eastAsiaTheme="minorEastAsia" w:hAnsi="Times New Roman" w:cs="Times New Roman"/>
          <w:i/>
          <w:color w:val="000000" w:themeColor="text1"/>
          <w:sz w:val="24"/>
          <w:szCs w:val="24"/>
          <w:lang w:eastAsia="it-IT"/>
        </w:rPr>
        <w:t>Spese per onorari e indennità di missione Avvocatura dello Stato e avvocati delegati, notificazioni e comunicazioni, indennità a testimoni, onorari e indennità di missione a consulenti tecnici”</w:t>
      </w:r>
      <w:r w:rsidRPr="00F56356">
        <w:rPr>
          <w:rFonts w:ascii="Times New Roman" w:eastAsiaTheme="minorEastAsia" w:hAnsi="Times New Roman" w:cs="Times New Roman"/>
          <w:color w:val="000000" w:themeColor="text1"/>
          <w:sz w:val="24"/>
          <w:szCs w:val="24"/>
          <w:lang w:eastAsia="it-IT"/>
        </w:rPr>
        <w:t xml:space="preserve"> (cap. 410) </w:t>
      </w:r>
    </w:p>
    <w:p w14:paraId="7359A940"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w:t>
      </w:r>
      <w:r w:rsidRPr="00F56356">
        <w:rPr>
          <w:rFonts w:ascii="Times New Roman" w:eastAsiaTheme="minorEastAsia" w:hAnsi="Times New Roman" w:cs="Times New Roman"/>
          <w:sz w:val="24"/>
          <w:szCs w:val="24"/>
          <w:lang w:eastAsia="it-IT"/>
        </w:rPr>
        <w:t>79.572,12</w:t>
      </w:r>
      <w:r w:rsidRPr="00F56356">
        <w:rPr>
          <w:rFonts w:eastAsiaTheme="minorEastAsia" w:cs="Times New Roman"/>
          <w:lang w:eastAsia="it-IT"/>
        </w:rPr>
        <w:t xml:space="preserve"> </w:t>
      </w:r>
      <w:r w:rsidRPr="00F56356">
        <w:rPr>
          <w:rFonts w:ascii="Times New Roman" w:eastAsiaTheme="minorEastAsia" w:hAnsi="Times New Roman" w:cs="Times New Roman"/>
          <w:color w:val="000000" w:themeColor="text1"/>
          <w:sz w:val="24"/>
          <w:szCs w:val="24"/>
          <w:lang w:eastAsia="it-IT"/>
        </w:rPr>
        <w:t>alle spese per contenziosi;</w:t>
      </w:r>
    </w:p>
    <w:p w14:paraId="51BEF974"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f) “</w:t>
      </w:r>
      <w:r w:rsidRPr="00F56356">
        <w:rPr>
          <w:rFonts w:ascii="Times New Roman" w:eastAsiaTheme="minorEastAsia" w:hAnsi="Times New Roman" w:cs="Times New Roman"/>
          <w:i/>
          <w:color w:val="000000" w:themeColor="text1"/>
          <w:sz w:val="24"/>
          <w:szCs w:val="24"/>
          <w:lang w:eastAsia="it-IT"/>
        </w:rPr>
        <w:t>Interventi per la trasparenza, la partecipazione e l’accountability e l’innovazione della P.A”.</w:t>
      </w:r>
      <w:r w:rsidRPr="00F56356">
        <w:rPr>
          <w:rFonts w:ascii="Times New Roman" w:eastAsiaTheme="minorEastAsia" w:hAnsi="Times New Roman" w:cs="Times New Roman"/>
          <w:color w:val="000000" w:themeColor="text1"/>
          <w:sz w:val="24"/>
          <w:szCs w:val="24"/>
          <w:lang w:eastAsia="it-IT"/>
        </w:rPr>
        <w:t xml:space="preserve"> (cap. 412) </w:t>
      </w:r>
    </w:p>
    <w:p w14:paraId="2674C510"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250.000,00 alla fornitura del supporto tecnico-operativo volto al rafforzamento della capacità di comunicazione e trasmissione dei dati delle PP.AA. tenute agli adempimenti normativi previsti e rientranti nel sistema </w:t>
      </w:r>
      <w:proofErr w:type="spellStart"/>
      <w:r w:rsidRPr="00F56356">
        <w:rPr>
          <w:rFonts w:ascii="Times New Roman" w:eastAsiaTheme="minorEastAsia" w:hAnsi="Times New Roman" w:cs="Times New Roman"/>
          <w:color w:val="000000" w:themeColor="text1"/>
          <w:sz w:val="24"/>
          <w:szCs w:val="24"/>
          <w:lang w:eastAsia="it-IT"/>
        </w:rPr>
        <w:t>PerlaPA</w:t>
      </w:r>
      <w:proofErr w:type="spellEnd"/>
      <w:r w:rsidRPr="00F56356">
        <w:rPr>
          <w:rFonts w:ascii="Times New Roman" w:eastAsiaTheme="minorEastAsia" w:hAnsi="Times New Roman" w:cs="Times New Roman"/>
          <w:color w:val="000000" w:themeColor="text1"/>
          <w:sz w:val="24"/>
          <w:szCs w:val="24"/>
          <w:lang w:eastAsia="it-IT"/>
        </w:rPr>
        <w:t>;</w:t>
      </w:r>
    </w:p>
    <w:bookmarkEnd w:id="45"/>
    <w:p w14:paraId="68B8BC32"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g) “</w:t>
      </w:r>
      <w:r w:rsidRPr="00F56356">
        <w:rPr>
          <w:rFonts w:ascii="Times New Roman" w:eastAsiaTheme="minorEastAsia" w:hAnsi="Times New Roman" w:cs="Times New Roman"/>
          <w:i/>
          <w:color w:val="000000" w:themeColor="text1"/>
          <w:sz w:val="24"/>
          <w:szCs w:val="24"/>
          <w:lang w:eastAsia="it-IT"/>
        </w:rPr>
        <w:t xml:space="preserve">Somma da assegnare al </w:t>
      </w:r>
      <w:proofErr w:type="spellStart"/>
      <w:r w:rsidRPr="00F56356">
        <w:rPr>
          <w:rFonts w:ascii="Times New Roman" w:eastAsiaTheme="minorEastAsia" w:hAnsi="Times New Roman" w:cs="Times New Roman"/>
          <w:i/>
          <w:color w:val="000000" w:themeColor="text1"/>
          <w:sz w:val="24"/>
          <w:szCs w:val="24"/>
          <w:lang w:eastAsia="it-IT"/>
        </w:rPr>
        <w:t>Formez</w:t>
      </w:r>
      <w:proofErr w:type="spellEnd"/>
      <w:r w:rsidRPr="00F56356">
        <w:rPr>
          <w:rFonts w:ascii="Times New Roman" w:eastAsiaTheme="minorEastAsia" w:hAnsi="Times New Roman" w:cs="Times New Roman"/>
          <w:i/>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(cap. 413) </w:t>
      </w:r>
    </w:p>
    <w:p w14:paraId="1218ABA6"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17.400.611,00 trasferiti al </w:t>
      </w:r>
      <w:proofErr w:type="spellStart"/>
      <w:r w:rsidRPr="00F56356">
        <w:rPr>
          <w:rFonts w:ascii="Times New Roman" w:eastAsia="Times New Roman" w:hAnsi="Times New Roman" w:cs="Times New Roman"/>
          <w:color w:val="000000" w:themeColor="text1"/>
          <w:sz w:val="24"/>
          <w:szCs w:val="24"/>
          <w:lang w:eastAsia="it-IT"/>
        </w:rPr>
        <w:t>Formez</w:t>
      </w:r>
      <w:proofErr w:type="spellEnd"/>
      <w:r w:rsidRPr="00F56356">
        <w:rPr>
          <w:rFonts w:ascii="Times New Roman" w:eastAsia="Times New Roman" w:hAnsi="Times New Roman" w:cs="Times New Roman"/>
          <w:color w:val="000000" w:themeColor="text1"/>
          <w:sz w:val="24"/>
          <w:szCs w:val="24"/>
          <w:lang w:eastAsia="it-IT"/>
        </w:rPr>
        <w:t xml:space="preserve"> PA per le spese obbligatorie e di funzionamento;</w:t>
      </w:r>
    </w:p>
    <w:p w14:paraId="577DBED8"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h) “</w:t>
      </w:r>
      <w:r w:rsidRPr="00F56356">
        <w:rPr>
          <w:rFonts w:ascii="Times New Roman" w:eastAsia="Times New Roman" w:hAnsi="Times New Roman" w:cs="Times New Roman"/>
          <w:i/>
          <w:color w:val="000000" w:themeColor="text1"/>
          <w:sz w:val="24"/>
          <w:szCs w:val="24"/>
          <w:lang w:eastAsia="it-IT"/>
        </w:rPr>
        <w:t xml:space="preserve">Spese inerenti </w:t>
      </w:r>
      <w:proofErr w:type="gramStart"/>
      <w:r w:rsidRPr="00F56356">
        <w:rPr>
          <w:rFonts w:ascii="Times New Roman" w:eastAsia="Times New Roman" w:hAnsi="Times New Roman" w:cs="Times New Roman"/>
          <w:i/>
          <w:color w:val="000000" w:themeColor="text1"/>
          <w:sz w:val="24"/>
          <w:szCs w:val="24"/>
          <w:lang w:eastAsia="it-IT"/>
        </w:rPr>
        <w:t>i</w:t>
      </w:r>
      <w:proofErr w:type="gramEnd"/>
      <w:r w:rsidRPr="00F56356">
        <w:rPr>
          <w:rFonts w:ascii="Times New Roman" w:eastAsia="Times New Roman" w:hAnsi="Times New Roman" w:cs="Times New Roman"/>
          <w:i/>
          <w:color w:val="000000" w:themeColor="text1"/>
          <w:sz w:val="24"/>
          <w:szCs w:val="24"/>
          <w:lang w:eastAsia="it-IT"/>
        </w:rPr>
        <w:t xml:space="preserve"> progetti sperimentali e innovativi su risorse trasferite dall’ANAC” (</w:t>
      </w:r>
      <w:r w:rsidRPr="00F56356">
        <w:rPr>
          <w:rFonts w:ascii="Times New Roman" w:eastAsia="Times New Roman" w:hAnsi="Times New Roman" w:cs="Times New Roman"/>
          <w:color w:val="000000" w:themeColor="text1"/>
          <w:sz w:val="24"/>
          <w:szCs w:val="24"/>
          <w:lang w:eastAsia="it-IT"/>
        </w:rPr>
        <w:t>cap. 414)</w:t>
      </w:r>
    </w:p>
    <w:p w14:paraId="0E0F3F83"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390.416,72 riferiti a reiscrizioni di residui passivi perenti;</w:t>
      </w:r>
    </w:p>
    <w:p w14:paraId="7A042C4C"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w:t>
      </w:r>
      <w:r w:rsidRPr="00F56356">
        <w:rPr>
          <w:rFonts w:ascii="Times New Roman" w:eastAsia="Times New Roman" w:hAnsi="Times New Roman" w:cs="Times New Roman"/>
          <w:i/>
          <w:iCs/>
          <w:color w:val="000000" w:themeColor="text1"/>
          <w:sz w:val="24"/>
          <w:szCs w:val="24"/>
          <w:lang w:eastAsia="it-IT"/>
        </w:rPr>
        <w:t xml:space="preserve">Somme da assegnare alla Scuola Nazionale dell’Amministrazione” </w:t>
      </w:r>
      <w:r w:rsidRPr="00F56356">
        <w:rPr>
          <w:rFonts w:ascii="Times New Roman" w:eastAsia="Times New Roman" w:hAnsi="Times New Roman" w:cs="Times New Roman"/>
          <w:iCs/>
          <w:color w:val="000000" w:themeColor="text1"/>
          <w:sz w:val="24"/>
          <w:szCs w:val="24"/>
          <w:lang w:eastAsia="it-IT"/>
        </w:rPr>
        <w:t>(cap. 418)</w:t>
      </w:r>
      <w:r w:rsidRPr="00F56356">
        <w:rPr>
          <w:rFonts w:ascii="Times New Roman" w:eastAsia="Times New Roman" w:hAnsi="Times New Roman" w:cs="Times New Roman"/>
          <w:i/>
          <w:iCs/>
          <w:color w:val="000000" w:themeColor="text1"/>
          <w:sz w:val="24"/>
          <w:szCs w:val="24"/>
          <w:lang w:eastAsia="it-IT"/>
        </w:rPr>
        <w:t xml:space="preserve"> </w:t>
      </w:r>
    </w:p>
    <w:p w14:paraId="0D246A28"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13.696.268,27 trasferiti alla Scuola Nazionale dell’Amministrazione per le spese obbligatorie e di funzionamento e per il potenziamento della SNA a seguito del decreto-legge 30 aprile 2022, n. 36, convertito, con modificazioni, dalla legge 29 giugno 2022, n. 79 (art. 12, comma 1), recante “Ulteriori misure urgenti per l’attuazione del Piano nazionale di ripresa e resilienza (PNRR)”;</w:t>
      </w:r>
    </w:p>
    <w:p w14:paraId="49092E76"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l) “</w:t>
      </w:r>
      <w:r w:rsidRPr="00F56356">
        <w:rPr>
          <w:rFonts w:ascii="Times New Roman" w:eastAsia="Times New Roman" w:hAnsi="Times New Roman" w:cs="Times New Roman"/>
          <w:i/>
          <w:iCs/>
          <w:color w:val="000000" w:themeColor="text1"/>
          <w:sz w:val="24"/>
          <w:szCs w:val="24"/>
          <w:lang w:eastAsia="it-IT"/>
        </w:rPr>
        <w:t xml:space="preserve">Spese per il funzionamento dell’Agenzia per la rappresentanza nazionale delle pubbliche amministrazioni” </w:t>
      </w:r>
      <w:r w:rsidRPr="00F56356">
        <w:rPr>
          <w:rFonts w:ascii="Times New Roman" w:eastAsia="Times New Roman" w:hAnsi="Times New Roman" w:cs="Times New Roman"/>
          <w:iCs/>
          <w:color w:val="000000" w:themeColor="text1"/>
          <w:sz w:val="24"/>
          <w:szCs w:val="24"/>
          <w:lang w:eastAsia="it-IT"/>
        </w:rPr>
        <w:t xml:space="preserve">(cap. 419) </w:t>
      </w:r>
    </w:p>
    <w:p w14:paraId="00484BF9" w14:textId="77777777" w:rsidR="00F56356" w:rsidRPr="00F56356" w:rsidRDefault="00F56356" w:rsidP="00F56356">
      <w:pPr>
        <w:spacing w:line="360" w:lineRule="auto"/>
        <w:ind w:left="284"/>
        <w:contextualSpacing/>
        <w:jc w:val="both"/>
        <w:rPr>
          <w:rFonts w:ascii="Times New Roman" w:eastAsia="Times New Roman" w:hAnsi="Times New Roman" w:cs="Times New Roman"/>
          <w:color w:val="000000" w:themeColor="text1"/>
          <w:sz w:val="24"/>
          <w:szCs w:val="24"/>
        </w:rPr>
      </w:pPr>
      <w:r w:rsidRPr="00F56356">
        <w:rPr>
          <w:rFonts w:ascii="Times New Roman" w:eastAsia="Times New Roman" w:hAnsi="Times New Roman" w:cs="Times New Roman"/>
          <w:color w:val="000000" w:themeColor="text1"/>
          <w:sz w:val="24"/>
          <w:szCs w:val="24"/>
        </w:rPr>
        <w:t>- euro 3.576.486,00 trasferiti all’ARAN per le spese di funzionamento.</w:t>
      </w:r>
    </w:p>
    <w:p w14:paraId="70974088" w14:textId="77777777" w:rsidR="00F56356" w:rsidRPr="00F56356" w:rsidRDefault="00F56356" w:rsidP="00F56356">
      <w:pPr>
        <w:spacing w:line="360" w:lineRule="auto"/>
        <w:contextualSpacing/>
        <w:jc w:val="both"/>
        <w:rPr>
          <w:rFonts w:ascii="Times New Roman" w:eastAsia="Times New Roman" w:hAnsi="Times New Roman" w:cs="Times New Roman"/>
          <w:color w:val="000000" w:themeColor="text1"/>
          <w:sz w:val="24"/>
          <w:szCs w:val="24"/>
        </w:rPr>
      </w:pPr>
    </w:p>
    <w:p w14:paraId="7593A0A2" w14:textId="77777777" w:rsidR="00F56356" w:rsidRPr="00F56356" w:rsidRDefault="00F56356" w:rsidP="00F56356">
      <w:pPr>
        <w:spacing w:line="360" w:lineRule="auto"/>
        <w:contextualSpacing/>
        <w:jc w:val="both"/>
        <w:rPr>
          <w:rFonts w:ascii="Times New Roman" w:eastAsia="Times New Roman" w:hAnsi="Times New Roman" w:cs="Times New Roman"/>
          <w:color w:val="000000" w:themeColor="text1"/>
          <w:sz w:val="24"/>
          <w:szCs w:val="24"/>
        </w:rPr>
      </w:pPr>
    </w:p>
    <w:p w14:paraId="3B865F69" w14:textId="77777777" w:rsidR="00F56356" w:rsidRPr="00F56356" w:rsidRDefault="00F56356" w:rsidP="00F56356">
      <w:pPr>
        <w:spacing w:line="360" w:lineRule="auto"/>
        <w:contextualSpacing/>
        <w:jc w:val="both"/>
        <w:rPr>
          <w:rFonts w:ascii="Times New Roman" w:eastAsia="Times New Roman" w:hAnsi="Times New Roman" w:cs="Times New Roman"/>
          <w:color w:val="000000" w:themeColor="text1"/>
          <w:sz w:val="24"/>
          <w:szCs w:val="24"/>
        </w:rPr>
      </w:pPr>
    </w:p>
    <w:p w14:paraId="2D072307" w14:textId="77777777" w:rsidR="00F56356" w:rsidRPr="00F56356" w:rsidRDefault="00F56356" w:rsidP="00F56356">
      <w:pPr>
        <w:spacing w:line="360" w:lineRule="auto"/>
        <w:contextualSpacing/>
        <w:jc w:val="both"/>
        <w:rPr>
          <w:rFonts w:ascii="Times New Roman" w:eastAsia="Times New Roman" w:hAnsi="Times New Roman" w:cs="Times New Roman"/>
          <w:color w:val="000000" w:themeColor="text1"/>
          <w:sz w:val="24"/>
          <w:szCs w:val="24"/>
        </w:rPr>
      </w:pPr>
    </w:p>
    <w:p w14:paraId="05D77BE5" w14:textId="77777777" w:rsidR="00F56356" w:rsidRPr="00F56356" w:rsidRDefault="00F56356" w:rsidP="00F56356">
      <w:pPr>
        <w:spacing w:line="360" w:lineRule="auto"/>
        <w:contextualSpacing/>
        <w:jc w:val="both"/>
        <w:rPr>
          <w:rFonts w:ascii="Times New Roman" w:eastAsia="Times New Roman" w:hAnsi="Times New Roman" w:cs="Times New Roman"/>
          <w:color w:val="000000" w:themeColor="text1"/>
          <w:sz w:val="24"/>
          <w:szCs w:val="24"/>
        </w:rPr>
      </w:pPr>
    </w:p>
    <w:p w14:paraId="36B8A415" w14:textId="77777777" w:rsidR="00F56356" w:rsidRPr="00F56356" w:rsidRDefault="00F56356" w:rsidP="00F56356">
      <w:pPr>
        <w:spacing w:line="360" w:lineRule="auto"/>
        <w:contextualSpacing/>
        <w:jc w:val="both"/>
        <w:rPr>
          <w:rFonts w:ascii="Times New Roman" w:eastAsia="Times New Roman" w:hAnsi="Times New Roman" w:cs="Times New Roman"/>
          <w:color w:val="000000" w:themeColor="text1"/>
          <w:sz w:val="10"/>
          <w:szCs w:val="24"/>
        </w:rPr>
      </w:pPr>
    </w:p>
    <w:p w14:paraId="647B93B1" w14:textId="77777777" w:rsidR="00F56356" w:rsidRPr="00F56356" w:rsidRDefault="00F56356"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eastAsiaTheme="minorEastAsia" w:cs="Times New Roman"/>
          <w:noProof/>
          <w:lang w:eastAsia="it-IT"/>
        </w:rPr>
        <w:lastRenderedPageBreak/>
        <w:drawing>
          <wp:anchor distT="0" distB="0" distL="114300" distR="114300" simplePos="0" relativeHeight="251687936" behindDoc="1" locked="0" layoutInCell="1" allowOverlap="1" wp14:anchorId="36763019" wp14:editId="6F20016D">
            <wp:simplePos x="0" y="0"/>
            <wp:positionH relativeFrom="margin">
              <wp:posOffset>181610</wp:posOffset>
            </wp:positionH>
            <wp:positionV relativeFrom="paragraph">
              <wp:posOffset>260985</wp:posOffset>
            </wp:positionV>
            <wp:extent cx="5942965" cy="2946400"/>
            <wp:effectExtent l="0" t="0" r="635" b="6350"/>
            <wp:wrapTight wrapText="bothSides">
              <wp:wrapPolygon edited="0">
                <wp:start x="0" y="0"/>
                <wp:lineTo x="0" y="21507"/>
                <wp:lineTo x="11770" y="21507"/>
                <wp:lineTo x="11770" y="20110"/>
                <wp:lineTo x="21533" y="20110"/>
                <wp:lineTo x="21533" y="8938"/>
                <wp:lineTo x="21187" y="8938"/>
                <wp:lineTo x="21533" y="7960"/>
                <wp:lineTo x="21533" y="6843"/>
                <wp:lineTo x="21256" y="6564"/>
                <wp:lineTo x="21533" y="5866"/>
                <wp:lineTo x="21533" y="3910"/>
                <wp:lineTo x="21118" y="2234"/>
                <wp:lineTo x="21533" y="2095"/>
                <wp:lineTo x="21533" y="0"/>
                <wp:lineTo x="0" y="0"/>
              </wp:wrapPolygon>
            </wp:wrapTight>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2965" cy="2946400"/>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 xml:space="preserve">Indicatori di bilancio </w:t>
      </w:r>
    </w:p>
    <w:p w14:paraId="73DDD3E0" w14:textId="77777777" w:rsidR="00F56356" w:rsidRPr="00F56356" w:rsidRDefault="00F56356"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p>
    <w:p w14:paraId="20162BC4"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2.2.3</w:t>
      </w:r>
      <w:r w:rsidRPr="00F56356">
        <w:rPr>
          <w:rFonts w:ascii="Times New Roman" w:eastAsiaTheme="minorEastAsia" w:hAnsi="Times New Roman" w:cs="Times New Roman"/>
          <w:color w:val="000000" w:themeColor="text1"/>
          <w:sz w:val="24"/>
          <w:szCs w:val="24"/>
          <w:lang w:eastAsia="it-IT"/>
        </w:rPr>
        <w:t xml:space="preserve"> Le risorse per le spese in conto capitale pari a euro 7.351,00 relative alle “</w:t>
      </w:r>
      <w:r w:rsidRPr="00F56356">
        <w:rPr>
          <w:rFonts w:ascii="Times New Roman" w:eastAsiaTheme="minorEastAsia" w:hAnsi="Times New Roman" w:cs="Times New Roman"/>
          <w:i/>
          <w:color w:val="000000" w:themeColor="text1"/>
          <w:sz w:val="24"/>
          <w:szCs w:val="24"/>
          <w:lang w:eastAsia="it-IT"/>
        </w:rPr>
        <w:t xml:space="preserve">Spese per l’acquisto di dotazioni librarie” </w:t>
      </w:r>
      <w:r w:rsidRPr="00F56356">
        <w:rPr>
          <w:rFonts w:ascii="Times New Roman" w:eastAsiaTheme="minorEastAsia" w:hAnsi="Times New Roman" w:cs="Times New Roman"/>
          <w:color w:val="000000" w:themeColor="text1"/>
          <w:sz w:val="24"/>
          <w:szCs w:val="24"/>
          <w:lang w:eastAsia="it-IT"/>
        </w:rPr>
        <w:t xml:space="preserve">(cap. 923), non sono state impegnate, data l’impossibilità di utilizzarle stante la chiusura della biblioteca di Palazzo </w:t>
      </w:r>
      <w:proofErr w:type="spellStart"/>
      <w:r w:rsidRPr="00F56356">
        <w:rPr>
          <w:rFonts w:ascii="Times New Roman" w:eastAsiaTheme="minorEastAsia" w:hAnsi="Times New Roman" w:cs="Times New Roman"/>
          <w:color w:val="000000" w:themeColor="text1"/>
          <w:sz w:val="24"/>
          <w:szCs w:val="24"/>
          <w:lang w:eastAsia="it-IT"/>
        </w:rPr>
        <w:t>Vidoni</w:t>
      </w:r>
      <w:proofErr w:type="spellEnd"/>
      <w:r w:rsidRPr="00F56356">
        <w:rPr>
          <w:rFonts w:ascii="Times New Roman" w:eastAsiaTheme="minorEastAsia" w:hAnsi="Times New Roman" w:cs="Times New Roman"/>
          <w:color w:val="000000" w:themeColor="text1"/>
          <w:sz w:val="24"/>
          <w:szCs w:val="24"/>
          <w:lang w:eastAsia="it-IT"/>
        </w:rPr>
        <w:t xml:space="preserve"> e il suo accorpamento con la Biblioteca </w:t>
      </w:r>
      <w:proofErr w:type="spellStart"/>
      <w:r w:rsidRPr="00F56356">
        <w:rPr>
          <w:rFonts w:ascii="Times New Roman" w:eastAsiaTheme="minorEastAsia" w:hAnsi="Times New Roman" w:cs="Times New Roman"/>
          <w:color w:val="000000" w:themeColor="text1"/>
          <w:sz w:val="24"/>
          <w:szCs w:val="24"/>
          <w:lang w:eastAsia="it-IT"/>
        </w:rPr>
        <w:t>Chigiana</w:t>
      </w:r>
      <w:proofErr w:type="spellEnd"/>
      <w:r w:rsidRPr="00F56356">
        <w:rPr>
          <w:rFonts w:ascii="Times New Roman" w:eastAsiaTheme="minorEastAsia" w:hAnsi="Times New Roman" w:cs="Times New Roman"/>
          <w:color w:val="000000" w:themeColor="text1"/>
          <w:sz w:val="24"/>
          <w:szCs w:val="24"/>
          <w:lang w:eastAsia="it-IT"/>
        </w:rPr>
        <w:t xml:space="preserve">. </w:t>
      </w:r>
    </w:p>
    <w:p w14:paraId="0D99CD8E" w14:textId="77777777" w:rsidR="00F56356" w:rsidRPr="004912FA" w:rsidRDefault="00F56356" w:rsidP="00F56356">
      <w:pPr>
        <w:tabs>
          <w:tab w:val="left" w:pos="284"/>
          <w:tab w:val="left" w:pos="567"/>
        </w:tabs>
        <w:spacing w:after="0" w:line="360" w:lineRule="auto"/>
        <w:jc w:val="center"/>
        <w:rPr>
          <w:rFonts w:ascii="Times New Roman" w:eastAsiaTheme="minorEastAsia" w:hAnsi="Times New Roman" w:cs="Times New Roman"/>
          <w:color w:val="000000" w:themeColor="text1"/>
          <w:sz w:val="16"/>
          <w:szCs w:val="24"/>
          <w:lang w:eastAsia="it-IT"/>
        </w:rPr>
      </w:pPr>
    </w:p>
    <w:p w14:paraId="606F81C6" w14:textId="77777777" w:rsidR="00F56356" w:rsidRPr="00F56356" w:rsidRDefault="00F56356" w:rsidP="00F56356">
      <w:pPr>
        <w:tabs>
          <w:tab w:val="left" w:pos="284"/>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eastAsiaTheme="minorEastAsia" w:cs="Times New Roman"/>
          <w:noProof/>
          <w:lang w:eastAsia="it-IT"/>
        </w:rPr>
        <w:drawing>
          <wp:anchor distT="0" distB="0" distL="114300" distR="114300" simplePos="0" relativeHeight="251688960" behindDoc="1" locked="0" layoutInCell="1" allowOverlap="1" wp14:anchorId="39E3A457" wp14:editId="6D246D40">
            <wp:simplePos x="0" y="0"/>
            <wp:positionH relativeFrom="margin">
              <wp:posOffset>181610</wp:posOffset>
            </wp:positionH>
            <wp:positionV relativeFrom="paragraph">
              <wp:posOffset>260985</wp:posOffset>
            </wp:positionV>
            <wp:extent cx="5939790" cy="1156335"/>
            <wp:effectExtent l="0" t="0" r="3810" b="5715"/>
            <wp:wrapTight wrapText="bothSides">
              <wp:wrapPolygon edited="0">
                <wp:start x="0" y="0"/>
                <wp:lineTo x="0" y="21351"/>
                <wp:lineTo x="11777" y="21351"/>
                <wp:lineTo x="21475" y="17792"/>
                <wp:lineTo x="21545" y="17081"/>
                <wp:lineTo x="21545" y="9964"/>
                <wp:lineTo x="21129" y="5694"/>
                <wp:lineTo x="21545" y="5338"/>
                <wp:lineTo x="21545" y="0"/>
                <wp:lineTo x="0" y="0"/>
              </wp:wrapPolygon>
            </wp:wrapTight>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115633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Indicatori di bilancio</w:t>
      </w:r>
    </w:p>
    <w:p w14:paraId="30D263D2" w14:textId="77777777" w:rsidR="00F56356" w:rsidRPr="00F56356" w:rsidRDefault="00F56356" w:rsidP="00F56356">
      <w:pPr>
        <w:tabs>
          <w:tab w:val="left" w:pos="284"/>
          <w:tab w:val="left" w:pos="567"/>
        </w:tabs>
        <w:spacing w:after="0" w:line="360" w:lineRule="auto"/>
        <w:jc w:val="center"/>
        <w:rPr>
          <w:rFonts w:ascii="Times New Roman" w:eastAsiaTheme="minorEastAsia" w:hAnsi="Times New Roman" w:cs="Times New Roman"/>
          <w:color w:val="000000" w:themeColor="text1"/>
          <w:sz w:val="24"/>
          <w:szCs w:val="24"/>
          <w:lang w:eastAsia="it-IT"/>
        </w:rPr>
      </w:pPr>
    </w:p>
    <w:p w14:paraId="124C2F6E" w14:textId="77777777" w:rsidR="00F56356" w:rsidRPr="004912FA" w:rsidRDefault="00F56356" w:rsidP="00F56356">
      <w:pPr>
        <w:tabs>
          <w:tab w:val="left" w:pos="284"/>
          <w:tab w:val="left" w:pos="567"/>
        </w:tabs>
        <w:spacing w:after="0" w:line="360" w:lineRule="auto"/>
        <w:jc w:val="center"/>
        <w:rPr>
          <w:rFonts w:ascii="Times New Roman" w:eastAsiaTheme="minorEastAsia" w:hAnsi="Times New Roman" w:cs="Times New Roman"/>
          <w:color w:val="000000" w:themeColor="text1"/>
          <w:sz w:val="16"/>
          <w:szCs w:val="24"/>
          <w:lang w:eastAsia="it-IT"/>
        </w:rPr>
      </w:pPr>
    </w:p>
    <w:p w14:paraId="0FC45506" w14:textId="77777777" w:rsidR="00F56356" w:rsidRPr="00F56356" w:rsidRDefault="00F56356"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stati determinati: </w:t>
      </w:r>
    </w:p>
    <w:p w14:paraId="79FE7449" w14:textId="77777777" w:rsidR="00F56356" w:rsidRPr="00F56356" w:rsidRDefault="00F56356"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a)</w:t>
      </w:r>
      <w:r w:rsidRPr="00F56356">
        <w:rPr>
          <w:rFonts w:ascii="Times New Roman" w:eastAsiaTheme="minorEastAsia" w:hAnsi="Times New Roman" w:cs="Times New Roman"/>
          <w:color w:val="000000" w:themeColor="text1"/>
          <w:sz w:val="24"/>
          <w:szCs w:val="24"/>
          <w:lang w:eastAsia="it-IT"/>
        </w:rPr>
        <w:tab/>
        <w:t xml:space="preserve">per il capitolo 376 </w:t>
      </w:r>
      <w:r w:rsidRPr="00F56356">
        <w:rPr>
          <w:rFonts w:ascii="Times New Roman" w:eastAsiaTheme="minorEastAsia" w:hAnsi="Times New Roman" w:cs="Times New Roman"/>
          <w:i/>
          <w:iCs/>
          <w:color w:val="000000" w:themeColor="text1"/>
          <w:sz w:val="24"/>
          <w:szCs w:val="24"/>
          <w:lang w:eastAsia="it-IT"/>
        </w:rPr>
        <w:t>– Rimborso spese per</w:t>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i/>
          <w:iCs/>
          <w:color w:val="000000" w:themeColor="text1"/>
          <w:sz w:val="24"/>
          <w:szCs w:val="24"/>
          <w:lang w:eastAsia="it-IT"/>
        </w:rPr>
        <w:t>missi</w:t>
      </w:r>
      <w:r w:rsidRPr="00F56356">
        <w:rPr>
          <w:rFonts w:ascii="Times New Roman" w:eastAsiaTheme="minorEastAsia" w:hAnsi="Times New Roman" w:cs="Times New Roman"/>
          <w:i/>
          <w:color w:val="000000" w:themeColor="text1"/>
          <w:sz w:val="24"/>
          <w:szCs w:val="24"/>
          <w:lang w:eastAsia="it-IT"/>
        </w:rPr>
        <w:t xml:space="preserve">oni nel territorio nazionale ed all’estero, ivi comprese quelle del Ministro </w:t>
      </w:r>
      <w:r w:rsidRPr="00F56356">
        <w:rPr>
          <w:rFonts w:ascii="Times New Roman" w:eastAsiaTheme="minorEastAsia" w:hAnsi="Times New Roman" w:cs="Times New Roman"/>
          <w:color w:val="000000" w:themeColor="text1"/>
          <w:sz w:val="24"/>
          <w:szCs w:val="24"/>
          <w:lang w:eastAsia="it-IT"/>
        </w:rPr>
        <w:t>e per il capitolo 405 - S</w:t>
      </w:r>
      <w:r w:rsidRPr="00F56356">
        <w:rPr>
          <w:rFonts w:ascii="Times New Roman" w:eastAsiaTheme="minorEastAsia" w:hAnsi="Times New Roman" w:cs="Times New Roman"/>
          <w:i/>
          <w:color w:val="000000" w:themeColor="text1"/>
          <w:sz w:val="24"/>
          <w:szCs w:val="24"/>
          <w:lang w:eastAsia="it-IT"/>
        </w:rPr>
        <w:t>pese di rappresentanza</w:t>
      </w:r>
      <w:r w:rsidRPr="00F56356">
        <w:rPr>
          <w:rFonts w:ascii="Times New Roman" w:eastAsiaTheme="minorEastAsia" w:hAnsi="Times New Roman" w:cs="Times New Roman"/>
          <w:color w:val="000000" w:themeColor="text1"/>
          <w:sz w:val="24"/>
          <w:szCs w:val="24"/>
          <w:lang w:eastAsia="it-IT"/>
        </w:rPr>
        <w:t>, dal proseguimento dell’azione di contenimento della spesa per il funzionamento. In particolare, le spese di rappresentanza, che rientrano nella disponibilità del vertice politico, sono state utilizzate soltanto in minima parte;</w:t>
      </w:r>
    </w:p>
    <w:p w14:paraId="31BFFBB2" w14:textId="77777777" w:rsidR="00F56356" w:rsidRPr="00F56356" w:rsidRDefault="00F56356"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b) per i capitoli 375 -</w:t>
      </w:r>
      <w:r w:rsidRPr="00F56356">
        <w:rPr>
          <w:rFonts w:eastAsiaTheme="minorEastAsia" w:cs="Times New Roman"/>
          <w:lang w:eastAsia="it-IT"/>
        </w:rPr>
        <w:t xml:space="preserve"> </w:t>
      </w:r>
      <w:r w:rsidRPr="00F56356">
        <w:rPr>
          <w:rFonts w:ascii="Times New Roman" w:eastAsiaTheme="minorEastAsia" w:hAnsi="Times New Roman" w:cs="Times New Roman"/>
          <w:i/>
          <w:sz w:val="24"/>
          <w:szCs w:val="24"/>
          <w:lang w:eastAsia="it-IT"/>
        </w:rPr>
        <w:t>S</w:t>
      </w:r>
      <w:r w:rsidRPr="00F56356">
        <w:rPr>
          <w:rFonts w:ascii="Times New Roman" w:eastAsiaTheme="minorEastAsia" w:hAnsi="Times New Roman" w:cs="Times New Roman"/>
          <w:i/>
          <w:color w:val="000000" w:themeColor="text1"/>
          <w:sz w:val="24"/>
          <w:szCs w:val="24"/>
          <w:lang w:eastAsia="it-IT"/>
        </w:rPr>
        <w:t>pese per il funzionamento per il Nucleo della Concretezza</w:t>
      </w:r>
      <w:r w:rsidRPr="00F56356">
        <w:rPr>
          <w:rFonts w:ascii="Times New Roman" w:eastAsiaTheme="minorEastAsia" w:hAnsi="Times New Roman" w:cs="Times New Roman"/>
          <w:color w:val="000000" w:themeColor="text1"/>
          <w:sz w:val="24"/>
          <w:szCs w:val="24"/>
          <w:lang w:eastAsia="it-IT"/>
        </w:rPr>
        <w:t xml:space="preserve">, 380 - </w:t>
      </w:r>
      <w:r w:rsidRPr="00F56356">
        <w:rPr>
          <w:rFonts w:ascii="Times New Roman" w:eastAsiaTheme="minorEastAsia" w:hAnsi="Times New Roman" w:cs="Times New Roman"/>
          <w:i/>
          <w:color w:val="000000" w:themeColor="text1"/>
          <w:sz w:val="24"/>
          <w:szCs w:val="24"/>
          <w:lang w:eastAsia="it-IT"/>
        </w:rPr>
        <w:t xml:space="preserve">Compensi ai componenti della Commissione per l’attuazione del progetto di riqualificazione delle pubbliche amministrazioni (RIPAM), previsti ai sensi dell’articolo 3 comma 14, legge 19 giugno 2019, n. 56 </w:t>
      </w:r>
      <w:r w:rsidRPr="00F56356">
        <w:rPr>
          <w:rFonts w:ascii="Times New Roman" w:eastAsiaTheme="minorEastAsia" w:hAnsi="Times New Roman" w:cs="Times New Roman"/>
          <w:color w:val="000000" w:themeColor="text1"/>
          <w:sz w:val="24"/>
          <w:szCs w:val="24"/>
          <w:lang w:eastAsia="it-IT"/>
        </w:rPr>
        <w:t xml:space="preserve">e 383 - </w:t>
      </w:r>
      <w:r w:rsidRPr="00F56356">
        <w:rPr>
          <w:rFonts w:ascii="Times New Roman" w:eastAsiaTheme="minorEastAsia" w:hAnsi="Times New Roman" w:cs="Times New Roman"/>
          <w:i/>
          <w:color w:val="000000" w:themeColor="text1"/>
          <w:sz w:val="24"/>
          <w:szCs w:val="24"/>
          <w:lang w:eastAsia="it-IT"/>
        </w:rPr>
        <w:t>Spese per acquisto di giornali, periodici, riviste e abbonamenti, anche on line</w:t>
      </w:r>
      <w:r w:rsidRPr="00F56356">
        <w:rPr>
          <w:rFonts w:ascii="Times New Roman" w:eastAsiaTheme="minorEastAsia" w:hAnsi="Times New Roman" w:cs="Times New Roman"/>
          <w:color w:val="000000" w:themeColor="text1"/>
          <w:sz w:val="24"/>
          <w:szCs w:val="24"/>
          <w:lang w:eastAsia="it-IT"/>
        </w:rPr>
        <w:t>, relativamente alla capacità di pagamento, dalla circostanza che gli impegni sono stati assunti oltre il termine consentito per effettuare i pagamenti;</w:t>
      </w:r>
    </w:p>
    <w:p w14:paraId="2D27BA26" w14:textId="77777777" w:rsidR="00F56356" w:rsidRPr="00F56356" w:rsidRDefault="00F56356"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 xml:space="preserve">c) per il capitolo 416 - </w:t>
      </w:r>
      <w:r w:rsidRPr="00F56356">
        <w:rPr>
          <w:rFonts w:ascii="Times New Roman" w:eastAsiaTheme="minorEastAsia" w:hAnsi="Times New Roman" w:cs="Times New Roman"/>
          <w:i/>
          <w:color w:val="000000" w:themeColor="text1"/>
          <w:sz w:val="24"/>
          <w:szCs w:val="24"/>
          <w:lang w:eastAsia="it-IT"/>
        </w:rPr>
        <w:t>Spese per il funzionamento dell’Unità per la valutazione delle performance</w:t>
      </w:r>
      <w:r w:rsidRPr="00F56356">
        <w:rPr>
          <w:rFonts w:ascii="Times New Roman" w:eastAsiaTheme="minorEastAsia" w:hAnsi="Times New Roman" w:cs="Times New Roman"/>
          <w:color w:val="000000" w:themeColor="text1"/>
          <w:sz w:val="24"/>
          <w:szCs w:val="24"/>
          <w:lang w:eastAsia="it-IT"/>
        </w:rPr>
        <w:t xml:space="preserve">, relativamente alla capacità di pagamento, dal ritardo nella fatturazione da parte del fornitore; </w:t>
      </w:r>
    </w:p>
    <w:p w14:paraId="681D1F84" w14:textId="77777777" w:rsidR="00F56356" w:rsidRPr="00F56356" w:rsidRDefault="00F56356"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d) per il capitolo 410 - </w:t>
      </w:r>
      <w:r w:rsidRPr="00F56356">
        <w:rPr>
          <w:rFonts w:ascii="Times New Roman" w:eastAsiaTheme="minorEastAsia" w:hAnsi="Times New Roman" w:cs="Times New Roman"/>
          <w:i/>
          <w:color w:val="000000" w:themeColor="text1"/>
          <w:sz w:val="24"/>
          <w:szCs w:val="24"/>
          <w:lang w:eastAsia="it-IT"/>
        </w:rPr>
        <w:t>Spese per onorari e indennità di missione Avvocatura dello Stato e avvocati delegati, notificazioni e comunicazioni, indennità a testimoni, onorari e indennità di missione a consulenti tecnici,</w:t>
      </w:r>
      <w:r w:rsidRPr="00F56356">
        <w:rPr>
          <w:rFonts w:ascii="Times New Roman" w:eastAsiaTheme="minorEastAsia" w:hAnsi="Times New Roman" w:cs="Times New Roman"/>
          <w:color w:val="000000" w:themeColor="text1"/>
          <w:sz w:val="24"/>
          <w:szCs w:val="24"/>
          <w:lang w:eastAsia="it-IT"/>
        </w:rPr>
        <w:t xml:space="preserve"> dalla circostanza che gli impegni sono stati assunti oltre il termine consentito per effettuare i pagamenti;</w:t>
      </w:r>
    </w:p>
    <w:p w14:paraId="404EF161" w14:textId="77777777" w:rsidR="00F56356" w:rsidRPr="00F56356" w:rsidRDefault="00F56356" w:rsidP="00F56356">
      <w:pPr>
        <w:tabs>
          <w:tab w:val="left" w:pos="284"/>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e) per il capitolo 412 -</w:t>
      </w:r>
      <w:r w:rsidRPr="00F56356">
        <w:rPr>
          <w:rFonts w:eastAsiaTheme="minorEastAsia" w:cs="Times New Roman"/>
          <w:lang w:eastAsia="it-IT"/>
        </w:rPr>
        <w:t xml:space="preserve"> </w:t>
      </w:r>
      <w:r w:rsidRPr="00F56356">
        <w:rPr>
          <w:rFonts w:ascii="Times New Roman" w:eastAsiaTheme="minorEastAsia" w:hAnsi="Times New Roman" w:cs="Times New Roman"/>
          <w:i/>
          <w:sz w:val="24"/>
          <w:szCs w:val="24"/>
          <w:lang w:eastAsia="it-IT"/>
        </w:rPr>
        <w:t>I</w:t>
      </w:r>
      <w:r w:rsidRPr="00F56356">
        <w:rPr>
          <w:rFonts w:ascii="Times New Roman" w:eastAsiaTheme="minorEastAsia" w:hAnsi="Times New Roman" w:cs="Times New Roman"/>
          <w:i/>
          <w:color w:val="000000" w:themeColor="text1"/>
          <w:sz w:val="24"/>
          <w:szCs w:val="24"/>
          <w:lang w:eastAsia="it-IT"/>
        </w:rPr>
        <w:t>nterventi per la trasparenza la partecipazione e l’accountability e l’innovazione della PA,</w:t>
      </w:r>
      <w:r w:rsidRPr="00F56356">
        <w:rPr>
          <w:rFonts w:ascii="Times New Roman" w:eastAsiaTheme="minorEastAsia" w:hAnsi="Times New Roman" w:cs="Times New Roman"/>
          <w:color w:val="000000" w:themeColor="text1"/>
          <w:sz w:val="24"/>
          <w:szCs w:val="24"/>
          <w:lang w:eastAsia="it-IT"/>
        </w:rPr>
        <w:t xml:space="preserve"> in quanto si è ancora in attesa di verifiche sulla documentazione di rendicontazione delle attività contrattuali.</w:t>
      </w:r>
    </w:p>
    <w:p w14:paraId="2F8EFBB1" w14:textId="77777777" w:rsidR="00F56356" w:rsidRPr="004912FA" w:rsidRDefault="00F56356" w:rsidP="00F56356">
      <w:pPr>
        <w:tabs>
          <w:tab w:val="left" w:pos="567"/>
        </w:tabs>
        <w:spacing w:after="0" w:line="360" w:lineRule="auto"/>
        <w:ind w:left="284"/>
        <w:jc w:val="both"/>
        <w:rPr>
          <w:rFonts w:ascii="Times New Roman" w:eastAsiaTheme="minorEastAsia" w:hAnsi="Times New Roman" w:cs="Times New Roman"/>
          <w:color w:val="FF0000"/>
          <w:sz w:val="16"/>
          <w:szCs w:val="24"/>
          <w:lang w:eastAsia="it-IT"/>
        </w:rPr>
      </w:pPr>
    </w:p>
    <w:p w14:paraId="1B5A8CE5"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Inoltre, si evidenzia che:</w:t>
      </w:r>
    </w:p>
    <w:p w14:paraId="7BDBEDA0"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a)</w:t>
      </w:r>
      <w:r w:rsidRPr="00F56356">
        <w:rPr>
          <w:rFonts w:ascii="Times New Roman" w:eastAsiaTheme="minorEastAsia" w:hAnsi="Times New Roman" w:cs="Times New Roman"/>
          <w:sz w:val="24"/>
          <w:szCs w:val="24"/>
          <w:lang w:eastAsia="it-IT"/>
        </w:rPr>
        <w:tab/>
        <w:t xml:space="preserve">per i capitoli 394 - </w:t>
      </w:r>
      <w:r w:rsidRPr="00F56356">
        <w:rPr>
          <w:rFonts w:ascii="Times New Roman" w:eastAsiaTheme="minorEastAsia" w:hAnsi="Times New Roman" w:cs="Times New Roman"/>
          <w:i/>
          <w:sz w:val="24"/>
          <w:szCs w:val="24"/>
          <w:lang w:eastAsia="it-IT"/>
        </w:rPr>
        <w:t>Fondo per promuovere esperienze di formazione e lavoro professionalizzanti per giovani nella pubblica amministrazione e contratti di apprendistato anche per studenti universitari</w:t>
      </w:r>
      <w:r w:rsidRPr="00F56356">
        <w:rPr>
          <w:rFonts w:ascii="Times New Roman" w:eastAsiaTheme="minorEastAsia" w:hAnsi="Times New Roman" w:cs="Times New Roman"/>
          <w:sz w:val="24"/>
          <w:szCs w:val="24"/>
          <w:lang w:eastAsia="it-IT"/>
        </w:rPr>
        <w:t xml:space="preserve">, 395 - </w:t>
      </w:r>
      <w:r w:rsidRPr="00F56356">
        <w:rPr>
          <w:rFonts w:ascii="Times New Roman" w:eastAsiaTheme="minorEastAsia" w:hAnsi="Times New Roman" w:cs="Times New Roman"/>
          <w:i/>
          <w:sz w:val="24"/>
          <w:szCs w:val="24"/>
          <w:lang w:eastAsia="it-IT"/>
        </w:rPr>
        <w:t>Interventi di rafforzamento delle competenze e sviluppo del capitale umano delle PP.AA.</w:t>
      </w:r>
      <w:r w:rsidRPr="00F56356">
        <w:rPr>
          <w:rFonts w:ascii="Times New Roman" w:eastAsiaTheme="minorEastAsia" w:hAnsi="Times New Roman" w:cs="Times New Roman"/>
          <w:sz w:val="24"/>
          <w:szCs w:val="24"/>
          <w:lang w:eastAsia="it-IT"/>
        </w:rPr>
        <w:t xml:space="preserve"> e 407 - </w:t>
      </w:r>
      <w:r w:rsidRPr="00F56356">
        <w:rPr>
          <w:rFonts w:ascii="Times New Roman" w:eastAsiaTheme="minorEastAsia" w:hAnsi="Times New Roman" w:cs="Times New Roman"/>
          <w:i/>
          <w:sz w:val="24"/>
          <w:szCs w:val="24"/>
          <w:lang w:eastAsia="it-IT"/>
        </w:rPr>
        <w:t>Borse di studio per progetti di cui all’articolo 1, comma 531, della legge 30 dicembre 2020, n. 178 (legge di bilancio 2021/2023),</w:t>
      </w:r>
      <w:r w:rsidRPr="00F56356">
        <w:rPr>
          <w:rFonts w:ascii="Times New Roman" w:eastAsiaTheme="minorEastAsia" w:hAnsi="Times New Roman" w:cs="Times New Roman"/>
          <w:sz w:val="24"/>
          <w:szCs w:val="24"/>
          <w:lang w:eastAsia="it-IT"/>
        </w:rPr>
        <w:t xml:space="preserve"> le risorse non sono state impegnate data la complessità di alcuni aspetti legati alle procedure di impiego delle stesse, nonché la necessità di supplementi istruttori in relazione al cambio della compagine governativa e alla ridefinizione dei profili strategici degli interventi con gli altri soggetti istituzionali coinvolti;  </w:t>
      </w:r>
    </w:p>
    <w:p w14:paraId="3F381B6C"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b)</w:t>
      </w:r>
      <w:r w:rsidRPr="00F56356">
        <w:rPr>
          <w:rFonts w:ascii="Times New Roman" w:eastAsiaTheme="minorEastAsia" w:hAnsi="Times New Roman" w:cs="Times New Roman"/>
          <w:sz w:val="24"/>
          <w:szCs w:val="24"/>
          <w:lang w:eastAsia="it-IT"/>
        </w:rPr>
        <w:tab/>
        <w:t xml:space="preserve">per il capitolo 391 - </w:t>
      </w:r>
      <w:r w:rsidRPr="00F56356">
        <w:rPr>
          <w:rFonts w:ascii="Times New Roman" w:eastAsiaTheme="minorEastAsia" w:hAnsi="Times New Roman" w:cs="Times New Roman"/>
          <w:i/>
          <w:sz w:val="24"/>
          <w:szCs w:val="24"/>
          <w:lang w:eastAsia="it-IT"/>
        </w:rPr>
        <w:t>Spese per la certificazione dei costi contrattuali</w:t>
      </w:r>
      <w:r w:rsidRPr="00F56356">
        <w:rPr>
          <w:rFonts w:ascii="Times New Roman" w:eastAsiaTheme="minorEastAsia" w:hAnsi="Times New Roman" w:cs="Times New Roman"/>
          <w:sz w:val="24"/>
          <w:szCs w:val="24"/>
          <w:lang w:eastAsia="it-IT"/>
        </w:rPr>
        <w:t>, non sono state impegnate le risorse data l’insussistenza di spese relative alla certificazione dei costi contrattuali;</w:t>
      </w:r>
    </w:p>
    <w:p w14:paraId="6680C14B"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c) per il capitolo 393 - </w:t>
      </w:r>
      <w:r w:rsidRPr="00F56356">
        <w:rPr>
          <w:rFonts w:ascii="Times New Roman" w:eastAsiaTheme="minorEastAsia" w:hAnsi="Times New Roman" w:cs="Times New Roman"/>
          <w:i/>
          <w:sz w:val="24"/>
          <w:szCs w:val="24"/>
          <w:lang w:eastAsia="it-IT"/>
        </w:rPr>
        <w:t>Spese di funzionamento e compensi ai componenti del Comitato dei garanti (art. 21 d.lgs. n. 29/93)</w:t>
      </w:r>
      <w:r w:rsidRPr="00F56356">
        <w:rPr>
          <w:rFonts w:ascii="Times New Roman" w:eastAsiaTheme="minorEastAsia" w:hAnsi="Times New Roman" w:cs="Times New Roman"/>
          <w:sz w:val="24"/>
          <w:szCs w:val="24"/>
          <w:lang w:eastAsia="it-IT"/>
        </w:rPr>
        <w:t>, le risorse non sono state impegnate in considerazione della mancanza di spese relative al funzionamento e ai compensi per il Comitato dei garanti.</w:t>
      </w:r>
    </w:p>
    <w:p w14:paraId="7DB342B5" w14:textId="22921E07" w:rsidR="00F56356" w:rsidRDefault="00F56356"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5A96C470" w14:textId="64FAEAFB"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0915876A" w14:textId="19F89406"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70536B97" w14:textId="4B536FA6"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5AEF0D71" w14:textId="1FE39599"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78EED77C" w14:textId="7DCDA621"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556B4A61" w14:textId="101157F6"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0468415A" w14:textId="2E9FCA07"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43162817" w14:textId="440CC103" w:rsidR="007377A5"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385574F2" w14:textId="77777777" w:rsidR="007377A5" w:rsidRPr="00F56356" w:rsidRDefault="007377A5"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p>
    <w:p w14:paraId="611310BD"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lastRenderedPageBreak/>
        <w:t>Si riporta qui di seguito l’andamento delle politiche attive (interventi e investimenti) nel corso del triennio 2020-2022:</w:t>
      </w:r>
    </w:p>
    <w:p w14:paraId="73189C71" w14:textId="77777777" w:rsidR="00F56356" w:rsidRPr="00F56356" w:rsidRDefault="00F56356" w:rsidP="00F56356">
      <w:pPr>
        <w:tabs>
          <w:tab w:val="left" w:pos="567"/>
        </w:tabs>
        <w:spacing w:after="0" w:line="360" w:lineRule="auto"/>
        <w:jc w:val="both"/>
        <w:rPr>
          <w:rFonts w:ascii="Times New Roman" w:eastAsiaTheme="minorEastAsia" w:hAnsi="Times New Roman" w:cs="Times New Roman"/>
          <w:color w:val="000000" w:themeColor="text1"/>
          <w:sz w:val="24"/>
          <w:szCs w:val="24"/>
          <w:lang w:eastAsia="it-IT"/>
        </w:rPr>
      </w:pPr>
    </w:p>
    <w:p w14:paraId="12369856" w14:textId="77777777" w:rsidR="00F56356" w:rsidRPr="00F56356" w:rsidRDefault="00F56356"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eastAsiaTheme="minorEastAsia" w:cs="Times New Roman"/>
          <w:noProof/>
          <w:lang w:eastAsia="it-IT"/>
        </w:rPr>
        <w:drawing>
          <wp:inline distT="0" distB="0" distL="0" distR="0" wp14:anchorId="298033AD" wp14:editId="364B3E67">
            <wp:extent cx="3644900" cy="532765"/>
            <wp:effectExtent l="0" t="0" r="0" b="63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3570" cy="557419"/>
                    </a:xfrm>
                    <a:prstGeom prst="rect">
                      <a:avLst/>
                    </a:prstGeom>
                    <a:noFill/>
                    <a:ln>
                      <a:noFill/>
                    </a:ln>
                  </pic:spPr>
                </pic:pic>
              </a:graphicData>
            </a:graphic>
          </wp:inline>
        </w:drawing>
      </w:r>
    </w:p>
    <w:p w14:paraId="537EC354" w14:textId="77777777" w:rsidR="00F56356" w:rsidRPr="00F56356" w:rsidRDefault="00F56356" w:rsidP="00F56356">
      <w:pPr>
        <w:tabs>
          <w:tab w:val="left" w:pos="567"/>
        </w:tabs>
        <w:spacing w:after="0" w:line="360" w:lineRule="auto"/>
        <w:jc w:val="center"/>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noProof/>
          <w:color w:val="000000" w:themeColor="text1"/>
          <w:sz w:val="24"/>
          <w:szCs w:val="24"/>
          <w:lang w:eastAsia="it-IT"/>
        </w:rPr>
        <w:drawing>
          <wp:inline distT="0" distB="0" distL="0" distR="0" wp14:anchorId="7FA5C4FD" wp14:editId="121C6A1B">
            <wp:extent cx="3619500" cy="1801505"/>
            <wp:effectExtent l="0" t="0" r="0" b="825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73812" cy="1828537"/>
                    </a:xfrm>
                    <a:prstGeom prst="rect">
                      <a:avLst/>
                    </a:prstGeom>
                    <a:noFill/>
                  </pic:spPr>
                </pic:pic>
              </a:graphicData>
            </a:graphic>
          </wp:inline>
        </w:drawing>
      </w:r>
    </w:p>
    <w:p w14:paraId="41184E2C" w14:textId="41742E1F" w:rsidR="00F56356" w:rsidRDefault="00F56356"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211A3CAC" w14:textId="06964B0F"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4ECA373F" w14:textId="3EB63996"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6FCC1731" w14:textId="03A29BA1"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10392777" w14:textId="7BABA7A4"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034B2D40" w14:textId="7613AEAA"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6C20955C" w14:textId="390EE707"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0BC1D415" w14:textId="25F1E99F"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4C9C30E2" w14:textId="1F0C29D1"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30ACF6FE" w14:textId="768C2D5C"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7AB52060" w14:textId="11A7E9C1"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71BF53B9" w14:textId="53FBCC67"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7DDD7058" w14:textId="332BD382"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335DFFAA" w14:textId="3825E3A4"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209ADDFA" w14:textId="704279AA"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4142514A" w14:textId="28355854"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218A5D31" w14:textId="5425F000"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4E75099D" w14:textId="7AFEAF29"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1792C403" w14:textId="74767457"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7F5A11DB" w14:textId="3D6C0043"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7352CDFF" w14:textId="4AB5B0AA"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37473B81" w14:textId="42C2A439"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4022E8D0" w14:textId="164A3FB1"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397A31C2" w14:textId="1FD3ABC1"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1670E182" w14:textId="0387FC44"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12E56D7C" w14:textId="06A5EB0B"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2636B2EE" w14:textId="1B7B1534"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5BE91CF8" w14:textId="19092EF6"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105B572E" w14:textId="1B2C41F3"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0BEAD0A3" w14:textId="4A52AA06"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6051737B" w14:textId="2FC82494" w:rsidR="007377A5"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2C301503" w14:textId="77777777" w:rsidR="007377A5" w:rsidRPr="00F56356" w:rsidRDefault="007377A5"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5C7BD3F6"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16"/>
          <w:szCs w:val="24"/>
          <w:lang w:eastAsia="it-IT"/>
        </w:rPr>
      </w:pPr>
    </w:p>
    <w:p w14:paraId="0B835C05" w14:textId="77777777" w:rsidR="00F56356" w:rsidRPr="00F56356" w:rsidRDefault="00F56356" w:rsidP="00F56356">
      <w:pPr>
        <w:tabs>
          <w:tab w:val="left" w:pos="426"/>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 xml:space="preserve">Nella tabella sottostante è indicata la ripartizione delle risorse relative agli interventi per destinatari finali, comprensive delle risorse relative ai residui passivi perenti </w:t>
      </w:r>
      <w:proofErr w:type="spellStart"/>
      <w:r w:rsidRPr="00F56356">
        <w:rPr>
          <w:rFonts w:ascii="Times New Roman" w:eastAsiaTheme="minorEastAsia" w:hAnsi="Times New Roman" w:cs="Times New Roman"/>
          <w:color w:val="000000" w:themeColor="text1"/>
          <w:sz w:val="24"/>
          <w:szCs w:val="24"/>
          <w:lang w:eastAsia="it-IT"/>
        </w:rPr>
        <w:t>reiscritti</w:t>
      </w:r>
      <w:proofErr w:type="spellEnd"/>
      <w:r w:rsidRPr="00F56356">
        <w:rPr>
          <w:rFonts w:ascii="Times New Roman" w:eastAsiaTheme="minorEastAsia" w:hAnsi="Times New Roman" w:cs="Times New Roman"/>
          <w:color w:val="000000" w:themeColor="text1"/>
          <w:sz w:val="24"/>
          <w:szCs w:val="24"/>
          <w:lang w:eastAsia="it-IT"/>
        </w:rPr>
        <w:t>:</w:t>
      </w:r>
    </w:p>
    <w:p w14:paraId="496DEB21" w14:textId="77777777" w:rsidR="00F56356" w:rsidRPr="00F56356" w:rsidRDefault="00F56356" w:rsidP="00F56356">
      <w:pPr>
        <w:tabs>
          <w:tab w:val="left" w:pos="426"/>
        </w:tabs>
        <w:spacing w:after="0" w:line="360" w:lineRule="auto"/>
        <w:jc w:val="center"/>
        <w:rPr>
          <w:rFonts w:ascii="Times New Roman" w:eastAsiaTheme="minorEastAsia" w:hAnsi="Times New Roman" w:cs="Times New Roman"/>
          <w:b/>
          <w:color w:val="FF0000"/>
          <w:sz w:val="24"/>
          <w:szCs w:val="24"/>
          <w:lang w:eastAsia="it-IT"/>
        </w:rPr>
      </w:pPr>
      <w:r w:rsidRPr="00F56356">
        <w:rPr>
          <w:rFonts w:eastAsiaTheme="minorEastAsia" w:cs="Times New Roman"/>
          <w:noProof/>
          <w:lang w:eastAsia="it-IT"/>
        </w:rPr>
        <w:drawing>
          <wp:anchor distT="0" distB="0" distL="114300" distR="114300" simplePos="0" relativeHeight="251689984" behindDoc="1" locked="0" layoutInCell="1" allowOverlap="1" wp14:anchorId="619756BF" wp14:editId="7B0066B2">
            <wp:simplePos x="0" y="0"/>
            <wp:positionH relativeFrom="column">
              <wp:posOffset>3175</wp:posOffset>
            </wp:positionH>
            <wp:positionV relativeFrom="paragraph">
              <wp:posOffset>3175</wp:posOffset>
            </wp:positionV>
            <wp:extent cx="6210300" cy="5977255"/>
            <wp:effectExtent l="0" t="0" r="0" b="4445"/>
            <wp:wrapTight wrapText="bothSides">
              <wp:wrapPolygon edited="0">
                <wp:start x="0" y="0"/>
                <wp:lineTo x="0" y="20996"/>
                <wp:lineTo x="663" y="21547"/>
                <wp:lineTo x="19612" y="21547"/>
                <wp:lineTo x="20540" y="21478"/>
                <wp:lineTo x="21534" y="21203"/>
                <wp:lineTo x="21534" y="20928"/>
                <wp:lineTo x="19612" y="19826"/>
                <wp:lineTo x="21534" y="19069"/>
                <wp:lineTo x="21534" y="18931"/>
                <wp:lineTo x="19612" y="18725"/>
                <wp:lineTo x="19612" y="17623"/>
                <wp:lineTo x="21534" y="17554"/>
                <wp:lineTo x="21534" y="17417"/>
                <wp:lineTo x="19612" y="16522"/>
                <wp:lineTo x="21534" y="16040"/>
                <wp:lineTo x="21534" y="15902"/>
                <wp:lineTo x="19612" y="15420"/>
                <wp:lineTo x="21534" y="15007"/>
                <wp:lineTo x="21534" y="14870"/>
                <wp:lineTo x="19612" y="14319"/>
                <wp:lineTo x="19612" y="13217"/>
                <wp:lineTo x="21202" y="13217"/>
                <wp:lineTo x="21534" y="13011"/>
                <wp:lineTo x="21534" y="9775"/>
                <wp:lineTo x="20606" y="9294"/>
                <wp:lineTo x="19612" y="8812"/>
                <wp:lineTo x="19612" y="7710"/>
                <wp:lineTo x="21534" y="7573"/>
                <wp:lineTo x="21269" y="6609"/>
                <wp:lineTo x="21534" y="6609"/>
                <wp:lineTo x="21534" y="5576"/>
                <wp:lineTo x="19612" y="5507"/>
                <wp:lineTo x="21534" y="4612"/>
                <wp:lineTo x="21534" y="4475"/>
                <wp:lineTo x="19944" y="4406"/>
                <wp:lineTo x="21534" y="3511"/>
                <wp:lineTo x="21534" y="0"/>
                <wp:lineTo x="0" y="0"/>
              </wp:wrapPolygon>
            </wp:wrapTight>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10300" cy="5977255"/>
                    </a:xfrm>
                    <a:prstGeom prst="rect">
                      <a:avLst/>
                    </a:prstGeom>
                    <a:noFill/>
                    <a:ln>
                      <a:noFill/>
                    </a:ln>
                  </pic:spPr>
                </pic:pic>
              </a:graphicData>
            </a:graphic>
            <wp14:sizeRelV relativeFrom="margin">
              <wp14:pctHeight>0</wp14:pctHeight>
            </wp14:sizeRelV>
          </wp:anchor>
        </w:drawing>
      </w:r>
    </w:p>
    <w:p w14:paraId="18E23D7D" w14:textId="77777777" w:rsidR="00F56356" w:rsidRPr="00F56356" w:rsidRDefault="00F56356" w:rsidP="00F56356">
      <w:pPr>
        <w:tabs>
          <w:tab w:val="left" w:pos="426"/>
        </w:tabs>
        <w:spacing w:after="0" w:line="360" w:lineRule="auto"/>
        <w:jc w:val="both"/>
        <w:rPr>
          <w:rFonts w:ascii="Times New Roman" w:eastAsiaTheme="minorEastAsia" w:hAnsi="Times New Roman" w:cs="Times New Roman"/>
          <w:color w:val="000000" w:themeColor="text1"/>
          <w:sz w:val="24"/>
          <w:szCs w:val="24"/>
          <w:lang w:eastAsia="it-IT"/>
        </w:rPr>
      </w:pPr>
    </w:p>
    <w:p w14:paraId="3A5D987C"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33AFB01A" w14:textId="4BA2E65C" w:rsid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36C4232" w14:textId="2B344BC9"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04C2CC6" w14:textId="555E57BC"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F589CCB" w14:textId="2583D4E4"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D8AEAB2" w14:textId="655A8D85"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5DF425DE" w14:textId="7A5DADD5"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6E2ABB4" w14:textId="70E204CF"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29DF731C" w14:textId="7C4FC106"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AAD0ACD" w14:textId="7B842B9E" w:rsidR="007377A5"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88A41BD" w14:textId="77777777" w:rsidR="007377A5" w:rsidRPr="00F56356" w:rsidRDefault="007377A5" w:rsidP="00F56356">
      <w:pPr>
        <w:spacing w:after="0" w:line="360" w:lineRule="auto"/>
        <w:jc w:val="both"/>
        <w:rPr>
          <w:rFonts w:ascii="Times New Roman" w:eastAsiaTheme="minorEastAsia" w:hAnsi="Times New Roman" w:cs="Times New Roman"/>
          <w:color w:val="000000" w:themeColor="text1"/>
          <w:sz w:val="24"/>
          <w:szCs w:val="24"/>
          <w:lang w:eastAsia="it-IT"/>
        </w:rPr>
      </w:pPr>
    </w:p>
    <w:tbl>
      <w:tblPr>
        <w:tblW w:w="9695" w:type="dxa"/>
        <w:tblCellMar>
          <w:left w:w="70" w:type="dxa"/>
          <w:right w:w="70" w:type="dxa"/>
        </w:tblCellMar>
        <w:tblLook w:val="04A0" w:firstRow="1" w:lastRow="0" w:firstColumn="1" w:lastColumn="0" w:noHBand="0" w:noVBand="1"/>
      </w:tblPr>
      <w:tblGrid>
        <w:gridCol w:w="340"/>
        <w:gridCol w:w="2740"/>
        <w:gridCol w:w="540"/>
        <w:gridCol w:w="1240"/>
        <w:gridCol w:w="1140"/>
        <w:gridCol w:w="35"/>
        <w:gridCol w:w="1145"/>
        <w:gridCol w:w="35"/>
        <w:gridCol w:w="1305"/>
        <w:gridCol w:w="35"/>
        <w:gridCol w:w="1105"/>
        <w:gridCol w:w="35"/>
      </w:tblGrid>
      <w:tr w:rsidR="00F56356" w:rsidRPr="00F56356" w14:paraId="211D6D2F" w14:textId="77777777" w:rsidTr="00F56356">
        <w:trPr>
          <w:gridAfter w:val="1"/>
          <w:wAfter w:w="35" w:type="dxa"/>
          <w:trHeight w:val="283"/>
        </w:trPr>
        <w:tc>
          <w:tcPr>
            <w:tcW w:w="340" w:type="dxa"/>
            <w:tcBorders>
              <w:top w:val="nil"/>
              <w:left w:val="nil"/>
              <w:bottom w:val="nil"/>
              <w:right w:val="nil"/>
            </w:tcBorders>
            <w:shd w:val="clear" w:color="auto" w:fill="auto"/>
            <w:noWrap/>
            <w:vAlign w:val="bottom"/>
            <w:hideMark/>
          </w:tcPr>
          <w:p w14:paraId="5195D7F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BFAB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093A04AD" w14:textId="77777777" w:rsidTr="00F56356">
        <w:trPr>
          <w:gridAfter w:val="1"/>
          <w:wAfter w:w="35" w:type="dxa"/>
          <w:trHeight w:val="480"/>
        </w:trPr>
        <w:tc>
          <w:tcPr>
            <w:tcW w:w="340" w:type="dxa"/>
            <w:tcBorders>
              <w:top w:val="nil"/>
              <w:left w:val="nil"/>
              <w:bottom w:val="nil"/>
              <w:right w:val="nil"/>
            </w:tcBorders>
            <w:shd w:val="clear" w:color="auto" w:fill="auto"/>
            <w:noWrap/>
            <w:vAlign w:val="center"/>
            <w:hideMark/>
          </w:tcPr>
          <w:p w14:paraId="00F27AE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6250D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63C49FF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7A9F18DE" w14:textId="77777777" w:rsidTr="00F56356">
        <w:trPr>
          <w:gridAfter w:val="1"/>
          <w:wAfter w:w="35" w:type="dxa"/>
          <w:trHeight w:val="225"/>
        </w:trPr>
        <w:tc>
          <w:tcPr>
            <w:tcW w:w="340" w:type="dxa"/>
            <w:tcBorders>
              <w:top w:val="nil"/>
              <w:left w:val="nil"/>
              <w:bottom w:val="nil"/>
              <w:right w:val="nil"/>
            </w:tcBorders>
            <w:shd w:val="clear" w:color="auto" w:fill="auto"/>
            <w:noWrap/>
            <w:vAlign w:val="center"/>
            <w:hideMark/>
          </w:tcPr>
          <w:p w14:paraId="11D225E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60607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7057FD5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71E7EC62" w14:textId="77777777" w:rsidTr="00F56356">
        <w:trPr>
          <w:gridAfter w:val="1"/>
          <w:wAfter w:w="35" w:type="dxa"/>
          <w:trHeight w:val="225"/>
        </w:trPr>
        <w:tc>
          <w:tcPr>
            <w:tcW w:w="340" w:type="dxa"/>
            <w:tcBorders>
              <w:top w:val="nil"/>
              <w:left w:val="nil"/>
              <w:bottom w:val="nil"/>
              <w:right w:val="nil"/>
            </w:tcBorders>
            <w:shd w:val="clear" w:color="auto" w:fill="auto"/>
            <w:noWrap/>
            <w:vAlign w:val="center"/>
            <w:hideMark/>
          </w:tcPr>
          <w:p w14:paraId="4489FF4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D1204C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374F226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6 - Funzione pubblica </w:t>
            </w:r>
          </w:p>
        </w:tc>
      </w:tr>
      <w:tr w:rsidR="00F56356" w:rsidRPr="00F56356" w14:paraId="2C221181" w14:textId="77777777" w:rsidTr="00F56356">
        <w:trPr>
          <w:gridAfter w:val="1"/>
          <w:wAfter w:w="35" w:type="dxa"/>
          <w:trHeight w:val="510"/>
        </w:trPr>
        <w:tc>
          <w:tcPr>
            <w:tcW w:w="340" w:type="dxa"/>
            <w:tcBorders>
              <w:top w:val="nil"/>
              <w:left w:val="nil"/>
              <w:bottom w:val="nil"/>
              <w:right w:val="nil"/>
            </w:tcBorders>
            <w:shd w:val="clear" w:color="auto" w:fill="auto"/>
            <w:noWrap/>
            <w:vAlign w:val="center"/>
            <w:hideMark/>
          </w:tcPr>
          <w:p w14:paraId="69646E6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CED2B2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419C818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Favorire esperienze di formazione e lavoro professionalizzanti per giovani nella pubblica amministrazione </w:t>
            </w:r>
          </w:p>
        </w:tc>
      </w:tr>
      <w:tr w:rsidR="00F56356" w:rsidRPr="00F56356" w14:paraId="1ABFBBED" w14:textId="77777777" w:rsidTr="00F56356">
        <w:trPr>
          <w:gridAfter w:val="1"/>
          <w:wAfter w:w="35" w:type="dxa"/>
          <w:trHeight w:val="449"/>
        </w:trPr>
        <w:tc>
          <w:tcPr>
            <w:tcW w:w="340" w:type="dxa"/>
            <w:tcBorders>
              <w:top w:val="nil"/>
              <w:left w:val="nil"/>
              <w:bottom w:val="nil"/>
              <w:right w:val="nil"/>
            </w:tcBorders>
            <w:shd w:val="clear" w:color="auto" w:fill="auto"/>
            <w:noWrap/>
            <w:vAlign w:val="center"/>
            <w:hideMark/>
          </w:tcPr>
          <w:p w14:paraId="3206463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BFDF2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1CE1BA9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Attivazione di progetti di formazione e lavoro per l'acquisizione, attraverso contratti di apprendistato anche nelle more della disciplina dei rispettivi contratti collettivi nazionali di lavoro, di competenze di base e trasversali, nonché per l'orientamento professionale di diplomati e di studenti universitari  </w:t>
            </w:r>
          </w:p>
        </w:tc>
      </w:tr>
      <w:tr w:rsidR="00F56356" w:rsidRPr="00F56356" w14:paraId="722F623D" w14:textId="77777777" w:rsidTr="00F56356">
        <w:trPr>
          <w:gridAfter w:val="1"/>
          <w:wAfter w:w="35" w:type="dxa"/>
          <w:trHeight w:val="255"/>
        </w:trPr>
        <w:tc>
          <w:tcPr>
            <w:tcW w:w="340" w:type="dxa"/>
            <w:tcBorders>
              <w:top w:val="nil"/>
              <w:left w:val="nil"/>
              <w:bottom w:val="nil"/>
              <w:right w:val="nil"/>
            </w:tcBorders>
            <w:shd w:val="clear" w:color="auto" w:fill="auto"/>
            <w:noWrap/>
            <w:vAlign w:val="center"/>
            <w:hideMark/>
          </w:tcPr>
          <w:p w14:paraId="489925C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64A087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5134D07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C3B4676" w14:textId="77777777" w:rsidTr="00F56356">
        <w:trPr>
          <w:gridAfter w:val="1"/>
          <w:wAfter w:w="35" w:type="dxa"/>
          <w:trHeight w:val="255"/>
        </w:trPr>
        <w:tc>
          <w:tcPr>
            <w:tcW w:w="340" w:type="dxa"/>
            <w:tcBorders>
              <w:top w:val="nil"/>
              <w:left w:val="nil"/>
              <w:bottom w:val="nil"/>
              <w:right w:val="nil"/>
            </w:tcBorders>
            <w:shd w:val="clear" w:color="auto" w:fill="auto"/>
            <w:noWrap/>
            <w:vAlign w:val="center"/>
            <w:hideMark/>
          </w:tcPr>
          <w:p w14:paraId="1ED8B0A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9FDBF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1699FAE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F102598" w14:textId="77777777" w:rsidTr="00F56356">
        <w:trPr>
          <w:gridAfter w:val="1"/>
          <w:wAfter w:w="35" w:type="dxa"/>
          <w:trHeight w:val="330"/>
        </w:trPr>
        <w:tc>
          <w:tcPr>
            <w:tcW w:w="340" w:type="dxa"/>
            <w:tcBorders>
              <w:top w:val="nil"/>
              <w:left w:val="nil"/>
              <w:bottom w:val="nil"/>
              <w:right w:val="nil"/>
            </w:tcBorders>
            <w:shd w:val="clear" w:color="auto" w:fill="auto"/>
            <w:noWrap/>
            <w:vAlign w:val="bottom"/>
            <w:hideMark/>
          </w:tcPr>
          <w:p w14:paraId="790AEED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3797D0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6BD738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394</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066FB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AF89F9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581E4B1A" w14:textId="77777777" w:rsidTr="00F56356">
        <w:trPr>
          <w:gridAfter w:val="1"/>
          <w:wAfter w:w="35" w:type="dxa"/>
          <w:trHeight w:val="959"/>
        </w:trPr>
        <w:tc>
          <w:tcPr>
            <w:tcW w:w="340" w:type="dxa"/>
            <w:tcBorders>
              <w:top w:val="nil"/>
              <w:left w:val="nil"/>
              <w:bottom w:val="nil"/>
              <w:right w:val="nil"/>
            </w:tcBorders>
            <w:shd w:val="clear" w:color="auto" w:fill="auto"/>
            <w:noWrap/>
            <w:vAlign w:val="bottom"/>
            <w:hideMark/>
          </w:tcPr>
          <w:p w14:paraId="597F371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0709B5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B03038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3DAA7BF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50620A0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gridSpan w:val="2"/>
            <w:tcBorders>
              <w:top w:val="nil"/>
              <w:left w:val="nil"/>
              <w:bottom w:val="single" w:sz="4" w:space="0" w:color="auto"/>
              <w:right w:val="single" w:sz="4" w:space="0" w:color="auto"/>
            </w:tcBorders>
            <w:shd w:val="clear" w:color="auto" w:fill="auto"/>
            <w:vAlign w:val="center"/>
            <w:hideMark/>
          </w:tcPr>
          <w:p w14:paraId="5C282FF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gridSpan w:val="2"/>
            <w:tcBorders>
              <w:top w:val="nil"/>
              <w:left w:val="nil"/>
              <w:bottom w:val="single" w:sz="4" w:space="0" w:color="auto"/>
              <w:right w:val="single" w:sz="4" w:space="0" w:color="auto"/>
            </w:tcBorders>
            <w:shd w:val="clear" w:color="auto" w:fill="auto"/>
            <w:vAlign w:val="center"/>
            <w:hideMark/>
          </w:tcPr>
          <w:p w14:paraId="0CC627F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gridSpan w:val="2"/>
            <w:tcBorders>
              <w:top w:val="nil"/>
              <w:left w:val="nil"/>
              <w:bottom w:val="single" w:sz="4" w:space="0" w:color="auto"/>
              <w:right w:val="single" w:sz="4" w:space="0" w:color="auto"/>
            </w:tcBorders>
            <w:shd w:val="clear" w:color="auto" w:fill="auto"/>
            <w:vAlign w:val="center"/>
            <w:hideMark/>
          </w:tcPr>
          <w:p w14:paraId="28F8493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616F6D5" w14:textId="77777777" w:rsidTr="00F56356">
        <w:trPr>
          <w:gridAfter w:val="1"/>
          <w:wAfter w:w="35" w:type="dxa"/>
          <w:trHeight w:val="278"/>
        </w:trPr>
        <w:tc>
          <w:tcPr>
            <w:tcW w:w="340" w:type="dxa"/>
            <w:tcBorders>
              <w:top w:val="nil"/>
              <w:left w:val="nil"/>
              <w:bottom w:val="nil"/>
              <w:right w:val="nil"/>
            </w:tcBorders>
            <w:shd w:val="clear" w:color="auto" w:fill="auto"/>
            <w:noWrap/>
            <w:vAlign w:val="bottom"/>
            <w:hideMark/>
          </w:tcPr>
          <w:p w14:paraId="1D34092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04FD57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1BC135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73EA89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1.000.000,00</w:t>
            </w:r>
          </w:p>
        </w:tc>
        <w:tc>
          <w:tcPr>
            <w:tcW w:w="1140" w:type="dxa"/>
            <w:tcBorders>
              <w:top w:val="nil"/>
              <w:left w:val="nil"/>
              <w:bottom w:val="single" w:sz="4" w:space="0" w:color="auto"/>
              <w:right w:val="single" w:sz="4" w:space="0" w:color="auto"/>
            </w:tcBorders>
            <w:shd w:val="clear" w:color="auto" w:fill="auto"/>
            <w:noWrap/>
            <w:vAlign w:val="center"/>
            <w:hideMark/>
          </w:tcPr>
          <w:p w14:paraId="69D6038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1.700.000,00</w:t>
            </w:r>
          </w:p>
        </w:tc>
        <w:tc>
          <w:tcPr>
            <w:tcW w:w="1180" w:type="dxa"/>
            <w:gridSpan w:val="2"/>
            <w:tcBorders>
              <w:top w:val="nil"/>
              <w:left w:val="nil"/>
              <w:bottom w:val="single" w:sz="4" w:space="0" w:color="auto"/>
              <w:right w:val="single" w:sz="4" w:space="0" w:color="auto"/>
            </w:tcBorders>
            <w:shd w:val="clear" w:color="auto" w:fill="auto"/>
            <w:noWrap/>
            <w:vAlign w:val="center"/>
            <w:hideMark/>
          </w:tcPr>
          <w:p w14:paraId="5252B3C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49C8A42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14:paraId="314F30F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0AE8692C" w14:textId="77777777" w:rsidTr="00F56356">
        <w:trPr>
          <w:gridAfter w:val="1"/>
          <w:wAfter w:w="35" w:type="dxa"/>
          <w:trHeight w:val="225"/>
        </w:trPr>
        <w:tc>
          <w:tcPr>
            <w:tcW w:w="340" w:type="dxa"/>
            <w:tcBorders>
              <w:top w:val="nil"/>
              <w:left w:val="nil"/>
              <w:bottom w:val="nil"/>
              <w:right w:val="nil"/>
            </w:tcBorders>
            <w:shd w:val="clear" w:color="auto" w:fill="auto"/>
            <w:noWrap/>
            <w:vAlign w:val="bottom"/>
            <w:hideMark/>
          </w:tcPr>
          <w:p w14:paraId="7A08279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5E2A584"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2F4898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A4BD77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A9562D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gridSpan w:val="2"/>
            <w:tcBorders>
              <w:top w:val="nil"/>
              <w:left w:val="nil"/>
              <w:bottom w:val="nil"/>
              <w:right w:val="nil"/>
            </w:tcBorders>
            <w:shd w:val="clear" w:color="auto" w:fill="auto"/>
            <w:noWrap/>
            <w:vAlign w:val="bottom"/>
            <w:hideMark/>
          </w:tcPr>
          <w:p w14:paraId="5FFCEF6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gridSpan w:val="2"/>
            <w:tcBorders>
              <w:top w:val="nil"/>
              <w:left w:val="nil"/>
              <w:bottom w:val="nil"/>
              <w:right w:val="nil"/>
            </w:tcBorders>
            <w:shd w:val="clear" w:color="auto" w:fill="auto"/>
            <w:noWrap/>
            <w:vAlign w:val="bottom"/>
            <w:hideMark/>
          </w:tcPr>
          <w:p w14:paraId="0579F9F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gridSpan w:val="2"/>
            <w:tcBorders>
              <w:top w:val="nil"/>
              <w:left w:val="nil"/>
              <w:bottom w:val="nil"/>
              <w:right w:val="single" w:sz="4" w:space="0" w:color="auto"/>
            </w:tcBorders>
            <w:shd w:val="clear" w:color="auto" w:fill="auto"/>
            <w:noWrap/>
            <w:vAlign w:val="bottom"/>
            <w:hideMark/>
          </w:tcPr>
          <w:p w14:paraId="337782F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C16EE44" w14:textId="77777777" w:rsidTr="00F56356">
        <w:trPr>
          <w:gridAfter w:val="1"/>
          <w:wAfter w:w="35" w:type="dxa"/>
          <w:trHeight w:val="154"/>
        </w:trPr>
        <w:tc>
          <w:tcPr>
            <w:tcW w:w="340" w:type="dxa"/>
            <w:tcBorders>
              <w:top w:val="nil"/>
              <w:left w:val="nil"/>
              <w:bottom w:val="nil"/>
              <w:right w:val="nil"/>
            </w:tcBorders>
            <w:shd w:val="clear" w:color="auto" w:fill="auto"/>
            <w:noWrap/>
            <w:vAlign w:val="bottom"/>
            <w:hideMark/>
          </w:tcPr>
          <w:p w14:paraId="111760E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10"/>
            <w:tcBorders>
              <w:top w:val="nil"/>
              <w:left w:val="single" w:sz="4" w:space="0" w:color="auto"/>
              <w:bottom w:val="nil"/>
              <w:right w:val="single" w:sz="4" w:space="0" w:color="000000"/>
            </w:tcBorders>
            <w:shd w:val="clear" w:color="auto" w:fill="auto"/>
            <w:vAlign w:val="center"/>
            <w:hideMark/>
          </w:tcPr>
          <w:p w14:paraId="48EC4B7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79C35DB4" w14:textId="77777777" w:rsidTr="00F56356">
        <w:trPr>
          <w:gridAfter w:val="1"/>
          <w:wAfter w:w="35" w:type="dxa"/>
          <w:trHeight w:val="146"/>
        </w:trPr>
        <w:tc>
          <w:tcPr>
            <w:tcW w:w="340" w:type="dxa"/>
            <w:tcBorders>
              <w:top w:val="nil"/>
              <w:left w:val="nil"/>
              <w:bottom w:val="nil"/>
              <w:right w:val="nil"/>
            </w:tcBorders>
            <w:shd w:val="clear" w:color="auto" w:fill="auto"/>
            <w:noWrap/>
            <w:vAlign w:val="bottom"/>
            <w:hideMark/>
          </w:tcPr>
          <w:p w14:paraId="06BF73B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10"/>
            <w:tcBorders>
              <w:top w:val="nil"/>
              <w:left w:val="single" w:sz="4" w:space="0" w:color="auto"/>
              <w:bottom w:val="nil"/>
              <w:right w:val="single" w:sz="4" w:space="0" w:color="000000"/>
            </w:tcBorders>
            <w:shd w:val="clear" w:color="auto" w:fill="auto"/>
            <w:vAlign w:val="center"/>
            <w:hideMark/>
          </w:tcPr>
          <w:p w14:paraId="79C79C4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68C70C56" w14:textId="77777777" w:rsidTr="00F56356">
        <w:trPr>
          <w:gridAfter w:val="1"/>
          <w:wAfter w:w="35" w:type="dxa"/>
          <w:trHeight w:val="80"/>
        </w:trPr>
        <w:tc>
          <w:tcPr>
            <w:tcW w:w="340" w:type="dxa"/>
            <w:tcBorders>
              <w:top w:val="nil"/>
              <w:left w:val="nil"/>
              <w:bottom w:val="nil"/>
              <w:right w:val="nil"/>
            </w:tcBorders>
            <w:shd w:val="clear" w:color="auto" w:fill="auto"/>
            <w:noWrap/>
            <w:vAlign w:val="bottom"/>
            <w:hideMark/>
          </w:tcPr>
          <w:p w14:paraId="56EEC3C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10"/>
            <w:tcBorders>
              <w:top w:val="nil"/>
              <w:left w:val="single" w:sz="4" w:space="0" w:color="auto"/>
              <w:bottom w:val="single" w:sz="4" w:space="0" w:color="auto"/>
              <w:right w:val="single" w:sz="4" w:space="0" w:color="000000"/>
            </w:tcBorders>
            <w:shd w:val="clear" w:color="auto" w:fill="auto"/>
            <w:vAlign w:val="center"/>
            <w:hideMark/>
          </w:tcPr>
          <w:p w14:paraId="20DA10E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17A2C199" w14:textId="77777777" w:rsidTr="00F56356">
        <w:trPr>
          <w:gridAfter w:val="1"/>
          <w:wAfter w:w="35" w:type="dxa"/>
          <w:trHeight w:val="256"/>
        </w:trPr>
        <w:tc>
          <w:tcPr>
            <w:tcW w:w="340" w:type="dxa"/>
            <w:tcBorders>
              <w:top w:val="nil"/>
              <w:left w:val="nil"/>
              <w:bottom w:val="nil"/>
              <w:right w:val="nil"/>
            </w:tcBorders>
            <w:shd w:val="clear" w:color="auto" w:fill="auto"/>
            <w:noWrap/>
            <w:vAlign w:val="bottom"/>
            <w:hideMark/>
          </w:tcPr>
          <w:p w14:paraId="373135B4"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E61AE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642B9693" w14:textId="77777777" w:rsidTr="00F56356">
        <w:trPr>
          <w:gridAfter w:val="1"/>
          <w:wAfter w:w="35" w:type="dxa"/>
          <w:trHeight w:val="780"/>
        </w:trPr>
        <w:tc>
          <w:tcPr>
            <w:tcW w:w="340" w:type="dxa"/>
            <w:tcBorders>
              <w:top w:val="nil"/>
              <w:left w:val="nil"/>
              <w:bottom w:val="nil"/>
              <w:right w:val="nil"/>
            </w:tcBorders>
            <w:shd w:val="clear" w:color="auto" w:fill="auto"/>
            <w:noWrap/>
            <w:vAlign w:val="center"/>
            <w:hideMark/>
          </w:tcPr>
          <w:p w14:paraId="59E9CE8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9A57AA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5C5FD99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 capacità di coinvolgimento delle amministrazioni pubbliche; b) capacità di approvazione e ammissione al finanziamento dei progetti di formazione e lavoro</w:t>
            </w:r>
          </w:p>
        </w:tc>
      </w:tr>
      <w:tr w:rsidR="00F56356" w:rsidRPr="00F56356" w14:paraId="525FB7F5" w14:textId="77777777" w:rsidTr="00F56356">
        <w:trPr>
          <w:gridAfter w:val="1"/>
          <w:wAfter w:w="35" w:type="dxa"/>
          <w:trHeight w:val="510"/>
        </w:trPr>
        <w:tc>
          <w:tcPr>
            <w:tcW w:w="340" w:type="dxa"/>
            <w:tcBorders>
              <w:top w:val="nil"/>
              <w:left w:val="nil"/>
              <w:bottom w:val="nil"/>
              <w:right w:val="nil"/>
            </w:tcBorders>
            <w:shd w:val="clear" w:color="auto" w:fill="auto"/>
            <w:noWrap/>
            <w:vAlign w:val="center"/>
            <w:hideMark/>
          </w:tcPr>
          <w:p w14:paraId="773C76F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5ADD63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9"/>
            <w:tcBorders>
              <w:top w:val="single" w:sz="4" w:space="0" w:color="auto"/>
              <w:left w:val="nil"/>
              <w:bottom w:val="single" w:sz="4" w:space="0" w:color="auto"/>
              <w:right w:val="single" w:sz="4" w:space="0" w:color="000000"/>
            </w:tcBorders>
            <w:shd w:val="clear" w:color="auto" w:fill="auto"/>
            <w:vAlign w:val="center"/>
            <w:hideMark/>
          </w:tcPr>
          <w:p w14:paraId="58FF39F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Relazione al capo del dipartimento, </w:t>
            </w:r>
            <w:proofErr w:type="spellStart"/>
            <w:r w:rsidRPr="00F56356">
              <w:rPr>
                <w:rFonts w:ascii="Times New Roman" w:eastAsia="Times New Roman" w:hAnsi="Times New Roman" w:cs="Times New Roman"/>
                <w:color w:val="000000"/>
                <w:sz w:val="20"/>
                <w:szCs w:val="20"/>
                <w:lang w:eastAsia="it-IT"/>
              </w:rPr>
              <w:t>Sicoge</w:t>
            </w:r>
            <w:proofErr w:type="spellEnd"/>
            <w:r w:rsidRPr="00F56356">
              <w:rPr>
                <w:rFonts w:ascii="Times New Roman" w:eastAsia="Times New Roman" w:hAnsi="Times New Roman" w:cs="Times New Roman"/>
                <w:color w:val="000000"/>
                <w:sz w:val="20"/>
                <w:szCs w:val="20"/>
                <w:lang w:eastAsia="it-IT"/>
              </w:rPr>
              <w:t>, Protocollo informatico, Posta elettronica</w:t>
            </w:r>
          </w:p>
        </w:tc>
      </w:tr>
      <w:tr w:rsidR="00F56356" w:rsidRPr="00F56356" w14:paraId="14905204" w14:textId="77777777" w:rsidTr="00F56356">
        <w:trPr>
          <w:gridAfter w:val="1"/>
          <w:wAfter w:w="35" w:type="dxa"/>
          <w:trHeight w:val="1488"/>
        </w:trPr>
        <w:tc>
          <w:tcPr>
            <w:tcW w:w="340" w:type="dxa"/>
            <w:tcBorders>
              <w:top w:val="nil"/>
              <w:left w:val="nil"/>
              <w:bottom w:val="nil"/>
              <w:right w:val="nil"/>
            </w:tcBorders>
            <w:shd w:val="clear" w:color="auto" w:fill="auto"/>
            <w:noWrap/>
            <w:vAlign w:val="center"/>
            <w:hideMark/>
          </w:tcPr>
          <w:p w14:paraId="3D211C2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42D2F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0A37DA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 numero di potenziali beneficiari che presentano una proposta progettuale; b) numero proposte progettuali ammesse al finanziamento/numero proposte progettuali presentate</w:t>
            </w:r>
          </w:p>
        </w:tc>
        <w:tc>
          <w:tcPr>
            <w:tcW w:w="1180" w:type="dxa"/>
            <w:gridSpan w:val="2"/>
            <w:tcBorders>
              <w:top w:val="nil"/>
              <w:left w:val="nil"/>
              <w:bottom w:val="single" w:sz="4" w:space="0" w:color="auto"/>
              <w:right w:val="nil"/>
            </w:tcBorders>
            <w:shd w:val="clear" w:color="auto" w:fill="auto"/>
            <w:vAlign w:val="center"/>
            <w:hideMark/>
          </w:tcPr>
          <w:p w14:paraId="0B17830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gridSpan w:val="2"/>
            <w:tcBorders>
              <w:top w:val="nil"/>
              <w:left w:val="single" w:sz="4" w:space="0" w:color="auto"/>
              <w:bottom w:val="single" w:sz="4" w:space="0" w:color="auto"/>
              <w:right w:val="nil"/>
            </w:tcBorders>
            <w:shd w:val="clear" w:color="auto" w:fill="auto"/>
            <w:vAlign w:val="center"/>
            <w:hideMark/>
          </w:tcPr>
          <w:p w14:paraId="200A487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14:paraId="458B859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6EDCAD41" w14:textId="77777777" w:rsidTr="00F56356">
        <w:trPr>
          <w:gridAfter w:val="1"/>
          <w:wAfter w:w="35" w:type="dxa"/>
          <w:trHeight w:val="1362"/>
        </w:trPr>
        <w:tc>
          <w:tcPr>
            <w:tcW w:w="340" w:type="dxa"/>
            <w:tcBorders>
              <w:top w:val="nil"/>
              <w:left w:val="nil"/>
              <w:bottom w:val="nil"/>
              <w:right w:val="nil"/>
            </w:tcBorders>
            <w:shd w:val="clear" w:color="auto" w:fill="auto"/>
            <w:noWrap/>
            <w:vAlign w:val="bottom"/>
            <w:hideMark/>
          </w:tcPr>
          <w:p w14:paraId="7FA70F5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705273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BD7CD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numero e percentuale </w:t>
            </w:r>
          </w:p>
        </w:tc>
        <w:tc>
          <w:tcPr>
            <w:tcW w:w="1180" w:type="dxa"/>
            <w:gridSpan w:val="2"/>
            <w:tcBorders>
              <w:top w:val="nil"/>
              <w:left w:val="nil"/>
              <w:bottom w:val="single" w:sz="4" w:space="0" w:color="auto"/>
              <w:right w:val="single" w:sz="4" w:space="0" w:color="auto"/>
            </w:tcBorders>
            <w:shd w:val="clear" w:color="auto" w:fill="auto"/>
            <w:vAlign w:val="center"/>
            <w:hideMark/>
          </w:tcPr>
          <w:p w14:paraId="1F6BD9A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per indicatore a) almeno n. 10 </w:t>
            </w:r>
            <w:proofErr w:type="gramStart"/>
            <w:r w:rsidRPr="00F56356">
              <w:rPr>
                <w:rFonts w:ascii="Times New Roman" w:eastAsia="Times New Roman" w:hAnsi="Times New Roman" w:cs="Times New Roman"/>
                <w:color w:val="000000"/>
                <w:sz w:val="20"/>
                <w:szCs w:val="20"/>
                <w:lang w:eastAsia="it-IT"/>
              </w:rPr>
              <w:t xml:space="preserve">enti;   </w:t>
            </w:r>
            <w:proofErr w:type="gramEnd"/>
            <w:r w:rsidRPr="00F56356">
              <w:rPr>
                <w:rFonts w:ascii="Times New Roman" w:eastAsia="Times New Roman" w:hAnsi="Times New Roman" w:cs="Times New Roman"/>
                <w:color w:val="000000"/>
                <w:sz w:val="20"/>
                <w:szCs w:val="20"/>
                <w:lang w:eastAsia="it-IT"/>
              </w:rPr>
              <w:t xml:space="preserve">     per indicatore b) almeno 80%</w:t>
            </w:r>
          </w:p>
        </w:tc>
        <w:tc>
          <w:tcPr>
            <w:tcW w:w="1340" w:type="dxa"/>
            <w:gridSpan w:val="2"/>
            <w:tcBorders>
              <w:top w:val="nil"/>
              <w:left w:val="nil"/>
              <w:bottom w:val="single" w:sz="4" w:space="0" w:color="auto"/>
              <w:right w:val="nil"/>
            </w:tcBorders>
            <w:shd w:val="clear" w:color="auto" w:fill="auto"/>
            <w:vAlign w:val="center"/>
            <w:hideMark/>
          </w:tcPr>
          <w:p w14:paraId="07893AA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Non sono state presentate proposte progettuali</w:t>
            </w:r>
          </w:p>
        </w:tc>
        <w:tc>
          <w:tcPr>
            <w:tcW w:w="1140" w:type="dxa"/>
            <w:gridSpan w:val="2"/>
            <w:tcBorders>
              <w:top w:val="nil"/>
              <w:left w:val="single" w:sz="4" w:space="0" w:color="auto"/>
              <w:bottom w:val="single" w:sz="4" w:space="0" w:color="auto"/>
              <w:right w:val="single" w:sz="4" w:space="0" w:color="auto"/>
            </w:tcBorders>
            <w:shd w:val="clear" w:color="000000" w:fill="FFFFFF"/>
            <w:vAlign w:val="center"/>
            <w:hideMark/>
          </w:tcPr>
          <w:p w14:paraId="369AE1F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per indicatore a) n. 10 enti; per indicatore b) - 80%</w:t>
            </w:r>
          </w:p>
        </w:tc>
      </w:tr>
      <w:tr w:rsidR="00F56356" w:rsidRPr="00F56356" w14:paraId="2DD3652F" w14:textId="77777777" w:rsidTr="00F56356">
        <w:trPr>
          <w:gridAfter w:val="1"/>
          <w:wAfter w:w="35" w:type="dxa"/>
          <w:trHeight w:val="567"/>
        </w:trPr>
        <w:tc>
          <w:tcPr>
            <w:tcW w:w="340" w:type="dxa"/>
            <w:tcBorders>
              <w:top w:val="nil"/>
              <w:left w:val="nil"/>
              <w:bottom w:val="nil"/>
              <w:right w:val="nil"/>
            </w:tcBorders>
            <w:shd w:val="clear" w:color="auto" w:fill="auto"/>
            <w:noWrap/>
            <w:vAlign w:val="bottom"/>
            <w:hideMark/>
          </w:tcPr>
          <w:p w14:paraId="22EF8A9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10"/>
            <w:tcBorders>
              <w:top w:val="single" w:sz="4" w:space="0" w:color="auto"/>
              <w:left w:val="single" w:sz="4" w:space="0" w:color="auto"/>
              <w:bottom w:val="single" w:sz="4" w:space="0" w:color="auto"/>
              <w:right w:val="single" w:sz="4" w:space="0" w:color="000000"/>
            </w:tcBorders>
            <w:shd w:val="clear" w:color="000000" w:fill="FFFFFF"/>
            <w:hideMark/>
          </w:tcPr>
          <w:p w14:paraId="5AA516A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Motivazioni degli eventuali scostamenti tra valori target a preventivo e valori target a consuntivo. </w:t>
            </w:r>
            <w:r w:rsidRPr="00F56356">
              <w:rPr>
                <w:rFonts w:ascii="Times New Roman" w:eastAsia="Times New Roman" w:hAnsi="Times New Roman" w:cs="Times New Roman"/>
                <w:color w:val="000000"/>
                <w:sz w:val="20"/>
                <w:szCs w:val="20"/>
                <w:lang w:eastAsia="it-IT"/>
              </w:rPr>
              <w:br/>
              <w:t>Complessità dei profili gestionali dell'intervento e segnatamente di quelli relativi alla impostazione delle modalità attuative. In particolare, il DM del 23 marzo 2022, pubblicato in Gazzetta Ufficiale il 26 maggio 2022, ha previsto che, in fase di prima attuazione, le amministrazioni pubbliche da coinvolgere nei progetti formativi fossero individuate in sede di Conferenza permanente per i rapporti tra lo Stato, le Regioni e le province autonome di Trento e di Bolzano (5 amministrazioni centrali e 5 locali).</w:t>
            </w:r>
          </w:p>
          <w:p w14:paraId="0A63D7C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Nelle more della individuazione delle amministrazioni da parte della citata Conferenza, il Dipartimento della funzione pubblica ha promosso la costituzione di due gruppi di lavoro con componenti degli uffici tematici (Ufficio per l’innovazione amministrativa, la formazione e lo sviluppo delle competenze; Ufficio per il reclutamento e i concorsi), della Scuola Nazionale dell’Amministrazione e di </w:t>
            </w:r>
            <w:proofErr w:type="spellStart"/>
            <w:r w:rsidRPr="00F56356">
              <w:rPr>
                <w:rFonts w:ascii="Times New Roman" w:eastAsia="Times New Roman" w:hAnsi="Times New Roman" w:cs="Times New Roman"/>
                <w:color w:val="000000"/>
                <w:sz w:val="20"/>
                <w:szCs w:val="20"/>
                <w:lang w:eastAsia="it-IT"/>
              </w:rPr>
              <w:t>Formez</w:t>
            </w:r>
            <w:proofErr w:type="spellEnd"/>
            <w:r w:rsidRPr="00F56356">
              <w:rPr>
                <w:rFonts w:ascii="Times New Roman" w:eastAsia="Times New Roman" w:hAnsi="Times New Roman" w:cs="Times New Roman"/>
                <w:color w:val="000000"/>
                <w:sz w:val="20"/>
                <w:szCs w:val="20"/>
                <w:lang w:eastAsia="it-IT"/>
              </w:rPr>
              <w:t xml:space="preserve"> PA, per la definizione di una bozza di avviso pubblico sia per i tirocini che per i dottorati di ricerca.</w:t>
            </w:r>
          </w:p>
          <w:p w14:paraId="335A64A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Per quanto riguarda in maniera specifica i dottorati di ricerca, il gruppo di lavoro ha approfondito gli aspetti tematici in grado di rendere i dottorati stessi “appetibili” dalle amministrazioni e dai beneficiari (gli studenti), considerando, da un lato, l’esiguità del numero di quelli finanziabili per anno (meno di dieci), dall’altro, la grande offerta prevista dal Piano Nazionale di Ripresa e Resilienza (c.d. “dottorati innovativi per la pubblica amministrazione). </w:t>
            </w:r>
          </w:p>
        </w:tc>
      </w:tr>
      <w:tr w:rsidR="004912FA" w:rsidRPr="00F56356" w14:paraId="49A8899D" w14:textId="77777777" w:rsidTr="00F56356">
        <w:trPr>
          <w:gridAfter w:val="11"/>
          <w:wAfter w:w="9355" w:type="dxa"/>
          <w:trHeight w:val="567"/>
        </w:trPr>
        <w:tc>
          <w:tcPr>
            <w:tcW w:w="340" w:type="dxa"/>
            <w:tcBorders>
              <w:top w:val="nil"/>
              <w:left w:val="nil"/>
              <w:bottom w:val="nil"/>
              <w:right w:val="nil"/>
            </w:tcBorders>
            <w:shd w:val="clear" w:color="auto" w:fill="auto"/>
            <w:noWrap/>
            <w:vAlign w:val="bottom"/>
          </w:tcPr>
          <w:p w14:paraId="200C8594" w14:textId="77777777" w:rsidR="004912FA" w:rsidRPr="00F56356" w:rsidRDefault="004912FA" w:rsidP="00F56356">
            <w:pPr>
              <w:spacing w:after="0" w:line="240" w:lineRule="auto"/>
              <w:jc w:val="center"/>
              <w:rPr>
                <w:rFonts w:ascii="Times New Roman" w:eastAsia="Times New Roman" w:hAnsi="Times New Roman" w:cs="Times New Roman"/>
                <w:color w:val="000000"/>
                <w:sz w:val="20"/>
                <w:szCs w:val="20"/>
                <w:lang w:eastAsia="it-IT"/>
              </w:rPr>
            </w:pPr>
          </w:p>
        </w:tc>
      </w:tr>
      <w:tr w:rsidR="00F56356" w:rsidRPr="00F56356" w14:paraId="3DA6F116" w14:textId="77777777" w:rsidTr="00F56356">
        <w:trPr>
          <w:trHeight w:val="390"/>
        </w:trPr>
        <w:tc>
          <w:tcPr>
            <w:tcW w:w="340" w:type="dxa"/>
            <w:tcBorders>
              <w:top w:val="nil"/>
              <w:left w:val="nil"/>
              <w:bottom w:val="nil"/>
              <w:right w:val="nil"/>
            </w:tcBorders>
            <w:shd w:val="clear" w:color="auto" w:fill="auto"/>
            <w:noWrap/>
            <w:vAlign w:val="bottom"/>
            <w:hideMark/>
          </w:tcPr>
          <w:p w14:paraId="21DD76B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55"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1397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D1E8BD7" w14:textId="77777777" w:rsidTr="00F56356">
        <w:trPr>
          <w:trHeight w:val="445"/>
        </w:trPr>
        <w:tc>
          <w:tcPr>
            <w:tcW w:w="340" w:type="dxa"/>
            <w:tcBorders>
              <w:top w:val="nil"/>
              <w:left w:val="nil"/>
              <w:bottom w:val="nil"/>
              <w:right w:val="nil"/>
            </w:tcBorders>
            <w:shd w:val="clear" w:color="auto" w:fill="auto"/>
            <w:noWrap/>
            <w:vAlign w:val="center"/>
            <w:hideMark/>
          </w:tcPr>
          <w:p w14:paraId="487BA4D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A6EDF3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1A76DD9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32 - Servizi istituzionali e generali delle amministrazioni pubbliche</w:t>
            </w:r>
          </w:p>
        </w:tc>
      </w:tr>
      <w:tr w:rsidR="00F56356" w:rsidRPr="00F56356" w14:paraId="2B552321" w14:textId="77777777" w:rsidTr="00F56356">
        <w:trPr>
          <w:trHeight w:val="706"/>
        </w:trPr>
        <w:tc>
          <w:tcPr>
            <w:tcW w:w="340" w:type="dxa"/>
            <w:tcBorders>
              <w:top w:val="nil"/>
              <w:left w:val="nil"/>
              <w:bottom w:val="nil"/>
              <w:right w:val="nil"/>
            </w:tcBorders>
            <w:shd w:val="clear" w:color="auto" w:fill="auto"/>
            <w:noWrap/>
            <w:vAlign w:val="center"/>
            <w:hideMark/>
          </w:tcPr>
          <w:p w14:paraId="77E7AF9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E4810B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7DB5323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F56356" w:rsidRPr="00F56356" w14:paraId="1BB9A7DD" w14:textId="77777777" w:rsidTr="00F56356">
        <w:trPr>
          <w:trHeight w:val="404"/>
        </w:trPr>
        <w:tc>
          <w:tcPr>
            <w:tcW w:w="340" w:type="dxa"/>
            <w:tcBorders>
              <w:top w:val="nil"/>
              <w:left w:val="nil"/>
              <w:bottom w:val="nil"/>
              <w:right w:val="nil"/>
            </w:tcBorders>
            <w:shd w:val="clear" w:color="auto" w:fill="auto"/>
            <w:noWrap/>
            <w:vAlign w:val="center"/>
            <w:hideMark/>
          </w:tcPr>
          <w:p w14:paraId="7C31823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25DD1B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15" w:type="dxa"/>
            <w:gridSpan w:val="10"/>
            <w:tcBorders>
              <w:top w:val="single" w:sz="4" w:space="0" w:color="auto"/>
              <w:left w:val="nil"/>
              <w:bottom w:val="single" w:sz="4" w:space="0" w:color="auto"/>
              <w:right w:val="single" w:sz="4" w:space="0" w:color="000000"/>
            </w:tcBorders>
            <w:shd w:val="clear" w:color="auto" w:fill="auto"/>
            <w:noWrap/>
            <w:vAlign w:val="center"/>
            <w:hideMark/>
          </w:tcPr>
          <w:p w14:paraId="34437A5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6 - Funzione pubblica </w:t>
            </w:r>
          </w:p>
        </w:tc>
      </w:tr>
      <w:tr w:rsidR="00F56356" w:rsidRPr="00F56356" w14:paraId="67AE7339" w14:textId="77777777" w:rsidTr="00F56356">
        <w:trPr>
          <w:trHeight w:val="707"/>
        </w:trPr>
        <w:tc>
          <w:tcPr>
            <w:tcW w:w="340" w:type="dxa"/>
            <w:tcBorders>
              <w:top w:val="nil"/>
              <w:left w:val="nil"/>
              <w:bottom w:val="nil"/>
              <w:right w:val="nil"/>
            </w:tcBorders>
            <w:shd w:val="clear" w:color="auto" w:fill="auto"/>
            <w:noWrap/>
            <w:vAlign w:val="center"/>
            <w:hideMark/>
          </w:tcPr>
          <w:p w14:paraId="3C69829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6C44C6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23B4BC7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Favorire la formazione digitale, ecologica e amministrativa dei dipendenti della pubblica amministrazione </w:t>
            </w:r>
          </w:p>
        </w:tc>
      </w:tr>
      <w:tr w:rsidR="00F56356" w:rsidRPr="00F56356" w14:paraId="575E4667" w14:textId="77777777" w:rsidTr="00F56356">
        <w:trPr>
          <w:trHeight w:val="1185"/>
        </w:trPr>
        <w:tc>
          <w:tcPr>
            <w:tcW w:w="340" w:type="dxa"/>
            <w:tcBorders>
              <w:top w:val="nil"/>
              <w:left w:val="nil"/>
              <w:bottom w:val="nil"/>
              <w:right w:val="nil"/>
            </w:tcBorders>
            <w:shd w:val="clear" w:color="auto" w:fill="auto"/>
            <w:noWrap/>
            <w:vAlign w:val="center"/>
            <w:hideMark/>
          </w:tcPr>
          <w:p w14:paraId="2A873DA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1560C3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7D20335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Rafforzamento delle competenze e sviluppo del capitale umano delle pubbliche amministrazioni, funzionale anche all'attuazione del Piano nazionale di ripresa e resilienza (PNRR) attraverso l'attivazione di progetti da parte di amministrazioni pubbliche, università e/o altri soggetti erogatori di formazione  </w:t>
            </w:r>
          </w:p>
        </w:tc>
      </w:tr>
      <w:tr w:rsidR="00F56356" w:rsidRPr="00F56356" w14:paraId="3AE10BB0" w14:textId="77777777" w:rsidTr="00F56356">
        <w:trPr>
          <w:trHeight w:val="255"/>
        </w:trPr>
        <w:tc>
          <w:tcPr>
            <w:tcW w:w="340" w:type="dxa"/>
            <w:tcBorders>
              <w:top w:val="nil"/>
              <w:left w:val="nil"/>
              <w:bottom w:val="nil"/>
              <w:right w:val="nil"/>
            </w:tcBorders>
            <w:shd w:val="clear" w:color="auto" w:fill="auto"/>
            <w:noWrap/>
            <w:vAlign w:val="center"/>
            <w:hideMark/>
          </w:tcPr>
          <w:p w14:paraId="56BFC77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65314B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0C4E821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9717B36" w14:textId="77777777" w:rsidTr="00F56356">
        <w:trPr>
          <w:trHeight w:val="255"/>
        </w:trPr>
        <w:tc>
          <w:tcPr>
            <w:tcW w:w="340" w:type="dxa"/>
            <w:tcBorders>
              <w:top w:val="nil"/>
              <w:left w:val="nil"/>
              <w:bottom w:val="nil"/>
              <w:right w:val="nil"/>
            </w:tcBorders>
            <w:shd w:val="clear" w:color="auto" w:fill="auto"/>
            <w:noWrap/>
            <w:vAlign w:val="center"/>
            <w:hideMark/>
          </w:tcPr>
          <w:p w14:paraId="668A314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E9188E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103DAF0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37D4474" w14:textId="77777777" w:rsidTr="00F56356">
        <w:trPr>
          <w:trHeight w:val="330"/>
        </w:trPr>
        <w:tc>
          <w:tcPr>
            <w:tcW w:w="340" w:type="dxa"/>
            <w:tcBorders>
              <w:top w:val="nil"/>
              <w:left w:val="nil"/>
              <w:bottom w:val="nil"/>
              <w:right w:val="nil"/>
            </w:tcBorders>
            <w:shd w:val="clear" w:color="auto" w:fill="auto"/>
            <w:noWrap/>
            <w:vAlign w:val="bottom"/>
            <w:hideMark/>
          </w:tcPr>
          <w:p w14:paraId="0190994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5486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CBC343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395</w:t>
            </w:r>
          </w:p>
        </w:tc>
        <w:tc>
          <w:tcPr>
            <w:tcW w:w="241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B2CBDE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E7ED9F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07A5798" w14:textId="77777777" w:rsidTr="00F56356">
        <w:trPr>
          <w:trHeight w:val="1035"/>
        </w:trPr>
        <w:tc>
          <w:tcPr>
            <w:tcW w:w="340" w:type="dxa"/>
            <w:tcBorders>
              <w:top w:val="nil"/>
              <w:left w:val="nil"/>
              <w:bottom w:val="nil"/>
              <w:right w:val="nil"/>
            </w:tcBorders>
            <w:shd w:val="clear" w:color="auto" w:fill="auto"/>
            <w:noWrap/>
            <w:vAlign w:val="bottom"/>
            <w:hideMark/>
          </w:tcPr>
          <w:p w14:paraId="37B800E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907E4A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EDAC33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980D15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75" w:type="dxa"/>
            <w:gridSpan w:val="2"/>
            <w:tcBorders>
              <w:top w:val="nil"/>
              <w:left w:val="nil"/>
              <w:bottom w:val="single" w:sz="4" w:space="0" w:color="auto"/>
              <w:right w:val="single" w:sz="4" w:space="0" w:color="auto"/>
            </w:tcBorders>
            <w:shd w:val="clear" w:color="auto" w:fill="auto"/>
            <w:vAlign w:val="center"/>
            <w:hideMark/>
          </w:tcPr>
          <w:p w14:paraId="7DEB590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gridSpan w:val="2"/>
            <w:tcBorders>
              <w:top w:val="nil"/>
              <w:left w:val="nil"/>
              <w:bottom w:val="single" w:sz="4" w:space="0" w:color="auto"/>
              <w:right w:val="single" w:sz="4" w:space="0" w:color="auto"/>
            </w:tcBorders>
            <w:shd w:val="clear" w:color="auto" w:fill="auto"/>
            <w:vAlign w:val="center"/>
            <w:hideMark/>
          </w:tcPr>
          <w:p w14:paraId="48C2853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gridSpan w:val="2"/>
            <w:tcBorders>
              <w:top w:val="nil"/>
              <w:left w:val="nil"/>
              <w:bottom w:val="single" w:sz="4" w:space="0" w:color="auto"/>
              <w:right w:val="single" w:sz="4" w:space="0" w:color="auto"/>
            </w:tcBorders>
            <w:shd w:val="clear" w:color="auto" w:fill="auto"/>
            <w:vAlign w:val="center"/>
            <w:hideMark/>
          </w:tcPr>
          <w:p w14:paraId="697E0AA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gridSpan w:val="2"/>
            <w:tcBorders>
              <w:top w:val="nil"/>
              <w:left w:val="nil"/>
              <w:bottom w:val="single" w:sz="4" w:space="0" w:color="auto"/>
              <w:right w:val="single" w:sz="4" w:space="0" w:color="auto"/>
            </w:tcBorders>
            <w:shd w:val="clear" w:color="auto" w:fill="auto"/>
            <w:vAlign w:val="center"/>
            <w:hideMark/>
          </w:tcPr>
          <w:p w14:paraId="236BFA9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7E3E4F1" w14:textId="77777777" w:rsidTr="00F56356">
        <w:trPr>
          <w:trHeight w:val="405"/>
        </w:trPr>
        <w:tc>
          <w:tcPr>
            <w:tcW w:w="340" w:type="dxa"/>
            <w:tcBorders>
              <w:top w:val="nil"/>
              <w:left w:val="nil"/>
              <w:bottom w:val="nil"/>
              <w:right w:val="nil"/>
            </w:tcBorders>
            <w:shd w:val="clear" w:color="auto" w:fill="auto"/>
            <w:noWrap/>
            <w:vAlign w:val="bottom"/>
            <w:hideMark/>
          </w:tcPr>
          <w:p w14:paraId="707F0DA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53C8D2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F00C8F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C29BE5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50.000.000,00</w:t>
            </w:r>
          </w:p>
        </w:tc>
        <w:tc>
          <w:tcPr>
            <w:tcW w:w="1175" w:type="dxa"/>
            <w:gridSpan w:val="2"/>
            <w:tcBorders>
              <w:top w:val="nil"/>
              <w:left w:val="nil"/>
              <w:bottom w:val="single" w:sz="4" w:space="0" w:color="auto"/>
              <w:right w:val="single" w:sz="4" w:space="0" w:color="auto"/>
            </w:tcBorders>
            <w:shd w:val="clear" w:color="auto" w:fill="auto"/>
            <w:noWrap/>
            <w:vAlign w:val="center"/>
            <w:hideMark/>
          </w:tcPr>
          <w:p w14:paraId="5877BB9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48.144.898,00</w:t>
            </w:r>
          </w:p>
        </w:tc>
        <w:tc>
          <w:tcPr>
            <w:tcW w:w="1180" w:type="dxa"/>
            <w:gridSpan w:val="2"/>
            <w:tcBorders>
              <w:top w:val="nil"/>
              <w:left w:val="nil"/>
              <w:bottom w:val="single" w:sz="4" w:space="0" w:color="auto"/>
              <w:right w:val="single" w:sz="4" w:space="0" w:color="auto"/>
            </w:tcBorders>
            <w:shd w:val="clear" w:color="auto" w:fill="auto"/>
            <w:noWrap/>
            <w:vAlign w:val="center"/>
            <w:hideMark/>
          </w:tcPr>
          <w:p w14:paraId="04645B3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gridSpan w:val="2"/>
            <w:tcBorders>
              <w:top w:val="nil"/>
              <w:left w:val="nil"/>
              <w:bottom w:val="single" w:sz="4" w:space="0" w:color="auto"/>
              <w:right w:val="single" w:sz="4" w:space="0" w:color="auto"/>
            </w:tcBorders>
            <w:shd w:val="clear" w:color="auto" w:fill="auto"/>
            <w:noWrap/>
            <w:vAlign w:val="center"/>
            <w:hideMark/>
          </w:tcPr>
          <w:p w14:paraId="190CDC4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gridSpan w:val="2"/>
            <w:tcBorders>
              <w:top w:val="nil"/>
              <w:left w:val="nil"/>
              <w:bottom w:val="single" w:sz="4" w:space="0" w:color="auto"/>
              <w:right w:val="single" w:sz="4" w:space="0" w:color="auto"/>
            </w:tcBorders>
            <w:shd w:val="clear" w:color="auto" w:fill="auto"/>
            <w:noWrap/>
            <w:vAlign w:val="center"/>
            <w:hideMark/>
          </w:tcPr>
          <w:p w14:paraId="1D6C1EB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0B8A5C9C" w14:textId="77777777" w:rsidTr="00F56356">
        <w:trPr>
          <w:trHeight w:val="315"/>
        </w:trPr>
        <w:tc>
          <w:tcPr>
            <w:tcW w:w="340" w:type="dxa"/>
            <w:tcBorders>
              <w:top w:val="nil"/>
              <w:left w:val="nil"/>
              <w:bottom w:val="nil"/>
              <w:right w:val="nil"/>
            </w:tcBorders>
            <w:shd w:val="clear" w:color="auto" w:fill="auto"/>
            <w:noWrap/>
            <w:vAlign w:val="bottom"/>
            <w:hideMark/>
          </w:tcPr>
          <w:p w14:paraId="5CD2D8C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1FD415D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6571CD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6F968D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5" w:type="dxa"/>
            <w:gridSpan w:val="2"/>
            <w:tcBorders>
              <w:top w:val="nil"/>
              <w:left w:val="nil"/>
              <w:bottom w:val="nil"/>
              <w:right w:val="nil"/>
            </w:tcBorders>
            <w:shd w:val="clear" w:color="auto" w:fill="auto"/>
            <w:noWrap/>
            <w:vAlign w:val="bottom"/>
            <w:hideMark/>
          </w:tcPr>
          <w:p w14:paraId="59382E6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gridSpan w:val="2"/>
            <w:tcBorders>
              <w:top w:val="nil"/>
              <w:left w:val="nil"/>
              <w:bottom w:val="nil"/>
              <w:right w:val="nil"/>
            </w:tcBorders>
            <w:shd w:val="clear" w:color="auto" w:fill="auto"/>
            <w:noWrap/>
            <w:vAlign w:val="bottom"/>
            <w:hideMark/>
          </w:tcPr>
          <w:p w14:paraId="5B5878F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gridSpan w:val="2"/>
            <w:tcBorders>
              <w:top w:val="nil"/>
              <w:left w:val="nil"/>
              <w:bottom w:val="nil"/>
              <w:right w:val="nil"/>
            </w:tcBorders>
            <w:shd w:val="clear" w:color="auto" w:fill="auto"/>
            <w:noWrap/>
            <w:vAlign w:val="bottom"/>
            <w:hideMark/>
          </w:tcPr>
          <w:p w14:paraId="6C26406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gridSpan w:val="2"/>
            <w:tcBorders>
              <w:top w:val="nil"/>
              <w:left w:val="nil"/>
              <w:bottom w:val="nil"/>
              <w:right w:val="single" w:sz="4" w:space="0" w:color="auto"/>
            </w:tcBorders>
            <w:shd w:val="clear" w:color="auto" w:fill="auto"/>
            <w:noWrap/>
            <w:vAlign w:val="bottom"/>
            <w:hideMark/>
          </w:tcPr>
          <w:p w14:paraId="128175A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E3ED11C" w14:textId="77777777" w:rsidTr="00F56356">
        <w:trPr>
          <w:trHeight w:val="450"/>
        </w:trPr>
        <w:tc>
          <w:tcPr>
            <w:tcW w:w="340" w:type="dxa"/>
            <w:tcBorders>
              <w:top w:val="nil"/>
              <w:left w:val="nil"/>
              <w:bottom w:val="nil"/>
              <w:right w:val="nil"/>
            </w:tcBorders>
            <w:shd w:val="clear" w:color="auto" w:fill="auto"/>
            <w:noWrap/>
            <w:vAlign w:val="bottom"/>
            <w:hideMark/>
          </w:tcPr>
          <w:p w14:paraId="560F8C3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55" w:type="dxa"/>
            <w:gridSpan w:val="11"/>
            <w:tcBorders>
              <w:top w:val="nil"/>
              <w:left w:val="single" w:sz="4" w:space="0" w:color="auto"/>
              <w:bottom w:val="nil"/>
              <w:right w:val="single" w:sz="4" w:space="0" w:color="000000"/>
            </w:tcBorders>
            <w:shd w:val="clear" w:color="auto" w:fill="auto"/>
            <w:vAlign w:val="center"/>
            <w:hideMark/>
          </w:tcPr>
          <w:p w14:paraId="2D82CEA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33F5941F" w14:textId="77777777" w:rsidTr="00F56356">
        <w:trPr>
          <w:trHeight w:val="315"/>
        </w:trPr>
        <w:tc>
          <w:tcPr>
            <w:tcW w:w="340" w:type="dxa"/>
            <w:tcBorders>
              <w:top w:val="nil"/>
              <w:left w:val="nil"/>
              <w:bottom w:val="nil"/>
              <w:right w:val="nil"/>
            </w:tcBorders>
            <w:shd w:val="clear" w:color="auto" w:fill="auto"/>
            <w:noWrap/>
            <w:vAlign w:val="bottom"/>
            <w:hideMark/>
          </w:tcPr>
          <w:p w14:paraId="1AE8DCF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55" w:type="dxa"/>
            <w:gridSpan w:val="11"/>
            <w:tcBorders>
              <w:top w:val="nil"/>
              <w:left w:val="single" w:sz="4" w:space="0" w:color="auto"/>
              <w:bottom w:val="nil"/>
              <w:right w:val="single" w:sz="4" w:space="0" w:color="000000"/>
            </w:tcBorders>
            <w:shd w:val="clear" w:color="auto" w:fill="auto"/>
            <w:vAlign w:val="center"/>
            <w:hideMark/>
          </w:tcPr>
          <w:p w14:paraId="7272AA2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09D35BD1" w14:textId="77777777" w:rsidTr="00F56356">
        <w:trPr>
          <w:trHeight w:val="315"/>
        </w:trPr>
        <w:tc>
          <w:tcPr>
            <w:tcW w:w="340" w:type="dxa"/>
            <w:tcBorders>
              <w:top w:val="nil"/>
              <w:left w:val="nil"/>
              <w:bottom w:val="nil"/>
              <w:right w:val="nil"/>
            </w:tcBorders>
            <w:shd w:val="clear" w:color="auto" w:fill="auto"/>
            <w:noWrap/>
            <w:vAlign w:val="bottom"/>
            <w:hideMark/>
          </w:tcPr>
          <w:p w14:paraId="6F4044E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55" w:type="dxa"/>
            <w:gridSpan w:val="11"/>
            <w:tcBorders>
              <w:top w:val="nil"/>
              <w:left w:val="single" w:sz="4" w:space="0" w:color="auto"/>
              <w:bottom w:val="single" w:sz="4" w:space="0" w:color="auto"/>
              <w:right w:val="single" w:sz="4" w:space="0" w:color="000000"/>
            </w:tcBorders>
            <w:shd w:val="clear" w:color="auto" w:fill="auto"/>
            <w:vAlign w:val="center"/>
            <w:hideMark/>
          </w:tcPr>
          <w:p w14:paraId="0FA00B04"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12FC123D" w14:textId="77777777" w:rsidTr="00F56356">
        <w:trPr>
          <w:trHeight w:val="300"/>
        </w:trPr>
        <w:tc>
          <w:tcPr>
            <w:tcW w:w="340" w:type="dxa"/>
            <w:tcBorders>
              <w:top w:val="nil"/>
              <w:left w:val="nil"/>
              <w:bottom w:val="nil"/>
              <w:right w:val="nil"/>
            </w:tcBorders>
            <w:shd w:val="clear" w:color="auto" w:fill="auto"/>
            <w:noWrap/>
            <w:vAlign w:val="bottom"/>
            <w:hideMark/>
          </w:tcPr>
          <w:p w14:paraId="0C761FB8"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55"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B919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AB4CD5F" w14:textId="77777777" w:rsidTr="00F56356">
        <w:trPr>
          <w:trHeight w:val="975"/>
        </w:trPr>
        <w:tc>
          <w:tcPr>
            <w:tcW w:w="340" w:type="dxa"/>
            <w:tcBorders>
              <w:top w:val="nil"/>
              <w:left w:val="nil"/>
              <w:bottom w:val="nil"/>
              <w:right w:val="nil"/>
            </w:tcBorders>
            <w:shd w:val="clear" w:color="auto" w:fill="auto"/>
            <w:noWrap/>
            <w:vAlign w:val="center"/>
            <w:hideMark/>
          </w:tcPr>
          <w:p w14:paraId="6B54683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02F708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56FBF36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a) capacità di coinvolgimento di amministrazioni, università e altri soggetti che erogano formazione; b) capacità di erogazione delle risorse a seguito dell'approvazione di accordi con amministrazioni, università e altri soggetti di formazione </w:t>
            </w:r>
          </w:p>
        </w:tc>
      </w:tr>
      <w:tr w:rsidR="00F56356" w:rsidRPr="00F56356" w14:paraId="7CAD73D2" w14:textId="77777777" w:rsidTr="00F56356">
        <w:trPr>
          <w:trHeight w:val="510"/>
        </w:trPr>
        <w:tc>
          <w:tcPr>
            <w:tcW w:w="340" w:type="dxa"/>
            <w:tcBorders>
              <w:top w:val="nil"/>
              <w:left w:val="nil"/>
              <w:bottom w:val="nil"/>
              <w:right w:val="nil"/>
            </w:tcBorders>
            <w:shd w:val="clear" w:color="auto" w:fill="auto"/>
            <w:noWrap/>
            <w:vAlign w:val="center"/>
            <w:hideMark/>
          </w:tcPr>
          <w:p w14:paraId="2537760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B7AD1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15" w:type="dxa"/>
            <w:gridSpan w:val="10"/>
            <w:tcBorders>
              <w:top w:val="single" w:sz="4" w:space="0" w:color="auto"/>
              <w:left w:val="nil"/>
              <w:bottom w:val="single" w:sz="4" w:space="0" w:color="auto"/>
              <w:right w:val="single" w:sz="4" w:space="0" w:color="000000"/>
            </w:tcBorders>
            <w:shd w:val="clear" w:color="auto" w:fill="auto"/>
            <w:vAlign w:val="center"/>
            <w:hideMark/>
          </w:tcPr>
          <w:p w14:paraId="3077BD7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Relazione al Capo del Dipartimento, sistema di contabilità, protocollo informatico, posta elettronica</w:t>
            </w:r>
          </w:p>
        </w:tc>
      </w:tr>
      <w:tr w:rsidR="00F56356" w:rsidRPr="00F56356" w14:paraId="57900352" w14:textId="77777777" w:rsidTr="00F56356">
        <w:trPr>
          <w:trHeight w:val="2355"/>
        </w:trPr>
        <w:tc>
          <w:tcPr>
            <w:tcW w:w="340" w:type="dxa"/>
            <w:tcBorders>
              <w:top w:val="nil"/>
              <w:left w:val="nil"/>
              <w:bottom w:val="nil"/>
              <w:right w:val="nil"/>
            </w:tcBorders>
            <w:shd w:val="clear" w:color="auto" w:fill="auto"/>
            <w:noWrap/>
            <w:vAlign w:val="center"/>
            <w:hideMark/>
          </w:tcPr>
          <w:p w14:paraId="2541327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1396D0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55" w:type="dxa"/>
            <w:gridSpan w:val="4"/>
            <w:tcBorders>
              <w:top w:val="single" w:sz="4" w:space="0" w:color="auto"/>
              <w:left w:val="nil"/>
              <w:bottom w:val="single" w:sz="4" w:space="0" w:color="auto"/>
              <w:right w:val="single" w:sz="4" w:space="0" w:color="000000"/>
            </w:tcBorders>
            <w:shd w:val="clear" w:color="auto" w:fill="auto"/>
            <w:vAlign w:val="center"/>
            <w:hideMark/>
          </w:tcPr>
          <w:p w14:paraId="231853B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 numero di accordi stipulati con amministrazioni/università/altri soggetti che erogano formazione per la realizzazione di progetti </w:t>
            </w:r>
            <w:proofErr w:type="gramStart"/>
            <w:r w:rsidRPr="00F56356">
              <w:rPr>
                <w:rFonts w:ascii="Times New Roman" w:eastAsia="Times New Roman" w:hAnsi="Times New Roman" w:cs="Times New Roman"/>
                <w:color w:val="000000"/>
                <w:sz w:val="20"/>
                <w:szCs w:val="20"/>
                <w:lang w:eastAsia="it-IT"/>
              </w:rPr>
              <w:t xml:space="preserve">formativi;   </w:t>
            </w:r>
            <w:proofErr w:type="gramEnd"/>
            <w:r w:rsidRPr="00F56356">
              <w:rPr>
                <w:rFonts w:ascii="Times New Roman" w:eastAsia="Times New Roman" w:hAnsi="Times New Roman" w:cs="Times New Roman"/>
                <w:color w:val="000000"/>
                <w:sz w:val="20"/>
                <w:szCs w:val="20"/>
                <w:lang w:eastAsia="it-IT"/>
              </w:rPr>
              <w:t xml:space="preserve">                                                b) risorse erogate/risorse da erogare ai soggetti beneficiari che avranno rendicontato i progetti ammessi a finanziamento</w:t>
            </w:r>
          </w:p>
        </w:tc>
        <w:tc>
          <w:tcPr>
            <w:tcW w:w="1180" w:type="dxa"/>
            <w:gridSpan w:val="2"/>
            <w:tcBorders>
              <w:top w:val="nil"/>
              <w:left w:val="nil"/>
              <w:bottom w:val="single" w:sz="4" w:space="0" w:color="auto"/>
              <w:right w:val="nil"/>
            </w:tcBorders>
            <w:shd w:val="clear" w:color="auto" w:fill="auto"/>
            <w:vAlign w:val="center"/>
            <w:hideMark/>
          </w:tcPr>
          <w:p w14:paraId="774FCFA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gridSpan w:val="2"/>
            <w:tcBorders>
              <w:top w:val="nil"/>
              <w:left w:val="single" w:sz="4" w:space="0" w:color="auto"/>
              <w:bottom w:val="single" w:sz="4" w:space="0" w:color="auto"/>
              <w:right w:val="nil"/>
            </w:tcBorders>
            <w:shd w:val="clear" w:color="auto" w:fill="auto"/>
            <w:vAlign w:val="center"/>
            <w:hideMark/>
          </w:tcPr>
          <w:p w14:paraId="4BDEC49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gridSpan w:val="2"/>
            <w:tcBorders>
              <w:top w:val="nil"/>
              <w:left w:val="single" w:sz="4" w:space="0" w:color="auto"/>
              <w:bottom w:val="single" w:sz="4" w:space="0" w:color="auto"/>
              <w:right w:val="single" w:sz="4" w:space="0" w:color="auto"/>
            </w:tcBorders>
            <w:shd w:val="clear" w:color="auto" w:fill="auto"/>
            <w:vAlign w:val="center"/>
            <w:hideMark/>
          </w:tcPr>
          <w:p w14:paraId="3C27A27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bl>
    <w:p w14:paraId="4ADC500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p w14:paraId="00F81F2D"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9D0BF03"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18"/>
          <w:szCs w:val="18"/>
          <w:lang w:eastAsia="it-IT"/>
        </w:rPr>
      </w:pPr>
    </w:p>
    <w:p w14:paraId="683CC2BC"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E079A22"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04B10384"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229"/>
        <w:gridCol w:w="2920"/>
        <w:gridCol w:w="1284"/>
        <w:gridCol w:w="1269"/>
        <w:gridCol w:w="1618"/>
      </w:tblGrid>
      <w:tr w:rsidR="00F56356" w:rsidRPr="00F56356" w14:paraId="4F0B1E70" w14:textId="77777777" w:rsidTr="00F56356">
        <w:trPr>
          <w:trHeight w:val="3543"/>
        </w:trPr>
        <w:tc>
          <w:tcPr>
            <w:tcW w:w="340" w:type="dxa"/>
            <w:tcBorders>
              <w:top w:val="nil"/>
              <w:left w:val="nil"/>
              <w:bottom w:val="nil"/>
              <w:right w:val="nil"/>
            </w:tcBorders>
            <w:shd w:val="clear" w:color="auto" w:fill="auto"/>
            <w:noWrap/>
            <w:vAlign w:val="bottom"/>
            <w:hideMark/>
          </w:tcPr>
          <w:p w14:paraId="15E0877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AAA8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tcBorders>
              <w:top w:val="single" w:sz="4" w:space="0" w:color="auto"/>
              <w:left w:val="nil"/>
              <w:bottom w:val="single" w:sz="4" w:space="0" w:color="auto"/>
              <w:right w:val="single" w:sz="4" w:space="0" w:color="000000"/>
            </w:tcBorders>
            <w:shd w:val="clear" w:color="auto" w:fill="auto"/>
            <w:noWrap/>
            <w:vAlign w:val="center"/>
            <w:hideMark/>
          </w:tcPr>
          <w:p w14:paraId="512C573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numero e percentuale </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2D1A4A2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per indicatore a) almeno n. 25 </w:t>
            </w:r>
            <w:proofErr w:type="gramStart"/>
            <w:r w:rsidRPr="00F56356">
              <w:rPr>
                <w:rFonts w:ascii="Times New Roman" w:eastAsia="Times New Roman" w:hAnsi="Times New Roman" w:cs="Times New Roman"/>
                <w:color w:val="000000"/>
                <w:sz w:val="20"/>
                <w:szCs w:val="20"/>
                <w:lang w:eastAsia="it-IT"/>
              </w:rPr>
              <w:t xml:space="preserve">accordi;   </w:t>
            </w:r>
            <w:proofErr w:type="gramEnd"/>
            <w:r w:rsidRPr="00F56356">
              <w:rPr>
                <w:rFonts w:ascii="Times New Roman" w:eastAsia="Times New Roman" w:hAnsi="Times New Roman" w:cs="Times New Roman"/>
                <w:color w:val="000000"/>
                <w:sz w:val="20"/>
                <w:szCs w:val="20"/>
                <w:lang w:eastAsia="it-IT"/>
              </w:rPr>
              <w:t xml:space="preserve">                                                             per indicatore b) erogazione del 90% delle risorse ammesse a finanziamento rendicontate dai soggetti beneficiari</w:t>
            </w:r>
          </w:p>
        </w:tc>
        <w:tc>
          <w:tcPr>
            <w:tcW w:w="1289" w:type="dxa"/>
            <w:tcBorders>
              <w:top w:val="single" w:sz="4" w:space="0" w:color="auto"/>
              <w:left w:val="nil"/>
              <w:bottom w:val="single" w:sz="4" w:space="0" w:color="auto"/>
              <w:right w:val="nil"/>
            </w:tcBorders>
            <w:shd w:val="clear" w:color="auto" w:fill="auto"/>
            <w:vAlign w:val="center"/>
            <w:hideMark/>
          </w:tcPr>
          <w:p w14:paraId="649B48A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per indicatore a) sottoscritti n. 70 accordi (di cui n. 64 Protocolli e n. 6 Accordi attuativi) con le università; per indicatore b) non sono state rendicontate le risorse</w:t>
            </w:r>
          </w:p>
        </w:tc>
        <w:tc>
          <w:tcPr>
            <w:tcW w:w="1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3E248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Per indicatore a): sono stati sottoscritti più accordi rispetto al target di previsione. Per indicatore b): </w:t>
            </w:r>
            <w:r w:rsidRPr="00F56356">
              <w:rPr>
                <w:rFonts w:ascii="Times New Roman" w:eastAsia="Times New Roman" w:hAnsi="Times New Roman" w:cs="Times New Roman"/>
                <w:color w:val="FFFFFF" w:themeColor="background1"/>
                <w:sz w:val="20"/>
                <w:szCs w:val="20"/>
                <w:lang w:eastAsia="it-IT"/>
              </w:rPr>
              <w:t>-----</w:t>
            </w:r>
            <w:r w:rsidRPr="00F56356">
              <w:rPr>
                <w:rFonts w:ascii="Times New Roman" w:eastAsia="Times New Roman" w:hAnsi="Times New Roman" w:cs="Times New Roman"/>
                <w:color w:val="000000"/>
                <w:sz w:val="20"/>
                <w:szCs w:val="20"/>
                <w:lang w:eastAsia="it-IT"/>
              </w:rPr>
              <w:t>-90% infatti, non sono state rendicontate le risorse e conseguentemente le medesime non sono state erogate</w:t>
            </w:r>
          </w:p>
        </w:tc>
      </w:tr>
      <w:tr w:rsidR="00F56356" w:rsidRPr="00F56356" w14:paraId="670CDC48" w14:textId="77777777" w:rsidTr="00F56356">
        <w:trPr>
          <w:trHeight w:val="3394"/>
        </w:trPr>
        <w:tc>
          <w:tcPr>
            <w:tcW w:w="340" w:type="dxa"/>
            <w:tcBorders>
              <w:top w:val="nil"/>
              <w:left w:val="nil"/>
              <w:bottom w:val="nil"/>
              <w:right w:val="nil"/>
            </w:tcBorders>
            <w:shd w:val="clear" w:color="auto" w:fill="auto"/>
            <w:noWrap/>
            <w:vAlign w:val="bottom"/>
            <w:hideMark/>
          </w:tcPr>
          <w:p w14:paraId="789B83A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5"/>
            <w:tcBorders>
              <w:top w:val="single" w:sz="4" w:space="0" w:color="auto"/>
              <w:left w:val="single" w:sz="4" w:space="0" w:color="auto"/>
              <w:bottom w:val="single" w:sz="4" w:space="0" w:color="auto"/>
              <w:right w:val="single" w:sz="4" w:space="0" w:color="000000"/>
            </w:tcBorders>
            <w:shd w:val="clear" w:color="000000" w:fill="FFFFFF"/>
            <w:hideMark/>
          </w:tcPr>
          <w:p w14:paraId="01169D20"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Motivazioni degli eventuali scostamenti tra valori target a preventivo e valori target a consuntivo. </w:t>
            </w:r>
            <w:r w:rsidRPr="00F56356">
              <w:rPr>
                <w:rFonts w:ascii="Times New Roman" w:eastAsia="Times New Roman" w:hAnsi="Times New Roman" w:cs="Times New Roman"/>
                <w:color w:val="000000"/>
                <w:sz w:val="18"/>
                <w:szCs w:val="18"/>
                <w:lang w:eastAsia="it-IT"/>
              </w:rPr>
              <w:br/>
              <w:t xml:space="preserve">Complessità dei profili gestionali dell'intervento e segnatamente di quelli relativi alla rendicontazione da parte dei soggetti beneficiari. In particolare, le risorse finanziarie non sono state assegnate ai soggetti beneficiari per le seguenti motivazioni: </w:t>
            </w:r>
            <w:r w:rsidRPr="00F56356">
              <w:rPr>
                <w:rFonts w:ascii="Times New Roman" w:eastAsia="Times New Roman" w:hAnsi="Times New Roman" w:cs="Times New Roman"/>
                <w:color w:val="000000"/>
                <w:sz w:val="18"/>
                <w:szCs w:val="18"/>
                <w:lang w:eastAsia="it-IT"/>
              </w:rPr>
              <w:br/>
              <w:t>a) Necessità di affinare, anche per il mutato indirizzo politico, le scelte strategiche alla base dei criteri di ripartizione dei finanziamenti agli Atenei – sulla base del numero degli iscritti ai corsi formativi “PA 110 e lode” e di altri criteri di premialità – da condividere con Ministero dell’università e della ricerca (MUR);</w:t>
            </w:r>
          </w:p>
          <w:p w14:paraId="5B96870D"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b) Necessità di approfondire i requisiti tecnici del sistema informativo per la certificazione dei risultati relativi all’avanzamento degli studi da parte degli studenti-dipendenti delle amministrazioni pubbliche aderenti a corsi “PA 110 e lode”. A seguito di approfondimenti condotti con il Ministero dell’università e della ricerca, l’originaria idea di sviluppare un sistema informativo “ad hoc” è stata accantonata, considerata la possibilità – indicata dal MUR – di utilizzare l’Anagrafe nazionale degli studenti e dei laureati (ANS); a tal fine, sono stati condotti con il MUR specifici approfondimenti tecnici per definire le esigenze di sviluppo del sistema ANS.</w:t>
            </w:r>
          </w:p>
          <w:p w14:paraId="38C7E0EE"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Per la specificazione dei criteri e degli elementi di cui sopra, il Dipartimento della funzione pubblica ha sottoposto all’Organo di indirizzo politico specifiche proposte di gestione, anche tenuto conto delle risultanze del “report sull’iniziativa PA 110 e lode con indicazioni di eventuali elementi di criticità e profili di miglioramento”, output previsto dalla Direttiva annuale del Ministro per la pubblica amministrazione per l’anno 2022 (obiettivo strategico n. 6).</w:t>
            </w:r>
          </w:p>
        </w:tc>
      </w:tr>
    </w:tbl>
    <w:p w14:paraId="736B9D7B"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0285640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525B538F"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4A167D3"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0F18D017"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5F3ABF1"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30180F20"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2608F88C"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133D5FF"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CA567E2"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08F378B"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152C5CF"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F7B68D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5C720DB8" w14:textId="556F326F" w:rsid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25EEB680" w14:textId="77777777" w:rsidR="004912FA" w:rsidRPr="00F56356" w:rsidRDefault="004912FA"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E85313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6BE2854"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781E096F"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6E0BE55E" w14:textId="77777777" w:rsidTr="00F56356">
        <w:trPr>
          <w:trHeight w:val="510"/>
        </w:trPr>
        <w:tc>
          <w:tcPr>
            <w:tcW w:w="340" w:type="dxa"/>
            <w:tcBorders>
              <w:top w:val="nil"/>
              <w:left w:val="nil"/>
              <w:bottom w:val="nil"/>
              <w:right w:val="nil"/>
            </w:tcBorders>
            <w:shd w:val="clear" w:color="auto" w:fill="auto"/>
            <w:noWrap/>
            <w:vAlign w:val="bottom"/>
            <w:hideMark/>
          </w:tcPr>
          <w:p w14:paraId="335CEF5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5EA5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4041114B" w14:textId="77777777" w:rsidTr="00F56356">
        <w:trPr>
          <w:trHeight w:val="690"/>
        </w:trPr>
        <w:tc>
          <w:tcPr>
            <w:tcW w:w="340" w:type="dxa"/>
            <w:tcBorders>
              <w:top w:val="nil"/>
              <w:left w:val="nil"/>
              <w:bottom w:val="nil"/>
              <w:right w:val="nil"/>
            </w:tcBorders>
            <w:shd w:val="clear" w:color="auto" w:fill="auto"/>
            <w:noWrap/>
            <w:vAlign w:val="center"/>
            <w:hideMark/>
          </w:tcPr>
          <w:p w14:paraId="596B383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158739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956567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1B140A81" w14:textId="77777777" w:rsidTr="00F56356">
        <w:trPr>
          <w:trHeight w:val="690"/>
        </w:trPr>
        <w:tc>
          <w:tcPr>
            <w:tcW w:w="340" w:type="dxa"/>
            <w:tcBorders>
              <w:top w:val="nil"/>
              <w:left w:val="nil"/>
              <w:bottom w:val="nil"/>
              <w:right w:val="nil"/>
            </w:tcBorders>
            <w:shd w:val="clear" w:color="auto" w:fill="auto"/>
            <w:noWrap/>
            <w:vAlign w:val="center"/>
            <w:hideMark/>
          </w:tcPr>
          <w:p w14:paraId="1B41304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E6F3C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D240D0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6328F940" w14:textId="77777777" w:rsidTr="00F56356">
        <w:trPr>
          <w:trHeight w:val="690"/>
        </w:trPr>
        <w:tc>
          <w:tcPr>
            <w:tcW w:w="340" w:type="dxa"/>
            <w:tcBorders>
              <w:top w:val="nil"/>
              <w:left w:val="nil"/>
              <w:bottom w:val="nil"/>
              <w:right w:val="nil"/>
            </w:tcBorders>
            <w:shd w:val="clear" w:color="auto" w:fill="auto"/>
            <w:noWrap/>
            <w:vAlign w:val="center"/>
            <w:hideMark/>
          </w:tcPr>
          <w:p w14:paraId="6AE3A53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47261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68C65C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6 - Funzione pubblica </w:t>
            </w:r>
          </w:p>
        </w:tc>
      </w:tr>
      <w:tr w:rsidR="00F56356" w:rsidRPr="00F56356" w14:paraId="1B509696" w14:textId="77777777" w:rsidTr="00F56356">
        <w:trPr>
          <w:trHeight w:val="960"/>
        </w:trPr>
        <w:tc>
          <w:tcPr>
            <w:tcW w:w="340" w:type="dxa"/>
            <w:tcBorders>
              <w:top w:val="nil"/>
              <w:left w:val="nil"/>
              <w:bottom w:val="nil"/>
              <w:right w:val="nil"/>
            </w:tcBorders>
            <w:shd w:val="clear" w:color="auto" w:fill="auto"/>
            <w:noWrap/>
            <w:vAlign w:val="center"/>
            <w:hideMark/>
          </w:tcPr>
          <w:p w14:paraId="35EEFF6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CC9665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566FEF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Migliorare l’efficienza del processo relativo alla partecipazione alle spese dell’Istituto europeo di amministrazione pubblica di Maastricht (EIPA) e di altri progetti e organismi internazionali.  </w:t>
            </w:r>
          </w:p>
        </w:tc>
      </w:tr>
      <w:tr w:rsidR="00F56356" w:rsidRPr="00F56356" w14:paraId="54BC764D" w14:textId="77777777" w:rsidTr="00F56356">
        <w:trPr>
          <w:trHeight w:val="1185"/>
        </w:trPr>
        <w:tc>
          <w:tcPr>
            <w:tcW w:w="340" w:type="dxa"/>
            <w:tcBorders>
              <w:top w:val="nil"/>
              <w:left w:val="nil"/>
              <w:bottom w:val="nil"/>
              <w:right w:val="nil"/>
            </w:tcBorders>
            <w:shd w:val="clear" w:color="auto" w:fill="auto"/>
            <w:noWrap/>
            <w:vAlign w:val="center"/>
            <w:hideMark/>
          </w:tcPr>
          <w:p w14:paraId="7DADC33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E2632A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A72E4B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Per migliorare l’efficienza del processo relativo alla partecipazione alle spese dell’Istituto europeo di amministrazione pubblica di Maastricht (EIPA), di altri organismi internazionali (OGP) e per il progetto EPSA condotto da EIPA, prevedere un termine massimo per l’adozione del mandato di pagamento </w:t>
            </w:r>
          </w:p>
        </w:tc>
      </w:tr>
      <w:tr w:rsidR="00F56356" w:rsidRPr="00F56356" w14:paraId="5A3C36E9" w14:textId="77777777" w:rsidTr="00F56356">
        <w:trPr>
          <w:trHeight w:val="360"/>
        </w:trPr>
        <w:tc>
          <w:tcPr>
            <w:tcW w:w="340" w:type="dxa"/>
            <w:tcBorders>
              <w:top w:val="nil"/>
              <w:left w:val="nil"/>
              <w:bottom w:val="nil"/>
              <w:right w:val="nil"/>
            </w:tcBorders>
            <w:shd w:val="clear" w:color="auto" w:fill="auto"/>
            <w:noWrap/>
            <w:vAlign w:val="center"/>
            <w:hideMark/>
          </w:tcPr>
          <w:p w14:paraId="5D13488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7D34E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07B035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9568E8D" w14:textId="77777777" w:rsidTr="00F56356">
        <w:trPr>
          <w:trHeight w:val="360"/>
        </w:trPr>
        <w:tc>
          <w:tcPr>
            <w:tcW w:w="340" w:type="dxa"/>
            <w:tcBorders>
              <w:top w:val="nil"/>
              <w:left w:val="nil"/>
              <w:bottom w:val="nil"/>
              <w:right w:val="nil"/>
            </w:tcBorders>
            <w:shd w:val="clear" w:color="auto" w:fill="auto"/>
            <w:noWrap/>
            <w:vAlign w:val="center"/>
            <w:hideMark/>
          </w:tcPr>
          <w:p w14:paraId="531370B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BD8282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E89037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284CDA1" w14:textId="77777777" w:rsidTr="00F56356">
        <w:trPr>
          <w:trHeight w:val="525"/>
        </w:trPr>
        <w:tc>
          <w:tcPr>
            <w:tcW w:w="340" w:type="dxa"/>
            <w:tcBorders>
              <w:top w:val="nil"/>
              <w:left w:val="nil"/>
              <w:bottom w:val="nil"/>
              <w:right w:val="nil"/>
            </w:tcBorders>
            <w:shd w:val="clear" w:color="auto" w:fill="auto"/>
            <w:noWrap/>
            <w:vAlign w:val="bottom"/>
            <w:hideMark/>
          </w:tcPr>
          <w:p w14:paraId="58A7720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ACEDA0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8F03B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404</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8DDCF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62E1F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5393804" w14:textId="77777777" w:rsidTr="00F56356">
        <w:trPr>
          <w:trHeight w:val="1305"/>
        </w:trPr>
        <w:tc>
          <w:tcPr>
            <w:tcW w:w="340" w:type="dxa"/>
            <w:tcBorders>
              <w:top w:val="nil"/>
              <w:left w:val="nil"/>
              <w:bottom w:val="nil"/>
              <w:right w:val="nil"/>
            </w:tcBorders>
            <w:shd w:val="clear" w:color="auto" w:fill="auto"/>
            <w:noWrap/>
            <w:vAlign w:val="bottom"/>
            <w:hideMark/>
          </w:tcPr>
          <w:p w14:paraId="0BD152B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85FC7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D732F6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6EDD43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3CF20C8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CD68D4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DF5A8A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454687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E86E4A5" w14:textId="77777777" w:rsidTr="00F56356">
        <w:trPr>
          <w:trHeight w:val="720"/>
        </w:trPr>
        <w:tc>
          <w:tcPr>
            <w:tcW w:w="340" w:type="dxa"/>
            <w:tcBorders>
              <w:top w:val="nil"/>
              <w:left w:val="nil"/>
              <w:bottom w:val="nil"/>
              <w:right w:val="nil"/>
            </w:tcBorders>
            <w:shd w:val="clear" w:color="auto" w:fill="auto"/>
            <w:noWrap/>
            <w:vAlign w:val="bottom"/>
            <w:hideMark/>
          </w:tcPr>
          <w:p w14:paraId="7F26923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5C3707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5BE591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26C118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153.750,00</w:t>
            </w:r>
          </w:p>
        </w:tc>
        <w:tc>
          <w:tcPr>
            <w:tcW w:w="1140" w:type="dxa"/>
            <w:tcBorders>
              <w:top w:val="nil"/>
              <w:left w:val="nil"/>
              <w:bottom w:val="single" w:sz="4" w:space="0" w:color="auto"/>
              <w:right w:val="single" w:sz="4" w:space="0" w:color="auto"/>
            </w:tcBorders>
            <w:shd w:val="clear" w:color="auto" w:fill="auto"/>
            <w:noWrap/>
            <w:vAlign w:val="center"/>
            <w:hideMark/>
          </w:tcPr>
          <w:p w14:paraId="66EA64C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153.750,00</w:t>
            </w:r>
          </w:p>
        </w:tc>
        <w:tc>
          <w:tcPr>
            <w:tcW w:w="1180" w:type="dxa"/>
            <w:tcBorders>
              <w:top w:val="nil"/>
              <w:left w:val="nil"/>
              <w:bottom w:val="single" w:sz="4" w:space="0" w:color="auto"/>
              <w:right w:val="single" w:sz="4" w:space="0" w:color="auto"/>
            </w:tcBorders>
            <w:shd w:val="clear" w:color="auto" w:fill="auto"/>
            <w:noWrap/>
            <w:vAlign w:val="center"/>
            <w:hideMark/>
          </w:tcPr>
          <w:p w14:paraId="492816B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153.750,00</w:t>
            </w:r>
          </w:p>
        </w:tc>
        <w:tc>
          <w:tcPr>
            <w:tcW w:w="1340" w:type="dxa"/>
            <w:tcBorders>
              <w:top w:val="nil"/>
              <w:left w:val="nil"/>
              <w:bottom w:val="single" w:sz="4" w:space="0" w:color="auto"/>
              <w:right w:val="single" w:sz="4" w:space="0" w:color="auto"/>
            </w:tcBorders>
            <w:shd w:val="clear" w:color="auto" w:fill="auto"/>
            <w:noWrap/>
            <w:vAlign w:val="center"/>
            <w:hideMark/>
          </w:tcPr>
          <w:p w14:paraId="21FCDCE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CB2482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153.750,00</w:t>
            </w:r>
          </w:p>
        </w:tc>
      </w:tr>
      <w:tr w:rsidR="00F56356" w:rsidRPr="00F56356" w14:paraId="7DAC8BDD" w14:textId="77777777" w:rsidTr="00F56356">
        <w:trPr>
          <w:trHeight w:val="330"/>
        </w:trPr>
        <w:tc>
          <w:tcPr>
            <w:tcW w:w="340" w:type="dxa"/>
            <w:tcBorders>
              <w:top w:val="nil"/>
              <w:left w:val="nil"/>
              <w:bottom w:val="nil"/>
              <w:right w:val="nil"/>
            </w:tcBorders>
            <w:shd w:val="clear" w:color="auto" w:fill="auto"/>
            <w:noWrap/>
            <w:vAlign w:val="bottom"/>
            <w:hideMark/>
          </w:tcPr>
          <w:p w14:paraId="77FE7E1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938CEC9"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361F45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FE6DF0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70614C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F59352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C59A90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6B58B4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DD21978" w14:textId="77777777" w:rsidTr="00F56356">
        <w:trPr>
          <w:trHeight w:val="540"/>
        </w:trPr>
        <w:tc>
          <w:tcPr>
            <w:tcW w:w="340" w:type="dxa"/>
            <w:tcBorders>
              <w:top w:val="nil"/>
              <w:left w:val="nil"/>
              <w:bottom w:val="nil"/>
              <w:right w:val="nil"/>
            </w:tcBorders>
            <w:shd w:val="clear" w:color="auto" w:fill="auto"/>
            <w:noWrap/>
            <w:vAlign w:val="bottom"/>
            <w:hideMark/>
          </w:tcPr>
          <w:p w14:paraId="5F7E872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413FCB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48C882FA" w14:textId="77777777" w:rsidTr="00F56356">
        <w:trPr>
          <w:trHeight w:val="345"/>
        </w:trPr>
        <w:tc>
          <w:tcPr>
            <w:tcW w:w="340" w:type="dxa"/>
            <w:tcBorders>
              <w:top w:val="nil"/>
              <w:left w:val="nil"/>
              <w:bottom w:val="nil"/>
              <w:right w:val="nil"/>
            </w:tcBorders>
            <w:shd w:val="clear" w:color="auto" w:fill="auto"/>
            <w:noWrap/>
            <w:vAlign w:val="bottom"/>
            <w:hideMark/>
          </w:tcPr>
          <w:p w14:paraId="6028048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A41C8F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1234DF1A" w14:textId="77777777" w:rsidTr="00F56356">
        <w:trPr>
          <w:trHeight w:val="345"/>
        </w:trPr>
        <w:tc>
          <w:tcPr>
            <w:tcW w:w="340" w:type="dxa"/>
            <w:tcBorders>
              <w:top w:val="nil"/>
              <w:left w:val="nil"/>
              <w:bottom w:val="nil"/>
              <w:right w:val="nil"/>
            </w:tcBorders>
            <w:shd w:val="clear" w:color="auto" w:fill="auto"/>
            <w:noWrap/>
            <w:vAlign w:val="bottom"/>
            <w:hideMark/>
          </w:tcPr>
          <w:p w14:paraId="4F558E6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045009A"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6D3880C8" w14:textId="77777777" w:rsidTr="00F56356">
        <w:trPr>
          <w:trHeight w:val="480"/>
        </w:trPr>
        <w:tc>
          <w:tcPr>
            <w:tcW w:w="340" w:type="dxa"/>
            <w:tcBorders>
              <w:top w:val="nil"/>
              <w:left w:val="nil"/>
              <w:bottom w:val="nil"/>
              <w:right w:val="nil"/>
            </w:tcBorders>
            <w:shd w:val="clear" w:color="auto" w:fill="auto"/>
            <w:noWrap/>
            <w:vAlign w:val="bottom"/>
            <w:hideMark/>
          </w:tcPr>
          <w:p w14:paraId="115FA30B"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FE921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396EBADB" w14:textId="77777777" w:rsidTr="00F56356">
        <w:trPr>
          <w:trHeight w:val="540"/>
        </w:trPr>
        <w:tc>
          <w:tcPr>
            <w:tcW w:w="340" w:type="dxa"/>
            <w:tcBorders>
              <w:top w:val="nil"/>
              <w:left w:val="nil"/>
              <w:bottom w:val="nil"/>
              <w:right w:val="nil"/>
            </w:tcBorders>
            <w:shd w:val="clear" w:color="auto" w:fill="auto"/>
            <w:noWrap/>
            <w:vAlign w:val="center"/>
            <w:hideMark/>
          </w:tcPr>
          <w:p w14:paraId="2BB16A7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04E7A8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DBE527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Tempestività dei trasferimenti </w:t>
            </w:r>
          </w:p>
        </w:tc>
      </w:tr>
      <w:tr w:rsidR="00F56356" w:rsidRPr="00F56356" w14:paraId="106A5A94" w14:textId="77777777" w:rsidTr="00F56356">
        <w:trPr>
          <w:trHeight w:val="585"/>
        </w:trPr>
        <w:tc>
          <w:tcPr>
            <w:tcW w:w="340" w:type="dxa"/>
            <w:tcBorders>
              <w:top w:val="nil"/>
              <w:left w:val="nil"/>
              <w:bottom w:val="nil"/>
              <w:right w:val="nil"/>
            </w:tcBorders>
            <w:shd w:val="clear" w:color="auto" w:fill="auto"/>
            <w:noWrap/>
            <w:vAlign w:val="center"/>
            <w:hideMark/>
          </w:tcPr>
          <w:p w14:paraId="680347B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E3F1E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3C324E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Sistema amministrativo contabile; SICOGE;</w:t>
            </w:r>
          </w:p>
        </w:tc>
      </w:tr>
      <w:tr w:rsidR="00F56356" w:rsidRPr="00F56356" w14:paraId="760A1A4C" w14:textId="77777777" w:rsidTr="00F56356">
        <w:trPr>
          <w:trHeight w:val="1650"/>
        </w:trPr>
        <w:tc>
          <w:tcPr>
            <w:tcW w:w="340" w:type="dxa"/>
            <w:tcBorders>
              <w:top w:val="nil"/>
              <w:left w:val="nil"/>
              <w:bottom w:val="nil"/>
              <w:right w:val="nil"/>
            </w:tcBorders>
            <w:shd w:val="clear" w:color="auto" w:fill="auto"/>
            <w:noWrap/>
            <w:vAlign w:val="center"/>
            <w:hideMark/>
          </w:tcPr>
          <w:p w14:paraId="5B2191E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1E6C58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D347C8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Rapporto tra n. mandati di pagamento effettuati entro 5 giorni lavorativi dalla ricezione della </w:t>
            </w:r>
            <w:proofErr w:type="gramStart"/>
            <w:r w:rsidRPr="00F56356">
              <w:rPr>
                <w:rFonts w:ascii="Times New Roman" w:eastAsia="Times New Roman" w:hAnsi="Times New Roman" w:cs="Times New Roman"/>
                <w:color w:val="000000"/>
                <w:sz w:val="20"/>
                <w:szCs w:val="20"/>
                <w:lang w:eastAsia="it-IT"/>
              </w:rPr>
              <w:t>richiesta  e</w:t>
            </w:r>
            <w:proofErr w:type="gramEnd"/>
            <w:r w:rsidRPr="00F56356">
              <w:rPr>
                <w:rFonts w:ascii="Times New Roman" w:eastAsia="Times New Roman" w:hAnsi="Times New Roman" w:cs="Times New Roman"/>
                <w:color w:val="000000"/>
                <w:sz w:val="20"/>
                <w:szCs w:val="20"/>
                <w:lang w:eastAsia="it-IT"/>
              </w:rPr>
              <w:t xml:space="preserve"> n. totale mandati di pagamento per i quali è pervenuta la richiesta ed è stata positivamente istruita </w:t>
            </w:r>
          </w:p>
        </w:tc>
        <w:tc>
          <w:tcPr>
            <w:tcW w:w="1180" w:type="dxa"/>
            <w:tcBorders>
              <w:top w:val="nil"/>
              <w:left w:val="nil"/>
              <w:bottom w:val="single" w:sz="4" w:space="0" w:color="auto"/>
              <w:right w:val="nil"/>
            </w:tcBorders>
            <w:shd w:val="clear" w:color="auto" w:fill="auto"/>
            <w:vAlign w:val="center"/>
            <w:hideMark/>
          </w:tcPr>
          <w:p w14:paraId="6199E82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86C51D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E8BD8D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9C38C34" w14:textId="77777777" w:rsidTr="00F56356">
        <w:trPr>
          <w:trHeight w:val="615"/>
        </w:trPr>
        <w:tc>
          <w:tcPr>
            <w:tcW w:w="340" w:type="dxa"/>
            <w:tcBorders>
              <w:top w:val="nil"/>
              <w:left w:val="nil"/>
              <w:bottom w:val="nil"/>
              <w:right w:val="nil"/>
            </w:tcBorders>
            <w:shd w:val="clear" w:color="auto" w:fill="auto"/>
            <w:noWrap/>
            <w:vAlign w:val="bottom"/>
            <w:hideMark/>
          </w:tcPr>
          <w:p w14:paraId="7C9FDB4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BAC34C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722F4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F8CA75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21FC615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A2F0AF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4DE679C3" w14:textId="7EF3B27E" w:rsid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66137C50" w14:textId="77777777" w:rsidR="00410C3C" w:rsidRPr="00F56356" w:rsidRDefault="00410C3C" w:rsidP="00F56356">
      <w:pPr>
        <w:spacing w:after="0" w:line="360" w:lineRule="auto"/>
        <w:jc w:val="both"/>
        <w:rPr>
          <w:rFonts w:ascii="Times New Roman" w:eastAsiaTheme="minorEastAsia" w:hAnsi="Times New Roman" w:cs="Times New Roman"/>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1BA7B466" w14:textId="77777777" w:rsidTr="00F56356">
        <w:trPr>
          <w:trHeight w:val="510"/>
        </w:trPr>
        <w:tc>
          <w:tcPr>
            <w:tcW w:w="340" w:type="dxa"/>
            <w:tcBorders>
              <w:top w:val="nil"/>
              <w:left w:val="nil"/>
              <w:bottom w:val="nil"/>
              <w:right w:val="nil"/>
            </w:tcBorders>
            <w:shd w:val="clear" w:color="auto" w:fill="auto"/>
            <w:noWrap/>
            <w:vAlign w:val="bottom"/>
            <w:hideMark/>
          </w:tcPr>
          <w:p w14:paraId="1DDA03A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CA36D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6B609FE5" w14:textId="77777777" w:rsidTr="00F56356">
        <w:trPr>
          <w:trHeight w:val="690"/>
        </w:trPr>
        <w:tc>
          <w:tcPr>
            <w:tcW w:w="340" w:type="dxa"/>
            <w:tcBorders>
              <w:top w:val="nil"/>
              <w:left w:val="nil"/>
              <w:bottom w:val="nil"/>
              <w:right w:val="nil"/>
            </w:tcBorders>
            <w:shd w:val="clear" w:color="auto" w:fill="auto"/>
            <w:noWrap/>
            <w:vAlign w:val="center"/>
            <w:hideMark/>
          </w:tcPr>
          <w:p w14:paraId="0BC0670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F3E27D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E8ABC2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19658887" w14:textId="77777777" w:rsidTr="00F56356">
        <w:trPr>
          <w:trHeight w:val="690"/>
        </w:trPr>
        <w:tc>
          <w:tcPr>
            <w:tcW w:w="340" w:type="dxa"/>
            <w:tcBorders>
              <w:top w:val="nil"/>
              <w:left w:val="nil"/>
              <w:bottom w:val="nil"/>
              <w:right w:val="nil"/>
            </w:tcBorders>
            <w:shd w:val="clear" w:color="auto" w:fill="auto"/>
            <w:noWrap/>
            <w:vAlign w:val="center"/>
            <w:hideMark/>
          </w:tcPr>
          <w:p w14:paraId="74E306D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89EFE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AC602C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166F253C" w14:textId="77777777" w:rsidTr="00F56356">
        <w:trPr>
          <w:trHeight w:val="690"/>
        </w:trPr>
        <w:tc>
          <w:tcPr>
            <w:tcW w:w="340" w:type="dxa"/>
            <w:tcBorders>
              <w:top w:val="nil"/>
              <w:left w:val="nil"/>
              <w:bottom w:val="nil"/>
              <w:right w:val="nil"/>
            </w:tcBorders>
            <w:shd w:val="clear" w:color="auto" w:fill="auto"/>
            <w:noWrap/>
            <w:vAlign w:val="center"/>
            <w:hideMark/>
          </w:tcPr>
          <w:p w14:paraId="67335CD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87C732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596B1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6 - Funzione pubblica </w:t>
            </w:r>
          </w:p>
        </w:tc>
      </w:tr>
      <w:tr w:rsidR="00F56356" w:rsidRPr="00F56356" w14:paraId="597E0EEE" w14:textId="77777777" w:rsidTr="00F56356">
        <w:trPr>
          <w:trHeight w:val="1095"/>
        </w:trPr>
        <w:tc>
          <w:tcPr>
            <w:tcW w:w="340" w:type="dxa"/>
            <w:tcBorders>
              <w:top w:val="nil"/>
              <w:left w:val="nil"/>
              <w:bottom w:val="nil"/>
              <w:right w:val="nil"/>
            </w:tcBorders>
            <w:shd w:val="clear" w:color="auto" w:fill="auto"/>
            <w:noWrap/>
            <w:vAlign w:val="center"/>
            <w:hideMark/>
          </w:tcPr>
          <w:p w14:paraId="40F41F4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060AE4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0A983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Digitalizzazione, per il ripensamento della PA in chiave digitale attraverso la reingegnerizzazione dei processi e dei procedimenti amministrativi e la ridefinizione dei termini e delle modalità di interazione della PA con il cittadino anche assicurando la piena attuazione del principio “once </w:t>
            </w:r>
            <w:proofErr w:type="spellStart"/>
            <w:r w:rsidRPr="00F56356">
              <w:rPr>
                <w:rFonts w:ascii="Times New Roman" w:eastAsia="Times New Roman" w:hAnsi="Times New Roman" w:cs="Times New Roman"/>
                <w:color w:val="000000"/>
                <w:sz w:val="20"/>
                <w:szCs w:val="20"/>
                <w:lang w:eastAsia="it-IT"/>
              </w:rPr>
              <w:t>only</w:t>
            </w:r>
            <w:proofErr w:type="spellEnd"/>
            <w:r w:rsidRPr="00F56356">
              <w:rPr>
                <w:rFonts w:ascii="Times New Roman" w:eastAsia="Times New Roman" w:hAnsi="Times New Roman" w:cs="Times New Roman"/>
                <w:color w:val="000000"/>
                <w:sz w:val="20"/>
                <w:szCs w:val="20"/>
                <w:lang w:eastAsia="it-IT"/>
              </w:rPr>
              <w:t>”</w:t>
            </w:r>
          </w:p>
        </w:tc>
      </w:tr>
      <w:tr w:rsidR="00F56356" w:rsidRPr="00F56356" w14:paraId="29B869BF" w14:textId="77777777" w:rsidTr="00F56356">
        <w:trPr>
          <w:trHeight w:val="990"/>
        </w:trPr>
        <w:tc>
          <w:tcPr>
            <w:tcW w:w="340" w:type="dxa"/>
            <w:tcBorders>
              <w:top w:val="nil"/>
              <w:left w:val="nil"/>
              <w:bottom w:val="nil"/>
              <w:right w:val="nil"/>
            </w:tcBorders>
            <w:shd w:val="clear" w:color="auto" w:fill="auto"/>
            <w:noWrap/>
            <w:vAlign w:val="center"/>
            <w:hideMark/>
          </w:tcPr>
          <w:p w14:paraId="540FACF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6B0D7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DEF8B1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Gestione in cloud e conduzione applicativa dei siti web, portali, sistemi informativi e banche dati dipartimentali per una più efficace ridefinizione dei termini e delle modalità di interazione della PA con il cittadino    </w:t>
            </w:r>
          </w:p>
        </w:tc>
      </w:tr>
      <w:tr w:rsidR="00F56356" w:rsidRPr="00F56356" w14:paraId="1AD67951" w14:textId="77777777" w:rsidTr="00F56356">
        <w:trPr>
          <w:trHeight w:val="360"/>
        </w:trPr>
        <w:tc>
          <w:tcPr>
            <w:tcW w:w="340" w:type="dxa"/>
            <w:tcBorders>
              <w:top w:val="nil"/>
              <w:left w:val="nil"/>
              <w:bottom w:val="nil"/>
              <w:right w:val="nil"/>
            </w:tcBorders>
            <w:shd w:val="clear" w:color="auto" w:fill="auto"/>
            <w:noWrap/>
            <w:vAlign w:val="center"/>
            <w:hideMark/>
          </w:tcPr>
          <w:p w14:paraId="22BD7D2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7841C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28030A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0512B13" w14:textId="77777777" w:rsidTr="00F56356">
        <w:trPr>
          <w:trHeight w:val="360"/>
        </w:trPr>
        <w:tc>
          <w:tcPr>
            <w:tcW w:w="340" w:type="dxa"/>
            <w:tcBorders>
              <w:top w:val="nil"/>
              <w:left w:val="nil"/>
              <w:bottom w:val="nil"/>
              <w:right w:val="nil"/>
            </w:tcBorders>
            <w:shd w:val="clear" w:color="auto" w:fill="auto"/>
            <w:noWrap/>
            <w:vAlign w:val="center"/>
            <w:hideMark/>
          </w:tcPr>
          <w:p w14:paraId="30F8D0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5CC6F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64997C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3830C64" w14:textId="77777777" w:rsidTr="00F56356">
        <w:trPr>
          <w:trHeight w:val="525"/>
        </w:trPr>
        <w:tc>
          <w:tcPr>
            <w:tcW w:w="340" w:type="dxa"/>
            <w:tcBorders>
              <w:top w:val="nil"/>
              <w:left w:val="nil"/>
              <w:bottom w:val="nil"/>
              <w:right w:val="nil"/>
            </w:tcBorders>
            <w:shd w:val="clear" w:color="auto" w:fill="auto"/>
            <w:noWrap/>
            <w:vAlign w:val="bottom"/>
            <w:hideMark/>
          </w:tcPr>
          <w:p w14:paraId="54EE5A0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01C95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A95EAE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408</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620AD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045DED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AF2B05E" w14:textId="77777777" w:rsidTr="00F56356">
        <w:trPr>
          <w:trHeight w:val="1305"/>
        </w:trPr>
        <w:tc>
          <w:tcPr>
            <w:tcW w:w="340" w:type="dxa"/>
            <w:tcBorders>
              <w:top w:val="nil"/>
              <w:left w:val="nil"/>
              <w:bottom w:val="nil"/>
              <w:right w:val="nil"/>
            </w:tcBorders>
            <w:shd w:val="clear" w:color="auto" w:fill="auto"/>
            <w:noWrap/>
            <w:vAlign w:val="bottom"/>
            <w:hideMark/>
          </w:tcPr>
          <w:p w14:paraId="457F1ED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8CECEA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0DAF7D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B62FA2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3F2283C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A254CB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73FC0A6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2726EA2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7694AFD" w14:textId="77777777" w:rsidTr="00F56356">
        <w:trPr>
          <w:trHeight w:val="720"/>
        </w:trPr>
        <w:tc>
          <w:tcPr>
            <w:tcW w:w="340" w:type="dxa"/>
            <w:tcBorders>
              <w:top w:val="nil"/>
              <w:left w:val="nil"/>
              <w:bottom w:val="nil"/>
              <w:right w:val="nil"/>
            </w:tcBorders>
            <w:shd w:val="clear" w:color="auto" w:fill="auto"/>
            <w:noWrap/>
            <w:vAlign w:val="bottom"/>
            <w:hideMark/>
          </w:tcPr>
          <w:p w14:paraId="6B64CED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55F7C3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B2C7AA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46964F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1.195.450,00</w:t>
            </w:r>
          </w:p>
        </w:tc>
        <w:tc>
          <w:tcPr>
            <w:tcW w:w="1140" w:type="dxa"/>
            <w:tcBorders>
              <w:top w:val="nil"/>
              <w:left w:val="nil"/>
              <w:bottom w:val="single" w:sz="4" w:space="0" w:color="auto"/>
              <w:right w:val="single" w:sz="4" w:space="0" w:color="auto"/>
            </w:tcBorders>
            <w:shd w:val="clear" w:color="auto" w:fill="auto"/>
            <w:noWrap/>
            <w:vAlign w:val="center"/>
            <w:hideMark/>
          </w:tcPr>
          <w:p w14:paraId="1A53B9A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4.494.272,64</w:t>
            </w:r>
          </w:p>
        </w:tc>
        <w:tc>
          <w:tcPr>
            <w:tcW w:w="1180" w:type="dxa"/>
            <w:tcBorders>
              <w:top w:val="nil"/>
              <w:left w:val="nil"/>
              <w:bottom w:val="single" w:sz="4" w:space="0" w:color="auto"/>
              <w:right w:val="single" w:sz="4" w:space="0" w:color="auto"/>
            </w:tcBorders>
            <w:shd w:val="clear" w:color="auto" w:fill="auto"/>
            <w:noWrap/>
            <w:vAlign w:val="center"/>
            <w:hideMark/>
          </w:tcPr>
          <w:p w14:paraId="190594D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2.749.115,82</w:t>
            </w:r>
          </w:p>
        </w:tc>
        <w:tc>
          <w:tcPr>
            <w:tcW w:w="1340" w:type="dxa"/>
            <w:tcBorders>
              <w:top w:val="nil"/>
              <w:left w:val="nil"/>
              <w:bottom w:val="single" w:sz="4" w:space="0" w:color="auto"/>
              <w:right w:val="single" w:sz="4" w:space="0" w:color="auto"/>
            </w:tcBorders>
            <w:shd w:val="clear" w:color="auto" w:fill="auto"/>
            <w:noWrap/>
            <w:vAlign w:val="center"/>
            <w:hideMark/>
          </w:tcPr>
          <w:p w14:paraId="062C6BF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1.701.746,90</w:t>
            </w:r>
          </w:p>
        </w:tc>
        <w:tc>
          <w:tcPr>
            <w:tcW w:w="1140" w:type="dxa"/>
            <w:tcBorders>
              <w:top w:val="nil"/>
              <w:left w:val="nil"/>
              <w:bottom w:val="single" w:sz="4" w:space="0" w:color="auto"/>
              <w:right w:val="single" w:sz="4" w:space="0" w:color="auto"/>
            </w:tcBorders>
            <w:shd w:val="clear" w:color="auto" w:fill="auto"/>
            <w:noWrap/>
            <w:vAlign w:val="center"/>
            <w:hideMark/>
          </w:tcPr>
          <w:p w14:paraId="713633A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4.450.862,72</w:t>
            </w:r>
          </w:p>
        </w:tc>
      </w:tr>
      <w:tr w:rsidR="00F56356" w:rsidRPr="00F56356" w14:paraId="6DFA387F" w14:textId="77777777" w:rsidTr="00F56356">
        <w:trPr>
          <w:trHeight w:val="330"/>
        </w:trPr>
        <w:tc>
          <w:tcPr>
            <w:tcW w:w="340" w:type="dxa"/>
            <w:tcBorders>
              <w:top w:val="nil"/>
              <w:left w:val="nil"/>
              <w:bottom w:val="nil"/>
              <w:right w:val="nil"/>
            </w:tcBorders>
            <w:shd w:val="clear" w:color="auto" w:fill="auto"/>
            <w:noWrap/>
            <w:vAlign w:val="bottom"/>
            <w:hideMark/>
          </w:tcPr>
          <w:p w14:paraId="2D6EAF5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A4977DF"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F8862A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E3C924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4C58FA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A25DBD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9702BA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F46E63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5CA50BD" w14:textId="77777777" w:rsidTr="00F56356">
        <w:trPr>
          <w:trHeight w:val="540"/>
        </w:trPr>
        <w:tc>
          <w:tcPr>
            <w:tcW w:w="340" w:type="dxa"/>
            <w:tcBorders>
              <w:top w:val="nil"/>
              <w:left w:val="nil"/>
              <w:bottom w:val="nil"/>
              <w:right w:val="nil"/>
            </w:tcBorders>
            <w:shd w:val="clear" w:color="auto" w:fill="auto"/>
            <w:noWrap/>
            <w:vAlign w:val="bottom"/>
            <w:hideMark/>
          </w:tcPr>
          <w:p w14:paraId="335657A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126D4A5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1D7F8FC6" w14:textId="77777777" w:rsidTr="00F56356">
        <w:trPr>
          <w:trHeight w:val="345"/>
        </w:trPr>
        <w:tc>
          <w:tcPr>
            <w:tcW w:w="340" w:type="dxa"/>
            <w:tcBorders>
              <w:top w:val="nil"/>
              <w:left w:val="nil"/>
              <w:bottom w:val="nil"/>
              <w:right w:val="nil"/>
            </w:tcBorders>
            <w:shd w:val="clear" w:color="auto" w:fill="auto"/>
            <w:noWrap/>
            <w:vAlign w:val="bottom"/>
            <w:hideMark/>
          </w:tcPr>
          <w:p w14:paraId="3D8827A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B66B02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60DD4F83" w14:textId="77777777" w:rsidTr="00F56356">
        <w:trPr>
          <w:trHeight w:val="345"/>
        </w:trPr>
        <w:tc>
          <w:tcPr>
            <w:tcW w:w="340" w:type="dxa"/>
            <w:tcBorders>
              <w:top w:val="nil"/>
              <w:left w:val="nil"/>
              <w:bottom w:val="nil"/>
              <w:right w:val="nil"/>
            </w:tcBorders>
            <w:shd w:val="clear" w:color="auto" w:fill="auto"/>
            <w:noWrap/>
            <w:vAlign w:val="bottom"/>
            <w:hideMark/>
          </w:tcPr>
          <w:p w14:paraId="41BB51B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4A3B529E"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27634521" w14:textId="77777777" w:rsidTr="00F56356">
        <w:trPr>
          <w:trHeight w:val="480"/>
        </w:trPr>
        <w:tc>
          <w:tcPr>
            <w:tcW w:w="340" w:type="dxa"/>
            <w:tcBorders>
              <w:top w:val="nil"/>
              <w:left w:val="nil"/>
              <w:bottom w:val="nil"/>
              <w:right w:val="nil"/>
            </w:tcBorders>
            <w:shd w:val="clear" w:color="auto" w:fill="auto"/>
            <w:noWrap/>
            <w:vAlign w:val="bottom"/>
            <w:hideMark/>
          </w:tcPr>
          <w:p w14:paraId="254045CF"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2DB4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3D41212E" w14:textId="77777777" w:rsidTr="00F56356">
        <w:trPr>
          <w:trHeight w:val="540"/>
        </w:trPr>
        <w:tc>
          <w:tcPr>
            <w:tcW w:w="340" w:type="dxa"/>
            <w:tcBorders>
              <w:top w:val="nil"/>
              <w:left w:val="nil"/>
              <w:bottom w:val="nil"/>
              <w:right w:val="nil"/>
            </w:tcBorders>
            <w:shd w:val="clear" w:color="auto" w:fill="auto"/>
            <w:noWrap/>
            <w:vAlign w:val="center"/>
            <w:hideMark/>
          </w:tcPr>
          <w:p w14:paraId="265FD30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2EF3A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54543A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Capacità di gestione in cloud e conduzione applicativa dei siti web, portali, sistemi informativi e banche dati dipartimentali </w:t>
            </w:r>
          </w:p>
        </w:tc>
      </w:tr>
      <w:tr w:rsidR="00F56356" w:rsidRPr="00F56356" w14:paraId="09ED39E0" w14:textId="77777777" w:rsidTr="00F56356">
        <w:trPr>
          <w:trHeight w:val="585"/>
        </w:trPr>
        <w:tc>
          <w:tcPr>
            <w:tcW w:w="340" w:type="dxa"/>
            <w:tcBorders>
              <w:top w:val="nil"/>
              <w:left w:val="nil"/>
              <w:bottom w:val="nil"/>
              <w:right w:val="nil"/>
            </w:tcBorders>
            <w:shd w:val="clear" w:color="auto" w:fill="auto"/>
            <w:noWrap/>
            <w:vAlign w:val="center"/>
            <w:hideMark/>
          </w:tcPr>
          <w:p w14:paraId="06A2AE7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A0AD88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D2184B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Siti web istituzionali, SICOGE e banche dati dipartimentali  </w:t>
            </w:r>
          </w:p>
        </w:tc>
      </w:tr>
      <w:tr w:rsidR="00F56356" w:rsidRPr="00F56356" w14:paraId="631BF6BF" w14:textId="77777777" w:rsidTr="00F56356">
        <w:trPr>
          <w:trHeight w:val="1425"/>
        </w:trPr>
        <w:tc>
          <w:tcPr>
            <w:tcW w:w="340" w:type="dxa"/>
            <w:tcBorders>
              <w:top w:val="nil"/>
              <w:left w:val="nil"/>
              <w:bottom w:val="nil"/>
              <w:right w:val="nil"/>
            </w:tcBorders>
            <w:shd w:val="clear" w:color="auto" w:fill="auto"/>
            <w:noWrap/>
            <w:vAlign w:val="center"/>
            <w:hideMark/>
          </w:tcPr>
          <w:p w14:paraId="6CD1EE4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CB045C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2171F7E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roofErr w:type="gramStart"/>
            <w:r w:rsidRPr="00F56356">
              <w:rPr>
                <w:rFonts w:ascii="Times New Roman" w:eastAsia="Times New Roman" w:hAnsi="Times New Roman" w:cs="Times New Roman"/>
                <w:color w:val="000000"/>
                <w:sz w:val="20"/>
                <w:szCs w:val="20"/>
                <w:lang w:eastAsia="it-IT"/>
              </w:rPr>
              <w:t>Numero  di</w:t>
            </w:r>
            <w:proofErr w:type="gramEnd"/>
            <w:r w:rsidRPr="00F56356">
              <w:rPr>
                <w:rFonts w:ascii="Times New Roman" w:eastAsia="Times New Roman" w:hAnsi="Times New Roman" w:cs="Times New Roman"/>
                <w:color w:val="000000"/>
                <w:sz w:val="20"/>
                <w:szCs w:val="20"/>
                <w:lang w:eastAsia="it-IT"/>
              </w:rPr>
              <w:t xml:space="preserve"> siti web, portali, sistemi informativi e banche dati dipartimentali gestiti in cloud e conduzione applicativa</w:t>
            </w:r>
          </w:p>
        </w:tc>
        <w:tc>
          <w:tcPr>
            <w:tcW w:w="1180" w:type="dxa"/>
            <w:tcBorders>
              <w:top w:val="nil"/>
              <w:left w:val="nil"/>
              <w:bottom w:val="single" w:sz="4" w:space="0" w:color="auto"/>
              <w:right w:val="nil"/>
            </w:tcBorders>
            <w:shd w:val="clear" w:color="auto" w:fill="auto"/>
            <w:vAlign w:val="center"/>
            <w:hideMark/>
          </w:tcPr>
          <w:p w14:paraId="2C3F2DA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EC670D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E41C3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CDAD088" w14:textId="77777777" w:rsidTr="00F56356">
        <w:trPr>
          <w:trHeight w:val="615"/>
        </w:trPr>
        <w:tc>
          <w:tcPr>
            <w:tcW w:w="340" w:type="dxa"/>
            <w:tcBorders>
              <w:top w:val="nil"/>
              <w:left w:val="nil"/>
              <w:bottom w:val="nil"/>
              <w:right w:val="nil"/>
            </w:tcBorders>
            <w:shd w:val="clear" w:color="auto" w:fill="auto"/>
            <w:noWrap/>
            <w:vAlign w:val="bottom"/>
            <w:hideMark/>
          </w:tcPr>
          <w:p w14:paraId="42D5EC3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3D3798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2EA2CC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Numero decimale</w:t>
            </w:r>
          </w:p>
        </w:tc>
        <w:tc>
          <w:tcPr>
            <w:tcW w:w="1180" w:type="dxa"/>
            <w:tcBorders>
              <w:top w:val="nil"/>
              <w:left w:val="nil"/>
              <w:bottom w:val="single" w:sz="4" w:space="0" w:color="auto"/>
              <w:right w:val="single" w:sz="4" w:space="0" w:color="auto"/>
            </w:tcBorders>
            <w:shd w:val="clear" w:color="auto" w:fill="auto"/>
            <w:noWrap/>
            <w:vAlign w:val="center"/>
            <w:hideMark/>
          </w:tcPr>
          <w:p w14:paraId="6CC5788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c>
          <w:tcPr>
            <w:tcW w:w="1340" w:type="dxa"/>
            <w:tcBorders>
              <w:top w:val="nil"/>
              <w:left w:val="nil"/>
              <w:bottom w:val="single" w:sz="4" w:space="0" w:color="auto"/>
              <w:right w:val="nil"/>
            </w:tcBorders>
            <w:shd w:val="clear" w:color="auto" w:fill="auto"/>
            <w:vAlign w:val="center"/>
            <w:hideMark/>
          </w:tcPr>
          <w:p w14:paraId="6EACEA5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37</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AA8128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w:t>
            </w:r>
          </w:p>
        </w:tc>
      </w:tr>
    </w:tbl>
    <w:p w14:paraId="117EBA04"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5B2DF4E"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677D1769" w14:textId="77777777" w:rsidTr="00F56356">
        <w:trPr>
          <w:trHeight w:val="510"/>
        </w:trPr>
        <w:tc>
          <w:tcPr>
            <w:tcW w:w="340" w:type="dxa"/>
            <w:tcBorders>
              <w:top w:val="nil"/>
              <w:left w:val="nil"/>
              <w:bottom w:val="nil"/>
              <w:right w:val="nil"/>
            </w:tcBorders>
            <w:shd w:val="clear" w:color="auto" w:fill="auto"/>
            <w:noWrap/>
            <w:vAlign w:val="bottom"/>
            <w:hideMark/>
          </w:tcPr>
          <w:p w14:paraId="7A2D817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D5D3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DF7F848" w14:textId="77777777" w:rsidTr="00F56356">
        <w:trPr>
          <w:trHeight w:val="690"/>
        </w:trPr>
        <w:tc>
          <w:tcPr>
            <w:tcW w:w="340" w:type="dxa"/>
            <w:tcBorders>
              <w:top w:val="nil"/>
              <w:left w:val="nil"/>
              <w:bottom w:val="nil"/>
              <w:right w:val="nil"/>
            </w:tcBorders>
            <w:shd w:val="clear" w:color="auto" w:fill="auto"/>
            <w:noWrap/>
            <w:vAlign w:val="center"/>
            <w:hideMark/>
          </w:tcPr>
          <w:p w14:paraId="44F8059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9FB41A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7128EA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017B77EF" w14:textId="77777777" w:rsidTr="00F56356">
        <w:trPr>
          <w:trHeight w:val="690"/>
        </w:trPr>
        <w:tc>
          <w:tcPr>
            <w:tcW w:w="340" w:type="dxa"/>
            <w:tcBorders>
              <w:top w:val="nil"/>
              <w:left w:val="nil"/>
              <w:bottom w:val="nil"/>
              <w:right w:val="nil"/>
            </w:tcBorders>
            <w:shd w:val="clear" w:color="auto" w:fill="auto"/>
            <w:noWrap/>
            <w:vAlign w:val="center"/>
            <w:hideMark/>
          </w:tcPr>
          <w:p w14:paraId="0CFCCAE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00FD9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60CBB5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1A1C41FA" w14:textId="77777777" w:rsidTr="00F56356">
        <w:trPr>
          <w:trHeight w:val="690"/>
        </w:trPr>
        <w:tc>
          <w:tcPr>
            <w:tcW w:w="340" w:type="dxa"/>
            <w:tcBorders>
              <w:top w:val="nil"/>
              <w:left w:val="nil"/>
              <w:bottom w:val="nil"/>
              <w:right w:val="nil"/>
            </w:tcBorders>
            <w:shd w:val="clear" w:color="auto" w:fill="auto"/>
            <w:noWrap/>
            <w:vAlign w:val="center"/>
            <w:hideMark/>
          </w:tcPr>
          <w:p w14:paraId="78B4CD4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35467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5DCFE7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6 - Funzione pubblica </w:t>
            </w:r>
          </w:p>
        </w:tc>
      </w:tr>
      <w:tr w:rsidR="00F56356" w:rsidRPr="00F56356" w14:paraId="2DAA74D8" w14:textId="77777777" w:rsidTr="00F56356">
        <w:trPr>
          <w:trHeight w:val="960"/>
        </w:trPr>
        <w:tc>
          <w:tcPr>
            <w:tcW w:w="340" w:type="dxa"/>
            <w:tcBorders>
              <w:top w:val="nil"/>
              <w:left w:val="nil"/>
              <w:bottom w:val="nil"/>
              <w:right w:val="nil"/>
            </w:tcBorders>
            <w:shd w:val="clear" w:color="auto" w:fill="auto"/>
            <w:noWrap/>
            <w:vAlign w:val="center"/>
            <w:hideMark/>
          </w:tcPr>
          <w:p w14:paraId="491BE69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6B0A3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B7409D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Sostenere la trasparenza la partecipazione e l’accountability e l’innovazione della P.A.</w:t>
            </w:r>
          </w:p>
        </w:tc>
      </w:tr>
      <w:tr w:rsidR="00F56356" w:rsidRPr="00F56356" w14:paraId="53EEB4B8" w14:textId="77777777" w:rsidTr="00F56356">
        <w:trPr>
          <w:trHeight w:val="1185"/>
        </w:trPr>
        <w:tc>
          <w:tcPr>
            <w:tcW w:w="340" w:type="dxa"/>
            <w:tcBorders>
              <w:top w:val="nil"/>
              <w:left w:val="nil"/>
              <w:bottom w:val="nil"/>
              <w:right w:val="nil"/>
            </w:tcBorders>
            <w:shd w:val="clear" w:color="auto" w:fill="auto"/>
            <w:noWrap/>
            <w:vAlign w:val="center"/>
            <w:hideMark/>
          </w:tcPr>
          <w:p w14:paraId="7F51402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B1644F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061D32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Assistenza alle PA nell’assolvimento degli obblighi di comunicazione al DFP attraverso il sistema </w:t>
            </w:r>
            <w:proofErr w:type="spellStart"/>
            <w:r w:rsidRPr="00F56356">
              <w:rPr>
                <w:rFonts w:ascii="Times New Roman" w:eastAsia="Times New Roman" w:hAnsi="Times New Roman" w:cs="Times New Roman"/>
                <w:color w:val="000000"/>
                <w:sz w:val="20"/>
                <w:szCs w:val="20"/>
                <w:lang w:eastAsia="it-IT"/>
              </w:rPr>
              <w:t>PerlaPA</w:t>
            </w:r>
            <w:proofErr w:type="spellEnd"/>
            <w:r w:rsidRPr="00F56356">
              <w:rPr>
                <w:rFonts w:ascii="Times New Roman" w:eastAsia="Times New Roman" w:hAnsi="Times New Roman" w:cs="Times New Roman"/>
                <w:color w:val="000000"/>
                <w:sz w:val="20"/>
                <w:szCs w:val="20"/>
                <w:lang w:eastAsia="it-IT"/>
              </w:rPr>
              <w:t xml:space="preserve"> </w:t>
            </w:r>
          </w:p>
        </w:tc>
      </w:tr>
      <w:tr w:rsidR="00F56356" w:rsidRPr="00F56356" w14:paraId="0E0082FC" w14:textId="77777777" w:rsidTr="00F56356">
        <w:trPr>
          <w:trHeight w:val="360"/>
        </w:trPr>
        <w:tc>
          <w:tcPr>
            <w:tcW w:w="340" w:type="dxa"/>
            <w:tcBorders>
              <w:top w:val="nil"/>
              <w:left w:val="nil"/>
              <w:bottom w:val="nil"/>
              <w:right w:val="nil"/>
            </w:tcBorders>
            <w:shd w:val="clear" w:color="auto" w:fill="auto"/>
            <w:noWrap/>
            <w:vAlign w:val="center"/>
            <w:hideMark/>
          </w:tcPr>
          <w:p w14:paraId="0797D51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6D7339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8E400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DE72739" w14:textId="77777777" w:rsidTr="00F56356">
        <w:trPr>
          <w:trHeight w:val="360"/>
        </w:trPr>
        <w:tc>
          <w:tcPr>
            <w:tcW w:w="340" w:type="dxa"/>
            <w:tcBorders>
              <w:top w:val="nil"/>
              <w:left w:val="nil"/>
              <w:bottom w:val="nil"/>
              <w:right w:val="nil"/>
            </w:tcBorders>
            <w:shd w:val="clear" w:color="auto" w:fill="auto"/>
            <w:noWrap/>
            <w:vAlign w:val="center"/>
            <w:hideMark/>
          </w:tcPr>
          <w:p w14:paraId="44ADB95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7AC167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FE7E27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92017A6" w14:textId="77777777" w:rsidTr="00F56356">
        <w:trPr>
          <w:trHeight w:val="525"/>
        </w:trPr>
        <w:tc>
          <w:tcPr>
            <w:tcW w:w="340" w:type="dxa"/>
            <w:tcBorders>
              <w:top w:val="nil"/>
              <w:left w:val="nil"/>
              <w:bottom w:val="nil"/>
              <w:right w:val="nil"/>
            </w:tcBorders>
            <w:shd w:val="clear" w:color="auto" w:fill="auto"/>
            <w:noWrap/>
            <w:vAlign w:val="bottom"/>
            <w:hideMark/>
          </w:tcPr>
          <w:p w14:paraId="27D8A0A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C9722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D04CCB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412</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C2F417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BEEF45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FCE7208" w14:textId="77777777" w:rsidTr="00F56356">
        <w:trPr>
          <w:trHeight w:val="1305"/>
        </w:trPr>
        <w:tc>
          <w:tcPr>
            <w:tcW w:w="340" w:type="dxa"/>
            <w:tcBorders>
              <w:top w:val="nil"/>
              <w:left w:val="nil"/>
              <w:bottom w:val="nil"/>
              <w:right w:val="nil"/>
            </w:tcBorders>
            <w:shd w:val="clear" w:color="auto" w:fill="auto"/>
            <w:noWrap/>
            <w:vAlign w:val="bottom"/>
            <w:hideMark/>
          </w:tcPr>
          <w:p w14:paraId="0F38330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A0AEA8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FD3824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03A8E3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16F212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F56FBE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70BA67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4FED8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135D635" w14:textId="77777777" w:rsidTr="00F56356">
        <w:trPr>
          <w:trHeight w:val="720"/>
        </w:trPr>
        <w:tc>
          <w:tcPr>
            <w:tcW w:w="340" w:type="dxa"/>
            <w:tcBorders>
              <w:top w:val="nil"/>
              <w:left w:val="nil"/>
              <w:bottom w:val="nil"/>
              <w:right w:val="nil"/>
            </w:tcBorders>
            <w:shd w:val="clear" w:color="auto" w:fill="auto"/>
            <w:noWrap/>
            <w:vAlign w:val="bottom"/>
            <w:hideMark/>
          </w:tcPr>
          <w:p w14:paraId="4DF9516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0B5CF7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9E4CE4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9CAC06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250.000,00</w:t>
            </w:r>
          </w:p>
        </w:tc>
        <w:tc>
          <w:tcPr>
            <w:tcW w:w="1140" w:type="dxa"/>
            <w:tcBorders>
              <w:top w:val="nil"/>
              <w:left w:val="nil"/>
              <w:bottom w:val="single" w:sz="4" w:space="0" w:color="auto"/>
              <w:right w:val="single" w:sz="4" w:space="0" w:color="auto"/>
            </w:tcBorders>
            <w:shd w:val="clear" w:color="auto" w:fill="auto"/>
            <w:noWrap/>
            <w:vAlign w:val="center"/>
            <w:hideMark/>
          </w:tcPr>
          <w:p w14:paraId="624503B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250.000,00</w:t>
            </w:r>
          </w:p>
        </w:tc>
        <w:tc>
          <w:tcPr>
            <w:tcW w:w="1180" w:type="dxa"/>
            <w:tcBorders>
              <w:top w:val="nil"/>
              <w:left w:val="nil"/>
              <w:bottom w:val="single" w:sz="4" w:space="0" w:color="auto"/>
              <w:right w:val="single" w:sz="4" w:space="0" w:color="auto"/>
            </w:tcBorders>
            <w:shd w:val="clear" w:color="auto" w:fill="auto"/>
            <w:noWrap/>
            <w:vAlign w:val="center"/>
            <w:hideMark/>
          </w:tcPr>
          <w:p w14:paraId="0CAD6A5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3D4542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250.000,00</w:t>
            </w:r>
          </w:p>
        </w:tc>
        <w:tc>
          <w:tcPr>
            <w:tcW w:w="1140" w:type="dxa"/>
            <w:tcBorders>
              <w:top w:val="nil"/>
              <w:left w:val="nil"/>
              <w:bottom w:val="single" w:sz="4" w:space="0" w:color="auto"/>
              <w:right w:val="single" w:sz="4" w:space="0" w:color="auto"/>
            </w:tcBorders>
            <w:shd w:val="clear" w:color="auto" w:fill="auto"/>
            <w:noWrap/>
            <w:vAlign w:val="center"/>
            <w:hideMark/>
          </w:tcPr>
          <w:p w14:paraId="33AE4FB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250.000,00</w:t>
            </w:r>
          </w:p>
        </w:tc>
      </w:tr>
      <w:tr w:rsidR="00F56356" w:rsidRPr="00F56356" w14:paraId="5E296B39" w14:textId="77777777" w:rsidTr="00F56356">
        <w:trPr>
          <w:trHeight w:val="330"/>
        </w:trPr>
        <w:tc>
          <w:tcPr>
            <w:tcW w:w="340" w:type="dxa"/>
            <w:tcBorders>
              <w:top w:val="nil"/>
              <w:left w:val="nil"/>
              <w:bottom w:val="nil"/>
              <w:right w:val="nil"/>
            </w:tcBorders>
            <w:shd w:val="clear" w:color="auto" w:fill="auto"/>
            <w:noWrap/>
            <w:vAlign w:val="bottom"/>
            <w:hideMark/>
          </w:tcPr>
          <w:p w14:paraId="4967933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5873DEF"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05FBFF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453F47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3D5761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F20C89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7BC407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C0104F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D948DA7" w14:textId="77777777" w:rsidTr="00F56356">
        <w:trPr>
          <w:trHeight w:val="540"/>
        </w:trPr>
        <w:tc>
          <w:tcPr>
            <w:tcW w:w="340" w:type="dxa"/>
            <w:tcBorders>
              <w:top w:val="nil"/>
              <w:left w:val="nil"/>
              <w:bottom w:val="nil"/>
              <w:right w:val="nil"/>
            </w:tcBorders>
            <w:shd w:val="clear" w:color="auto" w:fill="auto"/>
            <w:noWrap/>
            <w:vAlign w:val="bottom"/>
            <w:hideMark/>
          </w:tcPr>
          <w:p w14:paraId="7603599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9903D8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0CDB8E00" w14:textId="77777777" w:rsidTr="00F56356">
        <w:trPr>
          <w:trHeight w:val="345"/>
        </w:trPr>
        <w:tc>
          <w:tcPr>
            <w:tcW w:w="340" w:type="dxa"/>
            <w:tcBorders>
              <w:top w:val="nil"/>
              <w:left w:val="nil"/>
              <w:bottom w:val="nil"/>
              <w:right w:val="nil"/>
            </w:tcBorders>
            <w:shd w:val="clear" w:color="auto" w:fill="auto"/>
            <w:noWrap/>
            <w:vAlign w:val="bottom"/>
            <w:hideMark/>
          </w:tcPr>
          <w:p w14:paraId="370B090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D65FE5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19D88AF1" w14:textId="77777777" w:rsidTr="00F56356">
        <w:trPr>
          <w:trHeight w:val="345"/>
        </w:trPr>
        <w:tc>
          <w:tcPr>
            <w:tcW w:w="340" w:type="dxa"/>
            <w:tcBorders>
              <w:top w:val="nil"/>
              <w:left w:val="nil"/>
              <w:bottom w:val="nil"/>
              <w:right w:val="nil"/>
            </w:tcBorders>
            <w:shd w:val="clear" w:color="auto" w:fill="auto"/>
            <w:noWrap/>
            <w:vAlign w:val="bottom"/>
            <w:hideMark/>
          </w:tcPr>
          <w:p w14:paraId="5DE35E8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6AE5AA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7274D770" w14:textId="77777777" w:rsidTr="00F56356">
        <w:trPr>
          <w:trHeight w:val="480"/>
        </w:trPr>
        <w:tc>
          <w:tcPr>
            <w:tcW w:w="340" w:type="dxa"/>
            <w:tcBorders>
              <w:top w:val="nil"/>
              <w:left w:val="nil"/>
              <w:bottom w:val="nil"/>
              <w:right w:val="nil"/>
            </w:tcBorders>
            <w:shd w:val="clear" w:color="auto" w:fill="auto"/>
            <w:noWrap/>
            <w:vAlign w:val="bottom"/>
            <w:hideMark/>
          </w:tcPr>
          <w:p w14:paraId="2357041D"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587B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39E49725" w14:textId="77777777" w:rsidTr="00F56356">
        <w:trPr>
          <w:trHeight w:val="705"/>
        </w:trPr>
        <w:tc>
          <w:tcPr>
            <w:tcW w:w="340" w:type="dxa"/>
            <w:tcBorders>
              <w:top w:val="nil"/>
              <w:left w:val="nil"/>
              <w:bottom w:val="nil"/>
              <w:right w:val="nil"/>
            </w:tcBorders>
            <w:shd w:val="clear" w:color="auto" w:fill="auto"/>
            <w:noWrap/>
            <w:vAlign w:val="center"/>
            <w:hideMark/>
          </w:tcPr>
          <w:p w14:paraId="0779E0F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9B8588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029AD2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Capacità di soddisfare le richieste degli utenti relative all’assolvimento degli obblighi informativi delle PA attraverso il sistema </w:t>
            </w:r>
            <w:proofErr w:type="spellStart"/>
            <w:r w:rsidRPr="00F56356">
              <w:rPr>
                <w:rFonts w:ascii="Times New Roman" w:eastAsia="Times New Roman" w:hAnsi="Times New Roman" w:cs="Times New Roman"/>
                <w:color w:val="000000"/>
                <w:sz w:val="20"/>
                <w:szCs w:val="20"/>
                <w:lang w:eastAsia="it-IT"/>
              </w:rPr>
              <w:t>PerlaPA</w:t>
            </w:r>
            <w:proofErr w:type="spellEnd"/>
          </w:p>
        </w:tc>
      </w:tr>
      <w:tr w:rsidR="00F56356" w:rsidRPr="00F56356" w14:paraId="1ADFE31C" w14:textId="77777777" w:rsidTr="00F56356">
        <w:trPr>
          <w:trHeight w:val="593"/>
        </w:trPr>
        <w:tc>
          <w:tcPr>
            <w:tcW w:w="340" w:type="dxa"/>
            <w:tcBorders>
              <w:top w:val="nil"/>
              <w:left w:val="nil"/>
              <w:bottom w:val="nil"/>
              <w:right w:val="nil"/>
            </w:tcBorders>
            <w:shd w:val="clear" w:color="auto" w:fill="auto"/>
            <w:noWrap/>
            <w:vAlign w:val="center"/>
            <w:hideMark/>
          </w:tcPr>
          <w:p w14:paraId="1187487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F32DB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52E437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Portale </w:t>
            </w:r>
            <w:proofErr w:type="spellStart"/>
            <w:r w:rsidRPr="00F56356">
              <w:rPr>
                <w:rFonts w:ascii="Times New Roman" w:eastAsia="Times New Roman" w:hAnsi="Times New Roman" w:cs="Times New Roman"/>
                <w:color w:val="000000"/>
                <w:sz w:val="20"/>
                <w:szCs w:val="20"/>
                <w:lang w:eastAsia="it-IT"/>
              </w:rPr>
              <w:t>PerlaPA</w:t>
            </w:r>
            <w:proofErr w:type="spellEnd"/>
          </w:p>
        </w:tc>
      </w:tr>
      <w:tr w:rsidR="00F56356" w:rsidRPr="00F56356" w14:paraId="31044FEE" w14:textId="77777777" w:rsidTr="00F56356">
        <w:trPr>
          <w:trHeight w:val="1268"/>
        </w:trPr>
        <w:tc>
          <w:tcPr>
            <w:tcW w:w="340" w:type="dxa"/>
            <w:tcBorders>
              <w:top w:val="nil"/>
              <w:left w:val="nil"/>
              <w:bottom w:val="nil"/>
              <w:right w:val="nil"/>
            </w:tcBorders>
            <w:shd w:val="clear" w:color="auto" w:fill="auto"/>
            <w:noWrap/>
            <w:vAlign w:val="center"/>
            <w:hideMark/>
          </w:tcPr>
          <w:p w14:paraId="1A1874B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741D47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380A01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Rapporto tra il numero di segnalazioni utente soddisfatte e il numero di segnalazioni utente pervenute  </w:t>
            </w:r>
          </w:p>
        </w:tc>
        <w:tc>
          <w:tcPr>
            <w:tcW w:w="1180" w:type="dxa"/>
            <w:tcBorders>
              <w:top w:val="nil"/>
              <w:left w:val="nil"/>
              <w:bottom w:val="single" w:sz="4" w:space="0" w:color="auto"/>
              <w:right w:val="nil"/>
            </w:tcBorders>
            <w:shd w:val="clear" w:color="auto" w:fill="auto"/>
            <w:vAlign w:val="center"/>
            <w:hideMark/>
          </w:tcPr>
          <w:p w14:paraId="288B4BE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02ECC9B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04678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87A6972" w14:textId="77777777" w:rsidTr="00F56356">
        <w:trPr>
          <w:trHeight w:val="426"/>
        </w:trPr>
        <w:tc>
          <w:tcPr>
            <w:tcW w:w="340" w:type="dxa"/>
            <w:tcBorders>
              <w:top w:val="nil"/>
              <w:left w:val="nil"/>
              <w:bottom w:val="nil"/>
              <w:right w:val="nil"/>
            </w:tcBorders>
            <w:shd w:val="clear" w:color="auto" w:fill="auto"/>
            <w:noWrap/>
            <w:vAlign w:val="bottom"/>
            <w:hideMark/>
          </w:tcPr>
          <w:p w14:paraId="0D7B3C8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BCE8D9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4E1AC5A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741E664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90</w:t>
            </w:r>
          </w:p>
        </w:tc>
        <w:tc>
          <w:tcPr>
            <w:tcW w:w="1340" w:type="dxa"/>
            <w:tcBorders>
              <w:top w:val="nil"/>
              <w:left w:val="nil"/>
              <w:bottom w:val="single" w:sz="4" w:space="0" w:color="auto"/>
              <w:right w:val="nil"/>
            </w:tcBorders>
            <w:shd w:val="clear" w:color="auto" w:fill="auto"/>
            <w:vAlign w:val="center"/>
            <w:hideMark/>
          </w:tcPr>
          <w:p w14:paraId="4D47536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97,61</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456FED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7,61</w:t>
            </w:r>
          </w:p>
        </w:tc>
      </w:tr>
    </w:tbl>
    <w:p w14:paraId="6B2C2C3A" w14:textId="149502AD" w:rsid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339452C2" w14:textId="77777777" w:rsidR="00410C3C" w:rsidRPr="00F56356" w:rsidRDefault="00410C3C"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18A9A9E7"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tbl>
      <w:tblPr>
        <w:tblW w:w="9560" w:type="dxa"/>
        <w:tblCellMar>
          <w:left w:w="70" w:type="dxa"/>
          <w:right w:w="70" w:type="dxa"/>
        </w:tblCellMar>
        <w:tblLook w:val="04A0" w:firstRow="1" w:lastRow="0" w:firstColumn="1" w:lastColumn="0" w:noHBand="0" w:noVBand="1"/>
      </w:tblPr>
      <w:tblGrid>
        <w:gridCol w:w="340"/>
        <w:gridCol w:w="1900"/>
        <w:gridCol w:w="540"/>
        <w:gridCol w:w="1360"/>
        <w:gridCol w:w="1300"/>
        <w:gridCol w:w="1360"/>
        <w:gridCol w:w="1340"/>
        <w:gridCol w:w="1420"/>
      </w:tblGrid>
      <w:tr w:rsidR="00F56356" w:rsidRPr="00F56356" w14:paraId="41B108A0" w14:textId="77777777" w:rsidTr="00F56356">
        <w:trPr>
          <w:trHeight w:val="390"/>
        </w:trPr>
        <w:tc>
          <w:tcPr>
            <w:tcW w:w="340" w:type="dxa"/>
            <w:tcBorders>
              <w:top w:val="nil"/>
              <w:left w:val="nil"/>
              <w:bottom w:val="nil"/>
              <w:right w:val="nil"/>
            </w:tcBorders>
            <w:shd w:val="clear" w:color="auto" w:fill="auto"/>
            <w:noWrap/>
            <w:vAlign w:val="bottom"/>
            <w:hideMark/>
          </w:tcPr>
          <w:p w14:paraId="3FE7CE1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2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D9697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bookmarkStart w:id="46" w:name="RANGE!B1:H22"/>
            <w:r w:rsidRPr="00F56356">
              <w:rPr>
                <w:rFonts w:ascii="Times New Roman" w:eastAsia="Times New Roman" w:hAnsi="Times New Roman" w:cs="Times New Roman"/>
                <w:b/>
                <w:bCs/>
                <w:i/>
                <w:iCs/>
                <w:color w:val="000000"/>
                <w:sz w:val="28"/>
                <w:szCs w:val="28"/>
                <w:lang w:eastAsia="it-IT"/>
              </w:rPr>
              <w:t>SCHEDA OBIETTIVO</w:t>
            </w:r>
            <w:bookmarkEnd w:id="46"/>
          </w:p>
        </w:tc>
      </w:tr>
      <w:tr w:rsidR="00F56356" w:rsidRPr="00F56356" w14:paraId="59BC18EB" w14:textId="77777777" w:rsidTr="00F56356">
        <w:trPr>
          <w:trHeight w:val="405"/>
        </w:trPr>
        <w:tc>
          <w:tcPr>
            <w:tcW w:w="340" w:type="dxa"/>
            <w:tcBorders>
              <w:top w:val="nil"/>
              <w:left w:val="nil"/>
              <w:bottom w:val="nil"/>
              <w:right w:val="nil"/>
            </w:tcBorders>
            <w:shd w:val="clear" w:color="auto" w:fill="auto"/>
            <w:noWrap/>
            <w:vAlign w:val="center"/>
            <w:hideMark/>
          </w:tcPr>
          <w:p w14:paraId="3FA4B3A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C8CB2C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3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CB292F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32 - Servizi istituzionali e generali delle amministrazioni pubbliche</w:t>
            </w:r>
          </w:p>
        </w:tc>
      </w:tr>
      <w:tr w:rsidR="00F56356" w:rsidRPr="00F56356" w14:paraId="6728D733" w14:textId="77777777" w:rsidTr="00F56356">
        <w:trPr>
          <w:trHeight w:val="660"/>
        </w:trPr>
        <w:tc>
          <w:tcPr>
            <w:tcW w:w="340" w:type="dxa"/>
            <w:tcBorders>
              <w:top w:val="nil"/>
              <w:left w:val="nil"/>
              <w:bottom w:val="nil"/>
              <w:right w:val="nil"/>
            </w:tcBorders>
            <w:shd w:val="clear" w:color="auto" w:fill="auto"/>
            <w:noWrap/>
            <w:vAlign w:val="center"/>
            <w:hideMark/>
          </w:tcPr>
          <w:p w14:paraId="2014C26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57725A0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320" w:type="dxa"/>
            <w:gridSpan w:val="6"/>
            <w:tcBorders>
              <w:top w:val="single" w:sz="4" w:space="0" w:color="auto"/>
              <w:left w:val="nil"/>
              <w:bottom w:val="single" w:sz="4" w:space="0" w:color="auto"/>
              <w:right w:val="single" w:sz="4" w:space="0" w:color="000000"/>
            </w:tcBorders>
            <w:shd w:val="clear" w:color="auto" w:fill="auto"/>
            <w:vAlign w:val="center"/>
            <w:hideMark/>
          </w:tcPr>
          <w:p w14:paraId="58F5C23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32.4 - Servizi generali delle strutture pubbliche preposte ad attività formative e ad altre attività trasversali per le pubbliche amministrazioni</w:t>
            </w:r>
          </w:p>
        </w:tc>
      </w:tr>
      <w:tr w:rsidR="00F56356" w:rsidRPr="00F56356" w14:paraId="7829E0D4" w14:textId="77777777" w:rsidTr="00F56356">
        <w:trPr>
          <w:trHeight w:val="540"/>
        </w:trPr>
        <w:tc>
          <w:tcPr>
            <w:tcW w:w="340" w:type="dxa"/>
            <w:tcBorders>
              <w:top w:val="nil"/>
              <w:left w:val="nil"/>
              <w:bottom w:val="nil"/>
              <w:right w:val="nil"/>
            </w:tcBorders>
            <w:shd w:val="clear" w:color="auto" w:fill="auto"/>
            <w:noWrap/>
            <w:vAlign w:val="center"/>
            <w:hideMark/>
          </w:tcPr>
          <w:p w14:paraId="24D4BF3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14:paraId="10B81B8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3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204407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6 - Funzione pubblica</w:t>
            </w:r>
          </w:p>
        </w:tc>
      </w:tr>
      <w:tr w:rsidR="00F56356" w:rsidRPr="00F56356" w14:paraId="765B287A" w14:textId="77777777" w:rsidTr="00F56356">
        <w:trPr>
          <w:trHeight w:val="660"/>
        </w:trPr>
        <w:tc>
          <w:tcPr>
            <w:tcW w:w="340" w:type="dxa"/>
            <w:tcBorders>
              <w:top w:val="nil"/>
              <w:left w:val="nil"/>
              <w:bottom w:val="nil"/>
              <w:right w:val="nil"/>
            </w:tcBorders>
            <w:shd w:val="clear" w:color="auto" w:fill="auto"/>
            <w:noWrap/>
            <w:vAlign w:val="center"/>
            <w:hideMark/>
          </w:tcPr>
          <w:p w14:paraId="79A32FC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14:paraId="046D0BD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320" w:type="dxa"/>
            <w:gridSpan w:val="6"/>
            <w:tcBorders>
              <w:top w:val="single" w:sz="4" w:space="0" w:color="auto"/>
              <w:left w:val="nil"/>
              <w:bottom w:val="single" w:sz="4" w:space="0" w:color="auto"/>
              <w:right w:val="single" w:sz="4" w:space="0" w:color="000000"/>
            </w:tcBorders>
            <w:shd w:val="clear" w:color="auto" w:fill="auto"/>
            <w:vAlign w:val="center"/>
            <w:hideMark/>
          </w:tcPr>
          <w:p w14:paraId="666CC8A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Migliorare l’efficienza del processo relativo ai trasferimenti al FORMEZ, alla SNA e all’ARAN </w:t>
            </w:r>
          </w:p>
        </w:tc>
      </w:tr>
      <w:tr w:rsidR="00F56356" w:rsidRPr="00F56356" w14:paraId="64149D86" w14:textId="77777777" w:rsidTr="00F56356">
        <w:trPr>
          <w:trHeight w:val="945"/>
        </w:trPr>
        <w:tc>
          <w:tcPr>
            <w:tcW w:w="340" w:type="dxa"/>
            <w:tcBorders>
              <w:top w:val="nil"/>
              <w:left w:val="nil"/>
              <w:bottom w:val="nil"/>
              <w:right w:val="nil"/>
            </w:tcBorders>
            <w:shd w:val="clear" w:color="auto" w:fill="auto"/>
            <w:noWrap/>
            <w:vAlign w:val="center"/>
            <w:hideMark/>
          </w:tcPr>
          <w:p w14:paraId="222CC0C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9ECD19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320" w:type="dxa"/>
            <w:gridSpan w:val="6"/>
            <w:tcBorders>
              <w:top w:val="single" w:sz="4" w:space="0" w:color="auto"/>
              <w:left w:val="nil"/>
              <w:bottom w:val="single" w:sz="4" w:space="0" w:color="auto"/>
              <w:right w:val="single" w:sz="4" w:space="0" w:color="000000"/>
            </w:tcBorders>
            <w:shd w:val="clear" w:color="auto" w:fill="auto"/>
            <w:vAlign w:val="center"/>
            <w:hideMark/>
          </w:tcPr>
          <w:p w14:paraId="7D3136E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Per migliorare l’efficienza del processo relativo ai trasferimenti definiti dalla legge di stabilità a favore del FORMEZ (</w:t>
            </w:r>
            <w:proofErr w:type="spellStart"/>
            <w:r w:rsidRPr="00F56356">
              <w:rPr>
                <w:rFonts w:ascii="Times New Roman" w:eastAsia="Times New Roman" w:hAnsi="Times New Roman" w:cs="Times New Roman"/>
                <w:color w:val="000000"/>
                <w:sz w:val="20"/>
                <w:szCs w:val="20"/>
                <w:lang w:eastAsia="it-IT"/>
              </w:rPr>
              <w:t>cap</w:t>
            </w:r>
            <w:proofErr w:type="spellEnd"/>
            <w:r w:rsidRPr="00F56356">
              <w:rPr>
                <w:rFonts w:ascii="Times New Roman" w:eastAsia="Times New Roman" w:hAnsi="Times New Roman" w:cs="Times New Roman"/>
                <w:color w:val="000000"/>
                <w:sz w:val="20"/>
                <w:szCs w:val="20"/>
                <w:lang w:eastAsia="it-IT"/>
              </w:rPr>
              <w:t xml:space="preserve"> 413), della SNA (</w:t>
            </w:r>
            <w:proofErr w:type="spellStart"/>
            <w:r w:rsidRPr="00F56356">
              <w:rPr>
                <w:rFonts w:ascii="Times New Roman" w:eastAsia="Times New Roman" w:hAnsi="Times New Roman" w:cs="Times New Roman"/>
                <w:color w:val="000000"/>
                <w:sz w:val="20"/>
                <w:szCs w:val="20"/>
                <w:lang w:eastAsia="it-IT"/>
              </w:rPr>
              <w:t>cap</w:t>
            </w:r>
            <w:proofErr w:type="spellEnd"/>
            <w:r w:rsidRPr="00F56356">
              <w:rPr>
                <w:rFonts w:ascii="Times New Roman" w:eastAsia="Times New Roman" w:hAnsi="Times New Roman" w:cs="Times New Roman"/>
                <w:color w:val="000000"/>
                <w:sz w:val="20"/>
                <w:szCs w:val="20"/>
                <w:lang w:eastAsia="it-IT"/>
              </w:rPr>
              <w:t xml:space="preserve"> 418) e dell’ARAN (cap. 419), prevedere un termine massimo per l’adozione dei mandati di pagamento </w:t>
            </w:r>
          </w:p>
        </w:tc>
      </w:tr>
      <w:tr w:rsidR="00F56356" w:rsidRPr="00F56356" w14:paraId="207BD8E8" w14:textId="77777777" w:rsidTr="00F56356">
        <w:trPr>
          <w:trHeight w:val="540"/>
        </w:trPr>
        <w:tc>
          <w:tcPr>
            <w:tcW w:w="340" w:type="dxa"/>
            <w:tcBorders>
              <w:top w:val="nil"/>
              <w:left w:val="nil"/>
              <w:bottom w:val="nil"/>
              <w:right w:val="nil"/>
            </w:tcBorders>
            <w:shd w:val="clear" w:color="auto" w:fill="auto"/>
            <w:noWrap/>
            <w:vAlign w:val="center"/>
            <w:hideMark/>
          </w:tcPr>
          <w:p w14:paraId="05EC1AE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14:paraId="4DD03DF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320" w:type="dxa"/>
            <w:gridSpan w:val="6"/>
            <w:tcBorders>
              <w:top w:val="single" w:sz="4" w:space="0" w:color="auto"/>
              <w:left w:val="nil"/>
              <w:bottom w:val="single" w:sz="4" w:space="0" w:color="auto"/>
              <w:right w:val="single" w:sz="4" w:space="0" w:color="000000"/>
            </w:tcBorders>
            <w:shd w:val="clear" w:color="auto" w:fill="auto"/>
            <w:vAlign w:val="center"/>
            <w:hideMark/>
          </w:tcPr>
          <w:p w14:paraId="48E551B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C145A06" w14:textId="77777777" w:rsidTr="00F56356">
        <w:trPr>
          <w:trHeight w:val="375"/>
        </w:trPr>
        <w:tc>
          <w:tcPr>
            <w:tcW w:w="340" w:type="dxa"/>
            <w:tcBorders>
              <w:top w:val="nil"/>
              <w:left w:val="nil"/>
              <w:bottom w:val="nil"/>
              <w:right w:val="nil"/>
            </w:tcBorders>
            <w:shd w:val="clear" w:color="auto" w:fill="auto"/>
            <w:noWrap/>
            <w:vAlign w:val="center"/>
            <w:hideMark/>
          </w:tcPr>
          <w:p w14:paraId="4A3CFB7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208722F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320" w:type="dxa"/>
            <w:gridSpan w:val="6"/>
            <w:tcBorders>
              <w:top w:val="single" w:sz="4" w:space="0" w:color="auto"/>
              <w:left w:val="nil"/>
              <w:bottom w:val="single" w:sz="4" w:space="0" w:color="auto"/>
              <w:right w:val="single" w:sz="4" w:space="0" w:color="000000"/>
            </w:tcBorders>
            <w:shd w:val="clear" w:color="auto" w:fill="auto"/>
            <w:vAlign w:val="center"/>
            <w:hideMark/>
          </w:tcPr>
          <w:p w14:paraId="7B558D2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70130A4" w14:textId="77777777" w:rsidTr="00F56356">
        <w:trPr>
          <w:trHeight w:val="525"/>
        </w:trPr>
        <w:tc>
          <w:tcPr>
            <w:tcW w:w="340" w:type="dxa"/>
            <w:tcBorders>
              <w:top w:val="nil"/>
              <w:left w:val="nil"/>
              <w:bottom w:val="nil"/>
              <w:right w:val="nil"/>
            </w:tcBorders>
            <w:shd w:val="clear" w:color="auto" w:fill="auto"/>
            <w:noWrap/>
            <w:vAlign w:val="bottom"/>
            <w:hideMark/>
          </w:tcPr>
          <w:p w14:paraId="53CE57A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1900" w:type="dxa"/>
            <w:vMerge w:val="restart"/>
            <w:tcBorders>
              <w:top w:val="nil"/>
              <w:left w:val="single" w:sz="4" w:space="0" w:color="auto"/>
              <w:bottom w:val="single" w:sz="4" w:space="0" w:color="000000"/>
              <w:right w:val="single" w:sz="4" w:space="0" w:color="auto"/>
            </w:tcBorders>
            <w:shd w:val="clear" w:color="auto" w:fill="auto"/>
            <w:vAlign w:val="center"/>
            <w:hideMark/>
          </w:tcPr>
          <w:p w14:paraId="2E05290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tcBorders>
              <w:top w:val="nil"/>
              <w:left w:val="nil"/>
              <w:bottom w:val="nil"/>
              <w:right w:val="single" w:sz="4" w:space="0" w:color="auto"/>
            </w:tcBorders>
            <w:shd w:val="clear" w:color="auto" w:fill="auto"/>
            <w:vAlign w:val="center"/>
            <w:hideMark/>
          </w:tcPr>
          <w:p w14:paraId="17032A4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26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F7A165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1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9B745E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3CC9CBA" w14:textId="77777777" w:rsidTr="00F56356">
        <w:trPr>
          <w:trHeight w:val="1305"/>
        </w:trPr>
        <w:tc>
          <w:tcPr>
            <w:tcW w:w="340" w:type="dxa"/>
            <w:tcBorders>
              <w:top w:val="nil"/>
              <w:left w:val="nil"/>
              <w:bottom w:val="nil"/>
              <w:right w:val="nil"/>
            </w:tcBorders>
            <w:shd w:val="clear" w:color="auto" w:fill="auto"/>
            <w:noWrap/>
            <w:vAlign w:val="bottom"/>
            <w:hideMark/>
          </w:tcPr>
          <w:p w14:paraId="13B3E43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1900" w:type="dxa"/>
            <w:vMerge/>
            <w:tcBorders>
              <w:top w:val="nil"/>
              <w:left w:val="single" w:sz="4" w:space="0" w:color="auto"/>
              <w:bottom w:val="single" w:sz="4" w:space="0" w:color="000000"/>
              <w:right w:val="single" w:sz="4" w:space="0" w:color="auto"/>
            </w:tcBorders>
            <w:vAlign w:val="center"/>
            <w:hideMark/>
          </w:tcPr>
          <w:p w14:paraId="7747B7C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nil"/>
              <w:right w:val="single" w:sz="4" w:space="0" w:color="auto"/>
            </w:tcBorders>
            <w:shd w:val="clear" w:color="auto" w:fill="auto"/>
            <w:vAlign w:val="center"/>
            <w:hideMark/>
          </w:tcPr>
          <w:p w14:paraId="156208F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1360" w:type="dxa"/>
            <w:tcBorders>
              <w:top w:val="nil"/>
              <w:left w:val="nil"/>
              <w:bottom w:val="single" w:sz="4" w:space="0" w:color="auto"/>
              <w:right w:val="single" w:sz="4" w:space="0" w:color="auto"/>
            </w:tcBorders>
            <w:shd w:val="clear" w:color="auto" w:fill="auto"/>
            <w:vAlign w:val="center"/>
            <w:hideMark/>
          </w:tcPr>
          <w:p w14:paraId="6CFDA92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00" w:type="dxa"/>
            <w:tcBorders>
              <w:top w:val="nil"/>
              <w:left w:val="nil"/>
              <w:bottom w:val="single" w:sz="4" w:space="0" w:color="auto"/>
              <w:right w:val="single" w:sz="4" w:space="0" w:color="auto"/>
            </w:tcBorders>
            <w:shd w:val="clear" w:color="auto" w:fill="auto"/>
            <w:vAlign w:val="center"/>
            <w:hideMark/>
          </w:tcPr>
          <w:p w14:paraId="5A4EAEA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360" w:type="dxa"/>
            <w:tcBorders>
              <w:top w:val="nil"/>
              <w:left w:val="nil"/>
              <w:bottom w:val="single" w:sz="4" w:space="0" w:color="auto"/>
              <w:right w:val="single" w:sz="4" w:space="0" w:color="auto"/>
            </w:tcBorders>
            <w:shd w:val="clear" w:color="auto" w:fill="auto"/>
            <w:vAlign w:val="center"/>
            <w:hideMark/>
          </w:tcPr>
          <w:p w14:paraId="178E4DB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947A57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20" w:type="dxa"/>
            <w:tcBorders>
              <w:top w:val="nil"/>
              <w:left w:val="nil"/>
              <w:bottom w:val="single" w:sz="4" w:space="0" w:color="auto"/>
              <w:right w:val="single" w:sz="4" w:space="0" w:color="auto"/>
            </w:tcBorders>
            <w:shd w:val="clear" w:color="auto" w:fill="auto"/>
            <w:vAlign w:val="center"/>
            <w:hideMark/>
          </w:tcPr>
          <w:p w14:paraId="5CA4A7F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25C63A2" w14:textId="77777777" w:rsidTr="00F56356">
        <w:trPr>
          <w:trHeight w:val="720"/>
        </w:trPr>
        <w:tc>
          <w:tcPr>
            <w:tcW w:w="340" w:type="dxa"/>
            <w:tcBorders>
              <w:top w:val="nil"/>
              <w:left w:val="nil"/>
              <w:bottom w:val="nil"/>
              <w:right w:val="nil"/>
            </w:tcBorders>
            <w:shd w:val="clear" w:color="auto" w:fill="auto"/>
            <w:noWrap/>
            <w:vAlign w:val="bottom"/>
            <w:hideMark/>
          </w:tcPr>
          <w:p w14:paraId="4BA557E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1900" w:type="dxa"/>
            <w:vMerge/>
            <w:tcBorders>
              <w:top w:val="nil"/>
              <w:left w:val="single" w:sz="4" w:space="0" w:color="auto"/>
              <w:bottom w:val="single" w:sz="4" w:space="0" w:color="000000"/>
              <w:right w:val="single" w:sz="4" w:space="0" w:color="auto"/>
            </w:tcBorders>
            <w:vAlign w:val="center"/>
            <w:hideMark/>
          </w:tcPr>
          <w:p w14:paraId="212AD61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3643D0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413</w:t>
            </w:r>
          </w:p>
        </w:tc>
        <w:tc>
          <w:tcPr>
            <w:tcW w:w="1360" w:type="dxa"/>
            <w:tcBorders>
              <w:top w:val="nil"/>
              <w:left w:val="nil"/>
              <w:bottom w:val="single" w:sz="4" w:space="0" w:color="auto"/>
              <w:right w:val="single" w:sz="4" w:space="0" w:color="auto"/>
            </w:tcBorders>
            <w:shd w:val="clear" w:color="auto" w:fill="auto"/>
            <w:vAlign w:val="center"/>
            <w:hideMark/>
          </w:tcPr>
          <w:p w14:paraId="3784DA2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17.400.611,00   </w:t>
            </w:r>
          </w:p>
        </w:tc>
        <w:tc>
          <w:tcPr>
            <w:tcW w:w="1300" w:type="dxa"/>
            <w:tcBorders>
              <w:top w:val="nil"/>
              <w:left w:val="nil"/>
              <w:bottom w:val="single" w:sz="4" w:space="0" w:color="auto"/>
              <w:right w:val="single" w:sz="4" w:space="0" w:color="auto"/>
            </w:tcBorders>
            <w:shd w:val="clear" w:color="auto" w:fill="auto"/>
            <w:vAlign w:val="center"/>
            <w:hideMark/>
          </w:tcPr>
          <w:p w14:paraId="7EB1E9F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17.400.611,00   </w:t>
            </w:r>
          </w:p>
        </w:tc>
        <w:tc>
          <w:tcPr>
            <w:tcW w:w="1360" w:type="dxa"/>
            <w:tcBorders>
              <w:top w:val="nil"/>
              <w:left w:val="nil"/>
              <w:bottom w:val="single" w:sz="4" w:space="0" w:color="auto"/>
              <w:right w:val="single" w:sz="4" w:space="0" w:color="auto"/>
            </w:tcBorders>
            <w:shd w:val="clear" w:color="auto" w:fill="auto"/>
            <w:vAlign w:val="center"/>
            <w:hideMark/>
          </w:tcPr>
          <w:p w14:paraId="0A6AE80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17.400.611,00   </w:t>
            </w:r>
          </w:p>
        </w:tc>
        <w:tc>
          <w:tcPr>
            <w:tcW w:w="1340" w:type="dxa"/>
            <w:tcBorders>
              <w:top w:val="nil"/>
              <w:left w:val="nil"/>
              <w:bottom w:val="single" w:sz="4" w:space="0" w:color="auto"/>
              <w:right w:val="single" w:sz="4" w:space="0" w:color="auto"/>
            </w:tcBorders>
            <w:shd w:val="clear" w:color="auto" w:fill="auto"/>
            <w:noWrap/>
            <w:vAlign w:val="center"/>
            <w:hideMark/>
          </w:tcPr>
          <w:p w14:paraId="425523D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420" w:type="dxa"/>
            <w:tcBorders>
              <w:top w:val="nil"/>
              <w:left w:val="nil"/>
              <w:bottom w:val="single" w:sz="4" w:space="0" w:color="auto"/>
              <w:right w:val="single" w:sz="4" w:space="0" w:color="auto"/>
            </w:tcBorders>
            <w:shd w:val="clear" w:color="auto" w:fill="auto"/>
            <w:vAlign w:val="center"/>
            <w:hideMark/>
          </w:tcPr>
          <w:p w14:paraId="574D0F9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17.400.611,00   </w:t>
            </w:r>
          </w:p>
        </w:tc>
      </w:tr>
      <w:tr w:rsidR="00F56356" w:rsidRPr="00F56356" w14:paraId="4A0D97A6" w14:textId="77777777" w:rsidTr="00F56356">
        <w:trPr>
          <w:trHeight w:val="720"/>
        </w:trPr>
        <w:tc>
          <w:tcPr>
            <w:tcW w:w="340" w:type="dxa"/>
            <w:tcBorders>
              <w:top w:val="nil"/>
              <w:left w:val="nil"/>
              <w:bottom w:val="nil"/>
              <w:right w:val="nil"/>
            </w:tcBorders>
            <w:shd w:val="clear" w:color="auto" w:fill="auto"/>
            <w:noWrap/>
            <w:vAlign w:val="bottom"/>
            <w:hideMark/>
          </w:tcPr>
          <w:p w14:paraId="6D670BC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1900" w:type="dxa"/>
            <w:vMerge/>
            <w:tcBorders>
              <w:top w:val="nil"/>
              <w:left w:val="single" w:sz="4" w:space="0" w:color="auto"/>
              <w:bottom w:val="single" w:sz="4" w:space="0" w:color="000000"/>
              <w:right w:val="single" w:sz="4" w:space="0" w:color="auto"/>
            </w:tcBorders>
            <w:vAlign w:val="center"/>
            <w:hideMark/>
          </w:tcPr>
          <w:p w14:paraId="253BA78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single" w:sz="4" w:space="0" w:color="auto"/>
              <w:right w:val="single" w:sz="4" w:space="0" w:color="auto"/>
            </w:tcBorders>
            <w:shd w:val="clear" w:color="auto" w:fill="auto"/>
            <w:vAlign w:val="center"/>
            <w:hideMark/>
          </w:tcPr>
          <w:p w14:paraId="7C970F4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418</w:t>
            </w:r>
          </w:p>
        </w:tc>
        <w:tc>
          <w:tcPr>
            <w:tcW w:w="1360" w:type="dxa"/>
            <w:tcBorders>
              <w:top w:val="nil"/>
              <w:left w:val="nil"/>
              <w:bottom w:val="single" w:sz="4" w:space="0" w:color="auto"/>
              <w:right w:val="single" w:sz="4" w:space="0" w:color="auto"/>
            </w:tcBorders>
            <w:shd w:val="clear" w:color="auto" w:fill="auto"/>
            <w:vAlign w:val="center"/>
            <w:hideMark/>
          </w:tcPr>
          <w:p w14:paraId="4A3309B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13.639.282,00   </w:t>
            </w:r>
          </w:p>
        </w:tc>
        <w:tc>
          <w:tcPr>
            <w:tcW w:w="1300" w:type="dxa"/>
            <w:tcBorders>
              <w:top w:val="nil"/>
              <w:left w:val="nil"/>
              <w:bottom w:val="single" w:sz="4" w:space="0" w:color="auto"/>
              <w:right w:val="single" w:sz="4" w:space="0" w:color="auto"/>
            </w:tcBorders>
            <w:shd w:val="clear" w:color="auto" w:fill="auto"/>
            <w:vAlign w:val="center"/>
            <w:hideMark/>
          </w:tcPr>
          <w:p w14:paraId="2307839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13.696.268,27   </w:t>
            </w:r>
          </w:p>
        </w:tc>
        <w:tc>
          <w:tcPr>
            <w:tcW w:w="1360" w:type="dxa"/>
            <w:tcBorders>
              <w:top w:val="nil"/>
              <w:left w:val="nil"/>
              <w:bottom w:val="single" w:sz="4" w:space="0" w:color="auto"/>
              <w:right w:val="single" w:sz="4" w:space="0" w:color="auto"/>
            </w:tcBorders>
            <w:shd w:val="clear" w:color="auto" w:fill="auto"/>
            <w:vAlign w:val="center"/>
            <w:hideMark/>
          </w:tcPr>
          <w:p w14:paraId="724F61A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13.639.282,00   </w:t>
            </w:r>
          </w:p>
        </w:tc>
        <w:tc>
          <w:tcPr>
            <w:tcW w:w="1340" w:type="dxa"/>
            <w:tcBorders>
              <w:top w:val="nil"/>
              <w:left w:val="nil"/>
              <w:bottom w:val="single" w:sz="4" w:space="0" w:color="auto"/>
              <w:right w:val="single" w:sz="4" w:space="0" w:color="auto"/>
            </w:tcBorders>
            <w:shd w:val="clear" w:color="auto" w:fill="auto"/>
            <w:noWrap/>
            <w:vAlign w:val="center"/>
            <w:hideMark/>
          </w:tcPr>
          <w:p w14:paraId="6A637B1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56.986,27</w:t>
            </w:r>
          </w:p>
        </w:tc>
        <w:tc>
          <w:tcPr>
            <w:tcW w:w="1420" w:type="dxa"/>
            <w:tcBorders>
              <w:top w:val="nil"/>
              <w:left w:val="nil"/>
              <w:bottom w:val="single" w:sz="4" w:space="0" w:color="auto"/>
              <w:right w:val="single" w:sz="4" w:space="0" w:color="auto"/>
            </w:tcBorders>
            <w:shd w:val="clear" w:color="auto" w:fill="auto"/>
            <w:vAlign w:val="center"/>
            <w:hideMark/>
          </w:tcPr>
          <w:p w14:paraId="05773A8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13.696.268,27   </w:t>
            </w:r>
          </w:p>
        </w:tc>
      </w:tr>
      <w:tr w:rsidR="00F56356" w:rsidRPr="00F56356" w14:paraId="1C067865" w14:textId="77777777" w:rsidTr="00F56356">
        <w:trPr>
          <w:trHeight w:val="720"/>
        </w:trPr>
        <w:tc>
          <w:tcPr>
            <w:tcW w:w="340" w:type="dxa"/>
            <w:tcBorders>
              <w:top w:val="nil"/>
              <w:left w:val="nil"/>
              <w:bottom w:val="nil"/>
              <w:right w:val="nil"/>
            </w:tcBorders>
            <w:shd w:val="clear" w:color="auto" w:fill="auto"/>
            <w:noWrap/>
            <w:vAlign w:val="bottom"/>
            <w:hideMark/>
          </w:tcPr>
          <w:p w14:paraId="067F9B2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1900" w:type="dxa"/>
            <w:vMerge/>
            <w:tcBorders>
              <w:top w:val="nil"/>
              <w:left w:val="single" w:sz="4" w:space="0" w:color="auto"/>
              <w:bottom w:val="single" w:sz="4" w:space="0" w:color="000000"/>
              <w:right w:val="single" w:sz="4" w:space="0" w:color="auto"/>
            </w:tcBorders>
            <w:vAlign w:val="center"/>
            <w:hideMark/>
          </w:tcPr>
          <w:p w14:paraId="686F73C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tcBorders>
              <w:top w:val="nil"/>
              <w:left w:val="nil"/>
              <w:bottom w:val="single" w:sz="4" w:space="0" w:color="auto"/>
              <w:right w:val="single" w:sz="4" w:space="0" w:color="auto"/>
            </w:tcBorders>
            <w:shd w:val="clear" w:color="auto" w:fill="auto"/>
            <w:vAlign w:val="center"/>
            <w:hideMark/>
          </w:tcPr>
          <w:p w14:paraId="16B90F2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419</w:t>
            </w:r>
          </w:p>
        </w:tc>
        <w:tc>
          <w:tcPr>
            <w:tcW w:w="1360" w:type="dxa"/>
            <w:tcBorders>
              <w:top w:val="nil"/>
              <w:left w:val="nil"/>
              <w:bottom w:val="single" w:sz="4" w:space="0" w:color="auto"/>
              <w:right w:val="single" w:sz="4" w:space="0" w:color="auto"/>
            </w:tcBorders>
            <w:shd w:val="clear" w:color="auto" w:fill="auto"/>
            <w:noWrap/>
            <w:vAlign w:val="center"/>
            <w:hideMark/>
          </w:tcPr>
          <w:p w14:paraId="54881D8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3.576.486,00</w:t>
            </w:r>
          </w:p>
        </w:tc>
        <w:tc>
          <w:tcPr>
            <w:tcW w:w="1300" w:type="dxa"/>
            <w:tcBorders>
              <w:top w:val="nil"/>
              <w:left w:val="nil"/>
              <w:bottom w:val="single" w:sz="4" w:space="0" w:color="auto"/>
              <w:right w:val="single" w:sz="4" w:space="0" w:color="auto"/>
            </w:tcBorders>
            <w:shd w:val="clear" w:color="auto" w:fill="auto"/>
            <w:noWrap/>
            <w:vAlign w:val="center"/>
            <w:hideMark/>
          </w:tcPr>
          <w:p w14:paraId="04E2426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3.576.486,00</w:t>
            </w:r>
          </w:p>
        </w:tc>
        <w:tc>
          <w:tcPr>
            <w:tcW w:w="1360" w:type="dxa"/>
            <w:tcBorders>
              <w:top w:val="nil"/>
              <w:left w:val="nil"/>
              <w:bottom w:val="single" w:sz="4" w:space="0" w:color="auto"/>
              <w:right w:val="single" w:sz="4" w:space="0" w:color="auto"/>
            </w:tcBorders>
            <w:shd w:val="clear" w:color="auto" w:fill="auto"/>
            <w:noWrap/>
            <w:vAlign w:val="center"/>
            <w:hideMark/>
          </w:tcPr>
          <w:p w14:paraId="771B1CC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3.576.486,00</w:t>
            </w:r>
          </w:p>
        </w:tc>
        <w:tc>
          <w:tcPr>
            <w:tcW w:w="1340" w:type="dxa"/>
            <w:tcBorders>
              <w:top w:val="nil"/>
              <w:left w:val="nil"/>
              <w:bottom w:val="single" w:sz="4" w:space="0" w:color="auto"/>
              <w:right w:val="single" w:sz="4" w:space="0" w:color="auto"/>
            </w:tcBorders>
            <w:shd w:val="clear" w:color="auto" w:fill="auto"/>
            <w:noWrap/>
            <w:vAlign w:val="center"/>
            <w:hideMark/>
          </w:tcPr>
          <w:p w14:paraId="662BB53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35D3DE5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3.576.486,00</w:t>
            </w:r>
          </w:p>
        </w:tc>
      </w:tr>
      <w:tr w:rsidR="00F56356" w:rsidRPr="00F56356" w14:paraId="36DE496D" w14:textId="77777777" w:rsidTr="00F56356">
        <w:trPr>
          <w:trHeight w:val="330"/>
        </w:trPr>
        <w:tc>
          <w:tcPr>
            <w:tcW w:w="340" w:type="dxa"/>
            <w:tcBorders>
              <w:top w:val="nil"/>
              <w:left w:val="nil"/>
              <w:bottom w:val="nil"/>
              <w:right w:val="nil"/>
            </w:tcBorders>
            <w:shd w:val="clear" w:color="auto" w:fill="auto"/>
            <w:noWrap/>
            <w:vAlign w:val="bottom"/>
            <w:hideMark/>
          </w:tcPr>
          <w:p w14:paraId="3F456FA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1900" w:type="dxa"/>
            <w:tcBorders>
              <w:top w:val="nil"/>
              <w:left w:val="single" w:sz="4" w:space="0" w:color="auto"/>
              <w:bottom w:val="nil"/>
              <w:right w:val="nil"/>
            </w:tcBorders>
            <w:shd w:val="clear" w:color="auto" w:fill="auto"/>
            <w:noWrap/>
            <w:vAlign w:val="center"/>
            <w:hideMark/>
          </w:tcPr>
          <w:p w14:paraId="65D9B6B4"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C43117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360" w:type="dxa"/>
            <w:tcBorders>
              <w:top w:val="nil"/>
              <w:left w:val="nil"/>
              <w:bottom w:val="nil"/>
              <w:right w:val="nil"/>
            </w:tcBorders>
            <w:shd w:val="clear" w:color="auto" w:fill="auto"/>
            <w:noWrap/>
            <w:vAlign w:val="bottom"/>
            <w:hideMark/>
          </w:tcPr>
          <w:p w14:paraId="64013E7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00" w:type="dxa"/>
            <w:tcBorders>
              <w:top w:val="nil"/>
              <w:left w:val="nil"/>
              <w:bottom w:val="nil"/>
              <w:right w:val="nil"/>
            </w:tcBorders>
            <w:shd w:val="clear" w:color="auto" w:fill="auto"/>
            <w:noWrap/>
            <w:vAlign w:val="bottom"/>
            <w:hideMark/>
          </w:tcPr>
          <w:p w14:paraId="1EC7603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61C1C0F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113BD8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single" w:sz="4" w:space="0" w:color="auto"/>
            </w:tcBorders>
            <w:shd w:val="clear" w:color="auto" w:fill="auto"/>
            <w:noWrap/>
            <w:vAlign w:val="bottom"/>
            <w:hideMark/>
          </w:tcPr>
          <w:p w14:paraId="4D5AFE6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2039AE8" w14:textId="77777777" w:rsidTr="00F56356">
        <w:trPr>
          <w:trHeight w:val="585"/>
        </w:trPr>
        <w:tc>
          <w:tcPr>
            <w:tcW w:w="340" w:type="dxa"/>
            <w:tcBorders>
              <w:top w:val="nil"/>
              <w:left w:val="nil"/>
              <w:bottom w:val="nil"/>
              <w:right w:val="nil"/>
            </w:tcBorders>
            <w:shd w:val="clear" w:color="auto" w:fill="auto"/>
            <w:noWrap/>
            <w:vAlign w:val="bottom"/>
            <w:hideMark/>
          </w:tcPr>
          <w:p w14:paraId="08B3A12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20" w:type="dxa"/>
            <w:gridSpan w:val="7"/>
            <w:tcBorders>
              <w:top w:val="nil"/>
              <w:left w:val="single" w:sz="4" w:space="0" w:color="auto"/>
              <w:bottom w:val="nil"/>
              <w:right w:val="single" w:sz="4" w:space="0" w:color="000000"/>
            </w:tcBorders>
            <w:shd w:val="clear" w:color="auto" w:fill="auto"/>
            <w:vAlign w:val="center"/>
            <w:hideMark/>
          </w:tcPr>
          <w:p w14:paraId="6E3B3F9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49B5F59B" w14:textId="77777777" w:rsidTr="00F56356">
        <w:trPr>
          <w:trHeight w:val="315"/>
        </w:trPr>
        <w:tc>
          <w:tcPr>
            <w:tcW w:w="340" w:type="dxa"/>
            <w:tcBorders>
              <w:top w:val="nil"/>
              <w:left w:val="nil"/>
              <w:bottom w:val="nil"/>
              <w:right w:val="nil"/>
            </w:tcBorders>
            <w:shd w:val="clear" w:color="auto" w:fill="auto"/>
            <w:noWrap/>
            <w:vAlign w:val="bottom"/>
            <w:hideMark/>
          </w:tcPr>
          <w:p w14:paraId="0F5ABDA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20" w:type="dxa"/>
            <w:gridSpan w:val="7"/>
            <w:tcBorders>
              <w:top w:val="nil"/>
              <w:left w:val="single" w:sz="4" w:space="0" w:color="auto"/>
              <w:bottom w:val="nil"/>
              <w:right w:val="single" w:sz="4" w:space="0" w:color="000000"/>
            </w:tcBorders>
            <w:shd w:val="clear" w:color="auto" w:fill="auto"/>
            <w:vAlign w:val="center"/>
            <w:hideMark/>
          </w:tcPr>
          <w:p w14:paraId="272B786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639BE430" w14:textId="77777777" w:rsidTr="00F56356">
        <w:trPr>
          <w:trHeight w:val="315"/>
        </w:trPr>
        <w:tc>
          <w:tcPr>
            <w:tcW w:w="340" w:type="dxa"/>
            <w:tcBorders>
              <w:top w:val="nil"/>
              <w:left w:val="nil"/>
              <w:bottom w:val="nil"/>
              <w:right w:val="nil"/>
            </w:tcBorders>
            <w:shd w:val="clear" w:color="auto" w:fill="auto"/>
            <w:noWrap/>
            <w:vAlign w:val="bottom"/>
            <w:hideMark/>
          </w:tcPr>
          <w:p w14:paraId="649C296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20" w:type="dxa"/>
            <w:gridSpan w:val="7"/>
            <w:tcBorders>
              <w:top w:val="nil"/>
              <w:left w:val="single" w:sz="4" w:space="0" w:color="auto"/>
              <w:bottom w:val="single" w:sz="4" w:space="0" w:color="auto"/>
              <w:right w:val="single" w:sz="4" w:space="0" w:color="000000"/>
            </w:tcBorders>
            <w:shd w:val="clear" w:color="auto" w:fill="auto"/>
            <w:vAlign w:val="center"/>
            <w:hideMark/>
          </w:tcPr>
          <w:p w14:paraId="55EC418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(4) impegni rimasti da pagare in c/competenza al termine dell’esercizio.</w:t>
            </w:r>
          </w:p>
        </w:tc>
      </w:tr>
      <w:tr w:rsidR="00F56356" w:rsidRPr="00F56356" w14:paraId="03120201" w14:textId="77777777" w:rsidTr="00F56356">
        <w:trPr>
          <w:trHeight w:val="480"/>
        </w:trPr>
        <w:tc>
          <w:tcPr>
            <w:tcW w:w="340" w:type="dxa"/>
            <w:tcBorders>
              <w:top w:val="nil"/>
              <w:left w:val="nil"/>
              <w:bottom w:val="nil"/>
              <w:right w:val="nil"/>
            </w:tcBorders>
            <w:shd w:val="clear" w:color="auto" w:fill="auto"/>
            <w:noWrap/>
            <w:vAlign w:val="bottom"/>
            <w:hideMark/>
          </w:tcPr>
          <w:p w14:paraId="6E8DEC1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7025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1EA3043" w14:textId="77777777" w:rsidTr="00F56356">
        <w:trPr>
          <w:trHeight w:val="390"/>
        </w:trPr>
        <w:tc>
          <w:tcPr>
            <w:tcW w:w="340" w:type="dxa"/>
            <w:tcBorders>
              <w:top w:val="nil"/>
              <w:left w:val="nil"/>
              <w:bottom w:val="nil"/>
              <w:right w:val="nil"/>
            </w:tcBorders>
            <w:shd w:val="clear" w:color="auto" w:fill="auto"/>
            <w:noWrap/>
            <w:vAlign w:val="center"/>
            <w:hideMark/>
          </w:tcPr>
          <w:p w14:paraId="64E3828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07136EA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320" w:type="dxa"/>
            <w:gridSpan w:val="6"/>
            <w:tcBorders>
              <w:top w:val="single" w:sz="4" w:space="0" w:color="auto"/>
              <w:left w:val="nil"/>
              <w:bottom w:val="single" w:sz="4" w:space="0" w:color="auto"/>
              <w:right w:val="single" w:sz="4" w:space="0" w:color="000000"/>
            </w:tcBorders>
            <w:shd w:val="clear" w:color="auto" w:fill="auto"/>
            <w:vAlign w:val="center"/>
            <w:hideMark/>
          </w:tcPr>
          <w:p w14:paraId="0F88E5F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Tempestività dei trasferimenti</w:t>
            </w:r>
          </w:p>
        </w:tc>
      </w:tr>
      <w:tr w:rsidR="00F56356" w:rsidRPr="00F56356" w14:paraId="4D37DA15" w14:textId="77777777" w:rsidTr="00F56356">
        <w:trPr>
          <w:trHeight w:val="390"/>
        </w:trPr>
        <w:tc>
          <w:tcPr>
            <w:tcW w:w="340" w:type="dxa"/>
            <w:tcBorders>
              <w:top w:val="nil"/>
              <w:left w:val="nil"/>
              <w:bottom w:val="nil"/>
              <w:right w:val="nil"/>
            </w:tcBorders>
            <w:shd w:val="clear" w:color="auto" w:fill="auto"/>
            <w:noWrap/>
            <w:vAlign w:val="center"/>
            <w:hideMark/>
          </w:tcPr>
          <w:p w14:paraId="604A286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noWrap/>
            <w:vAlign w:val="center"/>
            <w:hideMark/>
          </w:tcPr>
          <w:p w14:paraId="17FD85E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3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4070AD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Sistema amministrativo contabile; SICOGE </w:t>
            </w:r>
          </w:p>
        </w:tc>
      </w:tr>
      <w:tr w:rsidR="00F56356" w:rsidRPr="00F56356" w14:paraId="66761EDA" w14:textId="77777777" w:rsidTr="00F56356">
        <w:trPr>
          <w:trHeight w:val="1815"/>
        </w:trPr>
        <w:tc>
          <w:tcPr>
            <w:tcW w:w="340" w:type="dxa"/>
            <w:tcBorders>
              <w:top w:val="nil"/>
              <w:left w:val="nil"/>
              <w:bottom w:val="nil"/>
              <w:right w:val="nil"/>
            </w:tcBorders>
            <w:shd w:val="clear" w:color="auto" w:fill="auto"/>
            <w:noWrap/>
            <w:vAlign w:val="center"/>
            <w:hideMark/>
          </w:tcPr>
          <w:p w14:paraId="72B63AC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14:paraId="53F90A3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200" w:type="dxa"/>
            <w:gridSpan w:val="3"/>
            <w:tcBorders>
              <w:top w:val="single" w:sz="4" w:space="0" w:color="auto"/>
              <w:left w:val="nil"/>
              <w:bottom w:val="single" w:sz="4" w:space="0" w:color="auto"/>
              <w:right w:val="single" w:sz="4" w:space="0" w:color="000000"/>
            </w:tcBorders>
            <w:shd w:val="clear" w:color="auto" w:fill="auto"/>
            <w:vAlign w:val="center"/>
            <w:hideMark/>
          </w:tcPr>
          <w:p w14:paraId="140A46B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Rapporto tra n. mandati di pagamento effettuati entro 5 giorni lavorativi dalla ricezione della richiesta dell’ente e totale mandati di pagamento per i quali è pervenuta la richiesta ed è stata positivamente istruita </w:t>
            </w:r>
          </w:p>
        </w:tc>
        <w:tc>
          <w:tcPr>
            <w:tcW w:w="1360" w:type="dxa"/>
            <w:tcBorders>
              <w:top w:val="nil"/>
              <w:left w:val="nil"/>
              <w:bottom w:val="single" w:sz="4" w:space="0" w:color="auto"/>
              <w:right w:val="nil"/>
            </w:tcBorders>
            <w:shd w:val="clear" w:color="auto" w:fill="auto"/>
            <w:vAlign w:val="center"/>
            <w:hideMark/>
          </w:tcPr>
          <w:p w14:paraId="69468BD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526F1F3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C0CE9E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D37512A" w14:textId="77777777" w:rsidTr="00F56356">
        <w:trPr>
          <w:trHeight w:val="540"/>
        </w:trPr>
        <w:tc>
          <w:tcPr>
            <w:tcW w:w="340" w:type="dxa"/>
            <w:tcBorders>
              <w:top w:val="nil"/>
              <w:left w:val="nil"/>
              <w:bottom w:val="nil"/>
              <w:right w:val="nil"/>
            </w:tcBorders>
            <w:shd w:val="clear" w:color="auto" w:fill="auto"/>
            <w:noWrap/>
            <w:vAlign w:val="bottom"/>
            <w:hideMark/>
          </w:tcPr>
          <w:p w14:paraId="5C8A8C8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1900" w:type="dxa"/>
            <w:tcBorders>
              <w:top w:val="nil"/>
              <w:left w:val="single" w:sz="4" w:space="0" w:color="auto"/>
              <w:bottom w:val="single" w:sz="4" w:space="0" w:color="auto"/>
              <w:right w:val="single" w:sz="4" w:space="0" w:color="auto"/>
            </w:tcBorders>
            <w:shd w:val="clear" w:color="auto" w:fill="auto"/>
            <w:vAlign w:val="center"/>
            <w:hideMark/>
          </w:tcPr>
          <w:p w14:paraId="4A3DF02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32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532211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360" w:type="dxa"/>
            <w:tcBorders>
              <w:top w:val="nil"/>
              <w:left w:val="nil"/>
              <w:bottom w:val="single" w:sz="4" w:space="0" w:color="auto"/>
              <w:right w:val="single" w:sz="4" w:space="0" w:color="auto"/>
            </w:tcBorders>
            <w:shd w:val="clear" w:color="auto" w:fill="auto"/>
            <w:noWrap/>
            <w:vAlign w:val="center"/>
            <w:hideMark/>
          </w:tcPr>
          <w:p w14:paraId="2F2B656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2EDE5DF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23C87B8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2E31ACC6"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2BDECB7" w14:textId="5C37A0E2" w:rsidR="00F56356" w:rsidRPr="00F56356" w:rsidRDefault="00F56356" w:rsidP="00F56356">
      <w:pPr>
        <w:spacing w:after="0" w:line="360" w:lineRule="auto"/>
        <w:ind w:left="284"/>
        <w:rPr>
          <w:rFonts w:ascii="Times New Roman" w:eastAsia="Times New Roman" w:hAnsi="Times New Roman" w:cs="Times New Roman"/>
          <w:b/>
          <w:color w:val="000000"/>
          <w:sz w:val="24"/>
          <w:szCs w:val="24"/>
          <w:lang w:eastAsia="it-IT"/>
        </w:rPr>
      </w:pPr>
      <w:bookmarkStart w:id="47" w:name="_GoBack"/>
      <w:bookmarkEnd w:id="47"/>
      <w:r w:rsidRPr="00F56356">
        <w:rPr>
          <w:rFonts w:ascii="Times New Roman" w:eastAsia="Times New Roman" w:hAnsi="Times New Roman" w:cs="Times New Roman"/>
          <w:b/>
          <w:color w:val="000000"/>
          <w:sz w:val="24"/>
          <w:szCs w:val="24"/>
          <w:lang w:eastAsia="it-IT"/>
        </w:rPr>
        <w:lastRenderedPageBreak/>
        <w:t>CDR  7 “Affari regionali e autonomie”</w:t>
      </w:r>
    </w:p>
    <w:p w14:paraId="0B2EF895" w14:textId="77777777" w:rsidR="00F56356" w:rsidRPr="00F56356" w:rsidRDefault="00F56356" w:rsidP="00F56356">
      <w:pPr>
        <w:spacing w:after="0" w:line="360" w:lineRule="auto"/>
        <w:ind w:left="284"/>
        <w:rPr>
          <w:rFonts w:ascii="Times New Roman" w:eastAsia="Times New Roman" w:hAnsi="Times New Roman" w:cs="Times New Roman"/>
          <w:b/>
          <w:color w:val="000000"/>
          <w:sz w:val="20"/>
          <w:szCs w:val="24"/>
          <w:lang w:eastAsia="it-IT"/>
        </w:rPr>
      </w:pPr>
    </w:p>
    <w:p w14:paraId="24032646"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1 - </w:t>
      </w:r>
      <w:r w:rsidRPr="00F56356">
        <w:rPr>
          <w:rFonts w:ascii="Times New Roman" w:eastAsia="Times New Roman" w:hAnsi="Times New Roman" w:cs="Times New Roman"/>
          <w:color w:val="000000"/>
          <w:sz w:val="24"/>
          <w:szCs w:val="24"/>
          <w:lang w:eastAsia="it-IT"/>
        </w:rPr>
        <w:t xml:space="preserve">Organi costituzionali, a rilevanza costituzionale e Presidenza del Consiglio dei ministri </w:t>
      </w:r>
    </w:p>
    <w:p w14:paraId="27E02379"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10"/>
          <w:szCs w:val="16"/>
          <w:lang w:eastAsia="it-IT"/>
        </w:rPr>
      </w:pPr>
    </w:p>
    <w:p w14:paraId="5CBD9CD7"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1.3 - </w:t>
      </w:r>
      <w:r w:rsidRPr="00F56356">
        <w:rPr>
          <w:rFonts w:ascii="Times New Roman" w:eastAsia="Times New Roman" w:hAnsi="Times New Roman" w:cs="Times New Roman"/>
          <w:color w:val="000000"/>
          <w:sz w:val="24"/>
          <w:szCs w:val="24"/>
          <w:lang w:eastAsia="it-IT"/>
        </w:rPr>
        <w:t xml:space="preserve">Presidenza del Consiglio dei ministri </w:t>
      </w:r>
    </w:p>
    <w:p w14:paraId="7136D3AC"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sz w:val="24"/>
          <w:szCs w:val="24"/>
          <w:lang w:eastAsia="it-IT"/>
        </w:rPr>
      </w:pPr>
    </w:p>
    <w:p w14:paraId="5F63591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MISSIONE 24 - </w:t>
      </w:r>
      <w:r w:rsidRPr="00F56356">
        <w:rPr>
          <w:rFonts w:ascii="Times New Roman" w:eastAsia="Times New Roman" w:hAnsi="Times New Roman" w:cs="Times New Roman"/>
          <w:color w:val="000000"/>
          <w:sz w:val="24"/>
          <w:szCs w:val="24"/>
          <w:lang w:eastAsia="it-IT"/>
        </w:rPr>
        <w:t xml:space="preserve">Diritti sociali, politiche sociali e famiglia </w:t>
      </w:r>
    </w:p>
    <w:p w14:paraId="015D4E2E"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sz w:val="10"/>
          <w:szCs w:val="16"/>
          <w:lang w:eastAsia="it-IT"/>
        </w:rPr>
      </w:pPr>
    </w:p>
    <w:p w14:paraId="738CDC20"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24"/>
          <w:szCs w:val="24"/>
          <w:lang w:eastAsia="it-IT"/>
        </w:rPr>
      </w:pPr>
      <w:r w:rsidRPr="00F56356">
        <w:rPr>
          <w:rFonts w:ascii="Times New Roman" w:eastAsia="Times New Roman" w:hAnsi="Times New Roman" w:cs="Times New Roman"/>
          <w:b/>
          <w:color w:val="000000"/>
          <w:sz w:val="24"/>
          <w:szCs w:val="24"/>
          <w:lang w:eastAsia="it-IT"/>
        </w:rPr>
        <w:t xml:space="preserve">Programma 24.5 </w:t>
      </w:r>
      <w:proofErr w:type="gramStart"/>
      <w:r w:rsidRPr="00F56356">
        <w:rPr>
          <w:rFonts w:ascii="Times New Roman" w:eastAsia="Times New Roman" w:hAnsi="Times New Roman" w:cs="Times New Roman"/>
          <w:b/>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Famiglia</w:t>
      </w:r>
      <w:proofErr w:type="gramEnd"/>
      <w:r w:rsidRPr="00F56356">
        <w:rPr>
          <w:rFonts w:ascii="Times New Roman" w:eastAsia="Times New Roman" w:hAnsi="Times New Roman" w:cs="Times New Roman"/>
          <w:color w:val="000000"/>
          <w:sz w:val="24"/>
          <w:szCs w:val="24"/>
          <w:lang w:eastAsia="it-IT"/>
        </w:rPr>
        <w:t>, pari opportunità e situazioni di disagio</w:t>
      </w:r>
      <w:r w:rsidRPr="00F56356">
        <w:rPr>
          <w:rFonts w:ascii="Times New Roman" w:eastAsia="Times New Roman" w:hAnsi="Times New Roman" w:cs="Times New Roman"/>
          <w:b/>
          <w:color w:val="000000"/>
          <w:sz w:val="24"/>
          <w:szCs w:val="24"/>
          <w:lang w:eastAsia="it-IT"/>
        </w:rPr>
        <w:t xml:space="preserve"> </w:t>
      </w:r>
    </w:p>
    <w:p w14:paraId="7DE5B846"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sz w:val="24"/>
          <w:szCs w:val="24"/>
          <w:lang w:eastAsia="it-IT"/>
        </w:rPr>
      </w:pPr>
    </w:p>
    <w:p w14:paraId="70DB5C86" w14:textId="77777777" w:rsidR="00F56356" w:rsidRPr="00F56356" w:rsidRDefault="00F56356" w:rsidP="00F56356">
      <w:pPr>
        <w:tabs>
          <w:tab w:val="left" w:pos="2040"/>
        </w:tabs>
        <w:spacing w:after="0" w:line="240" w:lineRule="auto"/>
        <w:jc w:val="both"/>
        <w:rPr>
          <w:rFonts w:ascii="Times New Roman" w:eastAsia="Times New Roman" w:hAnsi="Times New Roman" w:cs="Times New Roman"/>
          <w:i/>
          <w:color w:val="000000" w:themeColor="text1"/>
          <w:sz w:val="24"/>
          <w:szCs w:val="24"/>
          <w:lang w:eastAsia="it-IT"/>
        </w:rPr>
      </w:pPr>
    </w:p>
    <w:p w14:paraId="2A796DB4"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1.</w:t>
      </w:r>
      <w:r w:rsidRPr="00F56356">
        <w:rPr>
          <w:rFonts w:ascii="Times New Roman" w:eastAsia="Times New Roman" w:hAnsi="Times New Roman" w:cs="Times New Roman"/>
          <w:b/>
          <w:i/>
          <w:sz w:val="24"/>
          <w:szCs w:val="24"/>
          <w:lang w:eastAsia="it-IT"/>
        </w:rPr>
        <w:t xml:space="preserve"> Mission</w:t>
      </w:r>
    </w:p>
    <w:p w14:paraId="0F7250F6"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iCs/>
          <w:color w:val="000000"/>
          <w:sz w:val="24"/>
          <w:szCs w:val="24"/>
          <w:lang w:eastAsia="it-IT"/>
        </w:rPr>
      </w:pPr>
      <w:r w:rsidRPr="00F56356">
        <w:rPr>
          <w:rFonts w:ascii="Times New Roman" w:eastAsia="Times New Roman" w:hAnsi="Times New Roman" w:cs="Times New Roman"/>
          <w:sz w:val="24"/>
          <w:szCs w:val="24"/>
          <w:lang w:eastAsia="it-IT"/>
        </w:rPr>
        <w:t xml:space="preserve">Il Centro di responsabilità 7 “Affari regionali e autonomie” è la struttura di supporto al Presidente che opera nell’area funzionale dei rapporti del Governo con il sistema delle autonomie e di cui il Presidente si avvale per le azioni di coordinamento nella materia, per lo sviluppo della collaborazione tra Stato, regioni e autonomie locali, per la promozione delle iniziative necessarie per l’ordinato svolgimento degli inerenti rapporti e per l’esercizio coerente e coordinato dei poteri e rimedi previsti per i casi di inerzia o inadempienza. In particolare, si occupa degli adempimenti riguardanti: la coordinata partecipazione dei rappresentanti dello Stato negli organi e nelle sedi a composizione mista; il rapporto di dipendenza funzionale tra Presidente e commissari del Governo nelle Regioni a statuto speciale e nelle Province autonome; il controllo successivo della legislazione regionale e il contenzioso Stato-Regioni; i rapporti inerenti l’attività delle Regioni all’estero; l’attuazione degli statuti delle Regioni e Province ad autonomia speciale; le minoranze linguistiche e i problemi delle zone di confine; l’elaborazione e attuazione di programmi per assicurare l’efficacia delle politiche urbane nonché delle politiche di sostegno alla marginalità territoriale (salvaguardia delle zone montane, delle aree svantaggiate confinanti con le Regioni a statuto speciale nonché delle isole minori); le questioni relative ai servizi pubblici locali, in raccordo con i Ministeri interessati; le politiche urbane, con particolare riferimento alle città metropolitane, in raccordo con il Dipartimento per la programmazione e il coordinamento della politica economica. Cura, altresì, la realizzazione delle attività connesse all’attuazione del conferimento delle funzioni amministrative dell’articolo 118 della Costituzione, nonché il completamento delle procedure di trasferimento di cui al capo I della legge 15 marzo 1997, n. 59 (delega al Governo per il conferimento di funzioni e compiti alle regioni ed enti locali, per la riforma della pubblica amministrazione e per la semplificazione amministrativa). Inoltre, assicura le funzioni di segreteria della Conferenza permanente per i rapporti tra lo Stato, le Regioni e le Province autonome di Trento e Bolzano e, nell’esercizio di tali funzioni, opera alle dipendenze funzionali e secondo gli indirizzi </w:t>
      </w:r>
      <w:r w:rsidRPr="00F56356">
        <w:rPr>
          <w:rFonts w:ascii="Times New Roman" w:eastAsia="Times New Roman" w:hAnsi="Times New Roman" w:cs="Times New Roman"/>
          <w:sz w:val="24"/>
          <w:szCs w:val="24"/>
          <w:lang w:eastAsia="it-IT"/>
        </w:rPr>
        <w:lastRenderedPageBreak/>
        <w:t xml:space="preserve">del Presidente della Conferenza, ai sensi dell’articolo </w:t>
      </w:r>
      <w:hyperlink r:id="rId111" w:history="1">
        <w:r w:rsidRPr="00F56356">
          <w:rPr>
            <w:rFonts w:ascii="Times New Roman" w:eastAsia="Times New Roman" w:hAnsi="Times New Roman" w:cs="Times New Roman"/>
            <w:iCs/>
            <w:color w:val="000000"/>
            <w:sz w:val="24"/>
            <w:szCs w:val="24"/>
            <w:lang w:eastAsia="it-IT"/>
          </w:rPr>
          <w:t>10, comma 2</w:t>
        </w:r>
      </w:hyperlink>
      <w:r w:rsidRPr="00F56356">
        <w:rPr>
          <w:rFonts w:ascii="Times New Roman" w:eastAsia="Times New Roman" w:hAnsi="Times New Roman" w:cs="Times New Roman"/>
          <w:i/>
          <w:color w:val="000000"/>
          <w:sz w:val="24"/>
          <w:szCs w:val="24"/>
          <w:lang w:eastAsia="it-IT"/>
        </w:rPr>
        <w:t xml:space="preserve">, </w:t>
      </w:r>
      <w:r w:rsidRPr="00F56356">
        <w:rPr>
          <w:rFonts w:ascii="Times New Roman" w:eastAsia="Times New Roman" w:hAnsi="Times New Roman" w:cs="Times New Roman"/>
          <w:color w:val="000000"/>
          <w:sz w:val="24"/>
          <w:szCs w:val="24"/>
          <w:lang w:eastAsia="it-IT"/>
        </w:rPr>
        <w:t>del</w:t>
      </w:r>
      <w:r w:rsidRPr="00F56356">
        <w:rPr>
          <w:rFonts w:ascii="Times New Roman" w:eastAsia="Times New Roman" w:hAnsi="Times New Roman" w:cs="Times New Roman"/>
          <w:i/>
          <w:color w:val="000000"/>
          <w:sz w:val="24"/>
          <w:szCs w:val="24"/>
          <w:lang w:eastAsia="it-IT"/>
        </w:rPr>
        <w:t xml:space="preserve"> </w:t>
      </w:r>
      <w:hyperlink r:id="rId112" w:history="1">
        <w:r w:rsidRPr="00F56356">
          <w:rPr>
            <w:rFonts w:ascii="Times New Roman" w:eastAsia="Times New Roman" w:hAnsi="Times New Roman" w:cs="Times New Roman"/>
            <w:iCs/>
            <w:color w:val="000000"/>
            <w:sz w:val="24"/>
            <w:szCs w:val="24"/>
            <w:lang w:eastAsia="it-IT"/>
          </w:rPr>
          <w:t>decreto legislativo 28 agosto 1997, n. 281</w:t>
        </w:r>
      </w:hyperlink>
      <w:r w:rsidRPr="00F56356">
        <w:rPr>
          <w:rFonts w:ascii="Times New Roman" w:eastAsia="Times New Roman" w:hAnsi="Times New Roman" w:cs="Times New Roman"/>
          <w:iCs/>
          <w:color w:val="000000"/>
          <w:sz w:val="24"/>
          <w:szCs w:val="24"/>
          <w:lang w:eastAsia="it-IT"/>
        </w:rPr>
        <w:t>.</w:t>
      </w:r>
    </w:p>
    <w:p w14:paraId="2F98942E"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Inoltre il Dipartimento ha posto in essere le attività volte a garantire l’operatività dell’istituito Nucleo PNRR Stato-Regioni, previsto normativamente dall’articolo 33 del decreto-legge 6 novembre 2021, n. 152, recante “Disposizioni urgenti per l’attuazione del Piano nazionale di ripresa e resilienza (PNRR) e per la prevenzione delle infiltrazioni mafiose”, a cui è assegnato il compito di assicurare al Dipartimento per gli affari regionali e le autonomie il supporto tecnico per la realizzazione delle attività di competenza volte ad attuare le riforme e gli investimenti previsti dal PNRR. </w:t>
      </w:r>
    </w:p>
    <w:p w14:paraId="0B798600"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501666F2" w14:textId="77777777" w:rsidR="00F56356" w:rsidRPr="00F56356" w:rsidRDefault="00F56356" w:rsidP="00F56356">
      <w:pPr>
        <w:tabs>
          <w:tab w:val="left" w:pos="2040"/>
        </w:tabs>
        <w:spacing w:after="0" w:line="360" w:lineRule="auto"/>
        <w:jc w:val="both"/>
        <w:rPr>
          <w:rFonts w:ascii="Times New Roman" w:eastAsia="Times New Roman" w:hAnsi="Times New Roman" w:cs="Times New Roman"/>
          <w:sz w:val="2"/>
          <w:szCs w:val="24"/>
          <w:lang w:eastAsia="it-IT"/>
        </w:rPr>
      </w:pPr>
    </w:p>
    <w:p w14:paraId="06782D8E" w14:textId="77777777" w:rsidR="00F56356" w:rsidRPr="00F56356" w:rsidRDefault="00F56356" w:rsidP="00F56356">
      <w:pPr>
        <w:tabs>
          <w:tab w:val="left" w:pos="2040"/>
        </w:tabs>
        <w:spacing w:after="0" w:line="360" w:lineRule="auto"/>
        <w:jc w:val="both"/>
        <w:rPr>
          <w:rFonts w:ascii="Times New Roman" w:eastAsia="Times New Roman" w:hAnsi="Times New Roman" w:cs="Times New Roman"/>
          <w:sz w:val="2"/>
          <w:szCs w:val="24"/>
          <w:lang w:eastAsia="it-IT"/>
        </w:rPr>
      </w:pPr>
    </w:p>
    <w:p w14:paraId="4B7859AE" w14:textId="77777777" w:rsidR="00F56356" w:rsidRPr="00F56356" w:rsidRDefault="00F56356" w:rsidP="00F56356">
      <w:pPr>
        <w:spacing w:after="12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631551C8"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2.1 </w:t>
      </w:r>
      <w:r w:rsidRPr="00F56356">
        <w:rPr>
          <w:rFonts w:ascii="Times New Roman" w:eastAsia="Times New Roman" w:hAnsi="Times New Roman" w:cs="Times New Roman"/>
          <w:sz w:val="24"/>
          <w:szCs w:val="24"/>
          <w:lang w:eastAsia="it-IT"/>
        </w:rPr>
        <w:t xml:space="preserve">Le risorse </w:t>
      </w:r>
      <w:r w:rsidRPr="00F56356">
        <w:rPr>
          <w:rFonts w:ascii="Times New Roman" w:eastAsia="Times New Roman" w:hAnsi="Times New Roman" w:cs="Times New Roman"/>
          <w:color w:val="000000" w:themeColor="text1"/>
          <w:sz w:val="24"/>
          <w:szCs w:val="24"/>
          <w:lang w:eastAsia="it-IT"/>
        </w:rPr>
        <w:t>complessivamente stanziate sono state pari a euro 252.399.787,43, nell’ambito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delle quali euro 8.257.023,88 riferiti a reiscrizione di residui passivi perenti ed euro 48.333.541,55 riferiti a riassegnazioni dall’avanzo di esercizio 2021.</w:t>
      </w:r>
    </w:p>
    <w:p w14:paraId="43EF633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2"/>
          <w:szCs w:val="24"/>
          <w:lang w:eastAsia="it-IT"/>
        </w:rPr>
      </w:pPr>
    </w:p>
    <w:p w14:paraId="51BEDF1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bookmarkStart w:id="48" w:name="_Hlk128991627"/>
      <w:r w:rsidRPr="00F56356">
        <w:rPr>
          <w:rFonts w:ascii="Times New Roman" w:eastAsia="Times New Roman" w:hAnsi="Times New Roman" w:cs="Times New Roman"/>
          <w:color w:val="000000" w:themeColor="text1"/>
          <w:sz w:val="24"/>
          <w:szCs w:val="24"/>
          <w:lang w:eastAsia="it-IT"/>
        </w:rPr>
        <w:t>196.892.787,27</w:t>
      </w:r>
      <w:bookmarkEnd w:id="48"/>
      <w:r w:rsidRPr="00F56356">
        <w:rPr>
          <w:rFonts w:ascii="Times New Roman" w:eastAsia="Times New Roman" w:hAnsi="Times New Roman" w:cs="Times New Roman"/>
          <w:color w:val="000000" w:themeColor="text1"/>
          <w:sz w:val="24"/>
          <w:szCs w:val="24"/>
          <w:lang w:eastAsia="it-IT"/>
        </w:rPr>
        <w:t>, con un’economia di bilancio di euro 55.507.000,16. Il totale dei pagamenti riferiti alla competenza è di euro 118.912.126,31, con un indice di capacità di pagamento (rapporto pagato/impegnato) che si attesta al 60,39 per cento.</w:t>
      </w:r>
    </w:p>
    <w:p w14:paraId="2282787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25321CE" w14:textId="77777777" w:rsidR="00F56356" w:rsidRPr="00F56356" w:rsidRDefault="00F56356"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288939EC" wp14:editId="337FCF21">
            <wp:extent cx="3796370" cy="640080"/>
            <wp:effectExtent l="0" t="0" r="0" b="7620"/>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64571" cy="668439"/>
                    </a:xfrm>
                    <a:prstGeom prst="rect">
                      <a:avLst/>
                    </a:prstGeom>
                    <a:noFill/>
                    <a:ln>
                      <a:noFill/>
                    </a:ln>
                  </pic:spPr>
                </pic:pic>
              </a:graphicData>
            </a:graphic>
          </wp:inline>
        </w:drawing>
      </w:r>
    </w:p>
    <w:p w14:paraId="4A448964" w14:textId="77777777" w:rsidR="00F56356" w:rsidRPr="00F56356" w:rsidRDefault="00F56356"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4939E7E6" wp14:editId="4D824443">
            <wp:extent cx="3871468" cy="1978974"/>
            <wp:effectExtent l="0" t="0" r="0" b="254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92709" cy="1989832"/>
                    </a:xfrm>
                    <a:prstGeom prst="rect">
                      <a:avLst/>
                    </a:prstGeom>
                    <a:noFill/>
                  </pic:spPr>
                </pic:pic>
              </a:graphicData>
            </a:graphic>
          </wp:inline>
        </w:drawing>
      </w:r>
    </w:p>
    <w:p w14:paraId="4257ABF4" w14:textId="77777777" w:rsidR="00F56356" w:rsidRPr="00F56356" w:rsidRDefault="00F56356"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p>
    <w:p w14:paraId="386C8C54" w14:textId="77777777" w:rsidR="00F56356" w:rsidRPr="00F56356" w:rsidRDefault="00F56356" w:rsidP="00F56356">
      <w:pPr>
        <w:spacing w:after="0" w:line="360" w:lineRule="auto"/>
        <w:ind w:left="284"/>
        <w:jc w:val="center"/>
        <w:rPr>
          <w:rFonts w:ascii="Times New Roman" w:eastAsia="Times New Roman" w:hAnsi="Times New Roman" w:cs="Times New Roman"/>
          <w:noProof/>
          <w:color w:val="000000" w:themeColor="text1"/>
          <w:sz w:val="24"/>
          <w:szCs w:val="24"/>
          <w:lang w:eastAsia="it-IT"/>
        </w:rPr>
      </w:pPr>
    </w:p>
    <w:p w14:paraId="37504071"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64.161.471,65.</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9.101.397,96 e realizzate economie per euro 16.746,31.</w:t>
      </w:r>
    </w:p>
    <w:p w14:paraId="1CC5054C" w14:textId="77777777" w:rsidR="00F56356" w:rsidRPr="00F56356" w:rsidRDefault="00F56356" w:rsidP="00F56356">
      <w:pPr>
        <w:spacing w:after="0" w:line="360" w:lineRule="auto"/>
        <w:ind w:left="284"/>
        <w:jc w:val="center"/>
        <w:rPr>
          <w:rFonts w:ascii="Times New Roman" w:eastAsia="Times New Roman" w:hAnsi="Times New Roman" w:cs="Times New Roman"/>
          <w:sz w:val="2"/>
          <w:szCs w:val="24"/>
          <w:lang w:eastAsia="it-IT"/>
        </w:rPr>
      </w:pPr>
    </w:p>
    <w:p w14:paraId="4D68EAB5" w14:textId="77777777" w:rsidR="00F56356" w:rsidRPr="00F56356" w:rsidRDefault="00F56356" w:rsidP="00F56356">
      <w:pPr>
        <w:spacing w:after="0" w:line="360" w:lineRule="auto"/>
        <w:jc w:val="center"/>
        <w:rPr>
          <w:rFonts w:ascii="Times New Roman" w:eastAsia="Times New Roman" w:hAnsi="Times New Roman" w:cs="Times New Roman"/>
          <w:sz w:val="2"/>
          <w:szCs w:val="24"/>
          <w:lang w:eastAsia="it-IT"/>
        </w:rPr>
      </w:pPr>
    </w:p>
    <w:p w14:paraId="0B347932" w14:textId="77777777" w:rsidR="00410C3C" w:rsidRDefault="00410C3C" w:rsidP="00F56356">
      <w:pPr>
        <w:spacing w:after="0" w:line="360" w:lineRule="auto"/>
        <w:jc w:val="center"/>
        <w:rPr>
          <w:rFonts w:ascii="Times New Roman" w:eastAsia="Times New Roman" w:hAnsi="Times New Roman" w:cs="Times New Roman"/>
          <w:sz w:val="24"/>
          <w:szCs w:val="24"/>
          <w:lang w:eastAsia="it-IT"/>
        </w:rPr>
      </w:pPr>
    </w:p>
    <w:p w14:paraId="4D010123" w14:textId="47F132BE"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Indicatori di bilancio</w:t>
      </w:r>
    </w:p>
    <w:tbl>
      <w:tblPr>
        <w:tblW w:w="6860" w:type="dxa"/>
        <w:jc w:val="center"/>
        <w:tblCellMar>
          <w:left w:w="70" w:type="dxa"/>
          <w:right w:w="70" w:type="dxa"/>
        </w:tblCellMar>
        <w:tblLook w:val="04A0" w:firstRow="1" w:lastRow="0" w:firstColumn="1" w:lastColumn="0" w:noHBand="0" w:noVBand="1"/>
      </w:tblPr>
      <w:tblGrid>
        <w:gridCol w:w="477"/>
        <w:gridCol w:w="1567"/>
        <w:gridCol w:w="1458"/>
        <w:gridCol w:w="991"/>
        <w:gridCol w:w="1214"/>
        <w:gridCol w:w="1153"/>
      </w:tblGrid>
      <w:tr w:rsidR="00F56356" w:rsidRPr="00F56356" w14:paraId="141BEB21"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57E52"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4F30B52F" w14:textId="77777777" w:rsidTr="00F56356">
        <w:trPr>
          <w:trHeight w:val="465"/>
          <w:jc w:val="center"/>
        </w:trPr>
        <w:tc>
          <w:tcPr>
            <w:tcW w:w="4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8149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4CDA1F19"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58" w:type="dxa"/>
            <w:vMerge w:val="restart"/>
            <w:tcBorders>
              <w:top w:val="nil"/>
              <w:left w:val="single" w:sz="4" w:space="0" w:color="auto"/>
              <w:bottom w:val="single" w:sz="4" w:space="0" w:color="auto"/>
              <w:right w:val="single" w:sz="4" w:space="0" w:color="auto"/>
            </w:tcBorders>
            <w:shd w:val="clear" w:color="auto" w:fill="auto"/>
            <w:vAlign w:val="center"/>
            <w:hideMark/>
          </w:tcPr>
          <w:p w14:paraId="66E7D7CC"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58" w:type="dxa"/>
            <w:gridSpan w:val="3"/>
            <w:tcBorders>
              <w:top w:val="single" w:sz="4" w:space="0" w:color="auto"/>
              <w:left w:val="nil"/>
              <w:bottom w:val="single" w:sz="4" w:space="0" w:color="auto"/>
              <w:right w:val="single" w:sz="4" w:space="0" w:color="000000"/>
            </w:tcBorders>
            <w:shd w:val="clear" w:color="auto" w:fill="auto"/>
            <w:vAlign w:val="center"/>
            <w:hideMark/>
          </w:tcPr>
          <w:p w14:paraId="674EA584"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53D6C8B5" w14:textId="77777777" w:rsidTr="00F56356">
        <w:trPr>
          <w:trHeight w:val="300"/>
          <w:jc w:val="center"/>
        </w:trPr>
        <w:tc>
          <w:tcPr>
            <w:tcW w:w="477" w:type="dxa"/>
            <w:vMerge/>
            <w:tcBorders>
              <w:top w:val="nil"/>
              <w:left w:val="single" w:sz="4" w:space="0" w:color="auto"/>
              <w:bottom w:val="single" w:sz="4" w:space="0" w:color="auto"/>
              <w:right w:val="single" w:sz="4" w:space="0" w:color="auto"/>
            </w:tcBorders>
            <w:vAlign w:val="center"/>
            <w:hideMark/>
          </w:tcPr>
          <w:p w14:paraId="1AA3AC0F"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140C8914"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58" w:type="dxa"/>
            <w:vMerge/>
            <w:tcBorders>
              <w:top w:val="nil"/>
              <w:left w:val="single" w:sz="4" w:space="0" w:color="auto"/>
              <w:bottom w:val="single" w:sz="4" w:space="0" w:color="auto"/>
              <w:right w:val="single" w:sz="4" w:space="0" w:color="auto"/>
            </w:tcBorders>
            <w:vAlign w:val="center"/>
            <w:hideMark/>
          </w:tcPr>
          <w:p w14:paraId="3FF37EA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1" w:type="dxa"/>
            <w:tcBorders>
              <w:top w:val="nil"/>
              <w:left w:val="nil"/>
              <w:bottom w:val="single" w:sz="4" w:space="0" w:color="auto"/>
              <w:right w:val="single" w:sz="4" w:space="0" w:color="auto"/>
            </w:tcBorders>
            <w:shd w:val="clear" w:color="auto" w:fill="auto"/>
            <w:vAlign w:val="center"/>
            <w:hideMark/>
          </w:tcPr>
          <w:p w14:paraId="7B4DF9C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4" w:type="dxa"/>
            <w:tcBorders>
              <w:top w:val="nil"/>
              <w:left w:val="nil"/>
              <w:bottom w:val="single" w:sz="4" w:space="0" w:color="auto"/>
              <w:right w:val="single" w:sz="4" w:space="0" w:color="auto"/>
            </w:tcBorders>
            <w:shd w:val="clear" w:color="auto" w:fill="auto"/>
            <w:vAlign w:val="center"/>
            <w:hideMark/>
          </w:tcPr>
          <w:p w14:paraId="7974E4F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3" w:type="dxa"/>
            <w:tcBorders>
              <w:top w:val="nil"/>
              <w:left w:val="nil"/>
              <w:bottom w:val="single" w:sz="4" w:space="0" w:color="auto"/>
              <w:right w:val="single" w:sz="4" w:space="0" w:color="auto"/>
            </w:tcBorders>
            <w:shd w:val="clear" w:color="auto" w:fill="auto"/>
            <w:vAlign w:val="center"/>
            <w:hideMark/>
          </w:tcPr>
          <w:p w14:paraId="1481D50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57DBFF17"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71DEAD0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260</w:t>
            </w:r>
          </w:p>
        </w:tc>
        <w:tc>
          <w:tcPr>
            <w:tcW w:w="1567" w:type="dxa"/>
            <w:tcBorders>
              <w:top w:val="nil"/>
              <w:left w:val="nil"/>
              <w:bottom w:val="single" w:sz="4" w:space="0" w:color="auto"/>
              <w:right w:val="single" w:sz="4" w:space="0" w:color="auto"/>
            </w:tcBorders>
            <w:shd w:val="clear" w:color="auto" w:fill="auto"/>
            <w:noWrap/>
            <w:vAlign w:val="center"/>
            <w:hideMark/>
          </w:tcPr>
          <w:p w14:paraId="06A1E21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39.156,55</w:t>
            </w:r>
          </w:p>
        </w:tc>
        <w:tc>
          <w:tcPr>
            <w:tcW w:w="1458" w:type="dxa"/>
            <w:tcBorders>
              <w:top w:val="nil"/>
              <w:left w:val="nil"/>
              <w:bottom w:val="single" w:sz="4" w:space="0" w:color="auto"/>
              <w:right w:val="single" w:sz="4" w:space="0" w:color="auto"/>
            </w:tcBorders>
            <w:shd w:val="clear" w:color="auto" w:fill="auto"/>
            <w:noWrap/>
            <w:vAlign w:val="center"/>
            <w:hideMark/>
          </w:tcPr>
          <w:p w14:paraId="0B6BEE9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8.237,12</w:t>
            </w:r>
          </w:p>
        </w:tc>
        <w:tc>
          <w:tcPr>
            <w:tcW w:w="991" w:type="dxa"/>
            <w:tcBorders>
              <w:top w:val="nil"/>
              <w:left w:val="nil"/>
              <w:bottom w:val="single" w:sz="4" w:space="0" w:color="auto"/>
              <w:right w:val="single" w:sz="4" w:space="0" w:color="auto"/>
            </w:tcBorders>
            <w:shd w:val="clear" w:color="auto" w:fill="auto"/>
            <w:noWrap/>
            <w:vAlign w:val="center"/>
            <w:hideMark/>
          </w:tcPr>
          <w:p w14:paraId="46ABF27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4D8185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78,96</w:t>
            </w:r>
          </w:p>
        </w:tc>
        <w:tc>
          <w:tcPr>
            <w:tcW w:w="1153" w:type="dxa"/>
            <w:tcBorders>
              <w:top w:val="nil"/>
              <w:left w:val="nil"/>
              <w:bottom w:val="single" w:sz="4" w:space="0" w:color="auto"/>
              <w:right w:val="single" w:sz="4" w:space="0" w:color="auto"/>
            </w:tcBorders>
            <w:shd w:val="clear" w:color="auto" w:fill="auto"/>
            <w:noWrap/>
            <w:vAlign w:val="center"/>
            <w:hideMark/>
          </w:tcPr>
          <w:p w14:paraId="7CDD7B9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-21,04</w:t>
            </w:r>
          </w:p>
        </w:tc>
      </w:tr>
      <w:tr w:rsidR="00F56356" w:rsidRPr="00F56356" w14:paraId="15410C2A"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2DD5F31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439</w:t>
            </w:r>
          </w:p>
        </w:tc>
        <w:tc>
          <w:tcPr>
            <w:tcW w:w="1567" w:type="dxa"/>
            <w:tcBorders>
              <w:top w:val="nil"/>
              <w:left w:val="nil"/>
              <w:bottom w:val="single" w:sz="4" w:space="0" w:color="auto"/>
              <w:right w:val="single" w:sz="4" w:space="0" w:color="auto"/>
            </w:tcBorders>
            <w:shd w:val="clear" w:color="000000" w:fill="FFFFFF"/>
            <w:noWrap/>
            <w:vAlign w:val="center"/>
            <w:hideMark/>
          </w:tcPr>
          <w:p w14:paraId="03DB9C1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147.525,14</w:t>
            </w:r>
          </w:p>
        </w:tc>
        <w:tc>
          <w:tcPr>
            <w:tcW w:w="1458" w:type="dxa"/>
            <w:tcBorders>
              <w:top w:val="nil"/>
              <w:left w:val="nil"/>
              <w:bottom w:val="single" w:sz="4" w:space="0" w:color="auto"/>
              <w:right w:val="single" w:sz="4" w:space="0" w:color="auto"/>
            </w:tcBorders>
            <w:shd w:val="clear" w:color="000000" w:fill="FFFFFF"/>
            <w:noWrap/>
            <w:vAlign w:val="center"/>
            <w:hideMark/>
          </w:tcPr>
          <w:p w14:paraId="1B00C77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112.958,54</w:t>
            </w:r>
          </w:p>
        </w:tc>
        <w:tc>
          <w:tcPr>
            <w:tcW w:w="991" w:type="dxa"/>
            <w:tcBorders>
              <w:top w:val="nil"/>
              <w:left w:val="nil"/>
              <w:bottom w:val="single" w:sz="4" w:space="0" w:color="auto"/>
              <w:right w:val="single" w:sz="4" w:space="0" w:color="auto"/>
            </w:tcBorders>
            <w:shd w:val="clear" w:color="auto" w:fill="auto"/>
            <w:noWrap/>
            <w:vAlign w:val="center"/>
            <w:hideMark/>
          </w:tcPr>
          <w:p w14:paraId="07F0422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272573B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23,43</w:t>
            </w:r>
          </w:p>
        </w:tc>
        <w:tc>
          <w:tcPr>
            <w:tcW w:w="1153" w:type="dxa"/>
            <w:tcBorders>
              <w:top w:val="nil"/>
              <w:left w:val="nil"/>
              <w:bottom w:val="single" w:sz="4" w:space="0" w:color="auto"/>
              <w:right w:val="single" w:sz="4" w:space="0" w:color="auto"/>
            </w:tcBorders>
            <w:shd w:val="clear" w:color="auto" w:fill="auto"/>
            <w:noWrap/>
            <w:vAlign w:val="center"/>
            <w:hideMark/>
          </w:tcPr>
          <w:p w14:paraId="62D4B56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-76,57</w:t>
            </w:r>
          </w:p>
        </w:tc>
      </w:tr>
      <w:tr w:rsidR="00F56356" w:rsidRPr="00F56356" w14:paraId="51114B74"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7B7C5A8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442</w:t>
            </w:r>
          </w:p>
        </w:tc>
        <w:tc>
          <w:tcPr>
            <w:tcW w:w="1567" w:type="dxa"/>
            <w:tcBorders>
              <w:top w:val="nil"/>
              <w:left w:val="nil"/>
              <w:bottom w:val="single" w:sz="4" w:space="0" w:color="auto"/>
              <w:right w:val="single" w:sz="4" w:space="0" w:color="auto"/>
            </w:tcBorders>
            <w:shd w:val="clear" w:color="000000" w:fill="FFFFFF"/>
            <w:noWrap/>
            <w:vAlign w:val="center"/>
            <w:hideMark/>
          </w:tcPr>
          <w:p w14:paraId="6CA9105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5.080,09</w:t>
            </w:r>
          </w:p>
        </w:tc>
        <w:tc>
          <w:tcPr>
            <w:tcW w:w="1458" w:type="dxa"/>
            <w:tcBorders>
              <w:top w:val="nil"/>
              <w:left w:val="nil"/>
              <w:bottom w:val="single" w:sz="4" w:space="0" w:color="auto"/>
              <w:right w:val="single" w:sz="4" w:space="0" w:color="auto"/>
            </w:tcBorders>
            <w:shd w:val="clear" w:color="000000" w:fill="FFFFFF"/>
            <w:noWrap/>
            <w:vAlign w:val="center"/>
            <w:hideMark/>
          </w:tcPr>
          <w:p w14:paraId="2CE558E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0,74</w:t>
            </w:r>
          </w:p>
        </w:tc>
        <w:tc>
          <w:tcPr>
            <w:tcW w:w="991" w:type="dxa"/>
            <w:tcBorders>
              <w:top w:val="nil"/>
              <w:left w:val="nil"/>
              <w:bottom w:val="single" w:sz="4" w:space="0" w:color="auto"/>
              <w:right w:val="single" w:sz="4" w:space="0" w:color="auto"/>
            </w:tcBorders>
            <w:shd w:val="clear" w:color="auto" w:fill="auto"/>
            <w:noWrap/>
            <w:vAlign w:val="center"/>
            <w:hideMark/>
          </w:tcPr>
          <w:p w14:paraId="758FD09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14" w:type="dxa"/>
            <w:tcBorders>
              <w:top w:val="nil"/>
              <w:left w:val="nil"/>
              <w:bottom w:val="single" w:sz="4" w:space="0" w:color="auto"/>
              <w:right w:val="single" w:sz="4" w:space="0" w:color="auto"/>
            </w:tcBorders>
            <w:shd w:val="clear" w:color="auto" w:fill="auto"/>
            <w:noWrap/>
            <w:vAlign w:val="center"/>
            <w:hideMark/>
          </w:tcPr>
          <w:p w14:paraId="2942C9D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99,99</w:t>
            </w:r>
          </w:p>
        </w:tc>
        <w:tc>
          <w:tcPr>
            <w:tcW w:w="1153" w:type="dxa"/>
            <w:tcBorders>
              <w:top w:val="nil"/>
              <w:left w:val="nil"/>
              <w:bottom w:val="single" w:sz="4" w:space="0" w:color="auto"/>
              <w:right w:val="single" w:sz="4" w:space="0" w:color="auto"/>
            </w:tcBorders>
            <w:shd w:val="clear" w:color="auto" w:fill="auto"/>
            <w:noWrap/>
            <w:vAlign w:val="center"/>
            <w:hideMark/>
          </w:tcPr>
          <w:p w14:paraId="0245F69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w:t>
            </w:r>
          </w:p>
        </w:tc>
      </w:tr>
      <w:tr w:rsidR="00F56356" w:rsidRPr="00F56356" w14:paraId="7D7BD63B"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1F888A1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460</w:t>
            </w:r>
          </w:p>
        </w:tc>
        <w:tc>
          <w:tcPr>
            <w:tcW w:w="1567" w:type="dxa"/>
            <w:tcBorders>
              <w:top w:val="nil"/>
              <w:left w:val="nil"/>
              <w:bottom w:val="single" w:sz="4" w:space="0" w:color="auto"/>
              <w:right w:val="single" w:sz="4" w:space="0" w:color="auto"/>
            </w:tcBorders>
            <w:shd w:val="clear" w:color="000000" w:fill="FFFFFF"/>
            <w:noWrap/>
            <w:vAlign w:val="center"/>
            <w:hideMark/>
          </w:tcPr>
          <w:p w14:paraId="54277DB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1.691,40</w:t>
            </w:r>
          </w:p>
        </w:tc>
        <w:tc>
          <w:tcPr>
            <w:tcW w:w="1458" w:type="dxa"/>
            <w:tcBorders>
              <w:top w:val="nil"/>
              <w:left w:val="nil"/>
              <w:bottom w:val="single" w:sz="4" w:space="0" w:color="auto"/>
              <w:right w:val="single" w:sz="4" w:space="0" w:color="auto"/>
            </w:tcBorders>
            <w:shd w:val="clear" w:color="000000" w:fill="FFFFFF"/>
            <w:noWrap/>
            <w:vAlign w:val="center"/>
            <w:hideMark/>
          </w:tcPr>
          <w:p w14:paraId="0A0F712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0D74FFE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5C89D16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2E3334C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6E1DE2F4"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auto" w:fill="auto"/>
            <w:noWrap/>
            <w:vAlign w:val="center"/>
            <w:hideMark/>
          </w:tcPr>
          <w:p w14:paraId="12D69AE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485</w:t>
            </w:r>
          </w:p>
        </w:tc>
        <w:tc>
          <w:tcPr>
            <w:tcW w:w="1567" w:type="dxa"/>
            <w:tcBorders>
              <w:top w:val="nil"/>
              <w:left w:val="nil"/>
              <w:bottom w:val="single" w:sz="4" w:space="0" w:color="auto"/>
              <w:right w:val="single" w:sz="4" w:space="0" w:color="auto"/>
            </w:tcBorders>
            <w:shd w:val="clear" w:color="000000" w:fill="FFFFFF"/>
            <w:noWrap/>
            <w:vAlign w:val="center"/>
            <w:hideMark/>
          </w:tcPr>
          <w:p w14:paraId="4E0096E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88.356,08</w:t>
            </w:r>
          </w:p>
        </w:tc>
        <w:tc>
          <w:tcPr>
            <w:tcW w:w="1458" w:type="dxa"/>
            <w:tcBorders>
              <w:top w:val="nil"/>
              <w:left w:val="nil"/>
              <w:bottom w:val="single" w:sz="4" w:space="0" w:color="auto"/>
              <w:right w:val="single" w:sz="4" w:space="0" w:color="auto"/>
            </w:tcBorders>
            <w:shd w:val="clear" w:color="000000" w:fill="FFFFFF"/>
            <w:noWrap/>
            <w:vAlign w:val="center"/>
            <w:hideMark/>
          </w:tcPr>
          <w:p w14:paraId="07AA351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1" w:type="dxa"/>
            <w:tcBorders>
              <w:top w:val="nil"/>
              <w:left w:val="nil"/>
              <w:bottom w:val="single" w:sz="4" w:space="0" w:color="auto"/>
              <w:right w:val="single" w:sz="4" w:space="0" w:color="auto"/>
            </w:tcBorders>
            <w:shd w:val="clear" w:color="auto" w:fill="auto"/>
            <w:noWrap/>
            <w:vAlign w:val="center"/>
            <w:hideMark/>
          </w:tcPr>
          <w:p w14:paraId="27C2D7D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78E041C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3" w:type="dxa"/>
            <w:tcBorders>
              <w:top w:val="nil"/>
              <w:left w:val="nil"/>
              <w:bottom w:val="single" w:sz="4" w:space="0" w:color="auto"/>
              <w:right w:val="single" w:sz="4" w:space="0" w:color="auto"/>
            </w:tcBorders>
            <w:shd w:val="clear" w:color="auto" w:fill="auto"/>
            <w:noWrap/>
            <w:vAlign w:val="center"/>
            <w:hideMark/>
          </w:tcPr>
          <w:p w14:paraId="4E4953B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1ED194D0" w14:textId="77777777" w:rsidTr="00F56356">
        <w:trPr>
          <w:trHeight w:val="315"/>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0B98A96C"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7" w:type="dxa"/>
            <w:tcBorders>
              <w:top w:val="nil"/>
              <w:left w:val="nil"/>
              <w:bottom w:val="single" w:sz="4" w:space="0" w:color="auto"/>
              <w:right w:val="single" w:sz="4" w:space="0" w:color="auto"/>
            </w:tcBorders>
            <w:shd w:val="clear" w:color="000000" w:fill="FFFFFF"/>
            <w:noWrap/>
            <w:vAlign w:val="center"/>
            <w:hideMark/>
          </w:tcPr>
          <w:p w14:paraId="7AA8549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281.809,26</w:t>
            </w:r>
          </w:p>
        </w:tc>
        <w:tc>
          <w:tcPr>
            <w:tcW w:w="1458" w:type="dxa"/>
            <w:tcBorders>
              <w:top w:val="nil"/>
              <w:left w:val="nil"/>
              <w:bottom w:val="single" w:sz="4" w:space="0" w:color="auto"/>
              <w:right w:val="single" w:sz="4" w:space="0" w:color="auto"/>
            </w:tcBorders>
            <w:shd w:val="clear" w:color="000000" w:fill="FFFFFF"/>
            <w:noWrap/>
            <w:vAlign w:val="center"/>
            <w:hideMark/>
          </w:tcPr>
          <w:p w14:paraId="26C24C8C"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121.196,40</w:t>
            </w:r>
          </w:p>
        </w:tc>
        <w:tc>
          <w:tcPr>
            <w:tcW w:w="991" w:type="dxa"/>
            <w:tcBorders>
              <w:top w:val="nil"/>
              <w:left w:val="nil"/>
              <w:bottom w:val="nil"/>
              <w:right w:val="nil"/>
            </w:tcBorders>
            <w:shd w:val="clear" w:color="auto" w:fill="auto"/>
            <w:noWrap/>
            <w:vAlign w:val="center"/>
            <w:hideMark/>
          </w:tcPr>
          <w:p w14:paraId="06FF5E1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4" w:type="dxa"/>
            <w:tcBorders>
              <w:top w:val="nil"/>
              <w:left w:val="nil"/>
              <w:bottom w:val="nil"/>
              <w:right w:val="nil"/>
            </w:tcBorders>
            <w:shd w:val="clear" w:color="auto" w:fill="auto"/>
            <w:noWrap/>
            <w:vAlign w:val="center"/>
            <w:hideMark/>
          </w:tcPr>
          <w:p w14:paraId="0DCA74C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3" w:type="dxa"/>
            <w:tcBorders>
              <w:top w:val="nil"/>
              <w:left w:val="nil"/>
              <w:bottom w:val="nil"/>
              <w:right w:val="nil"/>
            </w:tcBorders>
            <w:shd w:val="clear" w:color="auto" w:fill="auto"/>
            <w:noWrap/>
            <w:vAlign w:val="center"/>
            <w:hideMark/>
          </w:tcPr>
          <w:p w14:paraId="2AEE9B8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6946B252" w14:textId="77777777" w:rsidR="00F56356" w:rsidRPr="00F56356" w:rsidRDefault="00F56356" w:rsidP="00F56356">
      <w:pPr>
        <w:spacing w:after="0" w:line="360" w:lineRule="auto"/>
        <w:jc w:val="both"/>
        <w:rPr>
          <w:rFonts w:ascii="Times New Roman" w:eastAsia="Times New Roman" w:hAnsi="Times New Roman" w:cs="Times New Roman"/>
          <w:b/>
          <w:color w:val="000000" w:themeColor="text1"/>
          <w:sz w:val="24"/>
          <w:szCs w:val="24"/>
          <w:lang w:eastAsia="it-IT"/>
        </w:rPr>
      </w:pPr>
    </w:p>
    <w:tbl>
      <w:tblPr>
        <w:tblW w:w="6861" w:type="dxa"/>
        <w:jc w:val="center"/>
        <w:tblCellMar>
          <w:left w:w="70" w:type="dxa"/>
          <w:right w:w="70" w:type="dxa"/>
        </w:tblCellMar>
        <w:tblLook w:val="04A0" w:firstRow="1" w:lastRow="0" w:firstColumn="1" w:lastColumn="0" w:noHBand="0" w:noVBand="1"/>
      </w:tblPr>
      <w:tblGrid>
        <w:gridCol w:w="469"/>
        <w:gridCol w:w="1566"/>
        <w:gridCol w:w="1566"/>
        <w:gridCol w:w="964"/>
        <w:gridCol w:w="1180"/>
        <w:gridCol w:w="1121"/>
      </w:tblGrid>
      <w:tr w:rsidR="00F56356" w:rsidRPr="00F56356" w14:paraId="5B3B536B" w14:textId="77777777" w:rsidTr="00F56356">
        <w:trPr>
          <w:trHeight w:val="420"/>
          <w:jc w:val="center"/>
        </w:trPr>
        <w:tc>
          <w:tcPr>
            <w:tcW w:w="6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EDEC"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38896F8A" w14:textId="77777777" w:rsidTr="00F56356">
        <w:trPr>
          <w:trHeight w:val="465"/>
          <w:jc w:val="center"/>
        </w:trPr>
        <w:tc>
          <w:tcPr>
            <w:tcW w:w="4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FC242A"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1D040F2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3FC58E2D"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65" w:type="dxa"/>
            <w:gridSpan w:val="3"/>
            <w:tcBorders>
              <w:top w:val="single" w:sz="4" w:space="0" w:color="auto"/>
              <w:left w:val="nil"/>
              <w:bottom w:val="single" w:sz="4" w:space="0" w:color="auto"/>
              <w:right w:val="single" w:sz="4" w:space="0" w:color="000000"/>
            </w:tcBorders>
            <w:shd w:val="clear" w:color="auto" w:fill="auto"/>
            <w:vAlign w:val="center"/>
            <w:hideMark/>
          </w:tcPr>
          <w:p w14:paraId="18EC33BC"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4B16BDA7" w14:textId="77777777" w:rsidTr="00F56356">
        <w:trPr>
          <w:trHeight w:val="300"/>
          <w:jc w:val="center"/>
        </w:trPr>
        <w:tc>
          <w:tcPr>
            <w:tcW w:w="464" w:type="dxa"/>
            <w:vMerge/>
            <w:tcBorders>
              <w:top w:val="nil"/>
              <w:left w:val="single" w:sz="4" w:space="0" w:color="auto"/>
              <w:bottom w:val="single" w:sz="4" w:space="0" w:color="auto"/>
              <w:right w:val="single" w:sz="4" w:space="0" w:color="auto"/>
            </w:tcBorders>
            <w:vAlign w:val="center"/>
            <w:hideMark/>
          </w:tcPr>
          <w:p w14:paraId="0B88DC79"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6" w:type="dxa"/>
            <w:vMerge/>
            <w:tcBorders>
              <w:top w:val="nil"/>
              <w:left w:val="single" w:sz="4" w:space="0" w:color="auto"/>
              <w:bottom w:val="single" w:sz="4" w:space="0" w:color="auto"/>
              <w:right w:val="single" w:sz="4" w:space="0" w:color="auto"/>
            </w:tcBorders>
            <w:vAlign w:val="center"/>
            <w:hideMark/>
          </w:tcPr>
          <w:p w14:paraId="1C7ED18B"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66" w:type="dxa"/>
            <w:vMerge/>
            <w:tcBorders>
              <w:top w:val="nil"/>
              <w:left w:val="single" w:sz="4" w:space="0" w:color="auto"/>
              <w:bottom w:val="single" w:sz="4" w:space="0" w:color="auto"/>
              <w:right w:val="single" w:sz="4" w:space="0" w:color="auto"/>
            </w:tcBorders>
            <w:vAlign w:val="center"/>
            <w:hideMark/>
          </w:tcPr>
          <w:p w14:paraId="48399531"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64" w:type="dxa"/>
            <w:tcBorders>
              <w:top w:val="nil"/>
              <w:left w:val="nil"/>
              <w:bottom w:val="single" w:sz="4" w:space="0" w:color="auto"/>
              <w:right w:val="single" w:sz="4" w:space="0" w:color="auto"/>
            </w:tcBorders>
            <w:shd w:val="clear" w:color="auto" w:fill="auto"/>
            <w:vAlign w:val="center"/>
            <w:hideMark/>
          </w:tcPr>
          <w:p w14:paraId="641D4E84"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80" w:type="dxa"/>
            <w:tcBorders>
              <w:top w:val="nil"/>
              <w:left w:val="nil"/>
              <w:bottom w:val="single" w:sz="4" w:space="0" w:color="auto"/>
              <w:right w:val="single" w:sz="4" w:space="0" w:color="auto"/>
            </w:tcBorders>
            <w:shd w:val="clear" w:color="auto" w:fill="auto"/>
            <w:vAlign w:val="center"/>
            <w:hideMark/>
          </w:tcPr>
          <w:p w14:paraId="535A165D"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21" w:type="dxa"/>
            <w:tcBorders>
              <w:top w:val="nil"/>
              <w:left w:val="nil"/>
              <w:bottom w:val="single" w:sz="4" w:space="0" w:color="auto"/>
              <w:right w:val="single" w:sz="4" w:space="0" w:color="auto"/>
            </w:tcBorders>
            <w:shd w:val="clear" w:color="auto" w:fill="auto"/>
            <w:vAlign w:val="center"/>
            <w:hideMark/>
          </w:tcPr>
          <w:p w14:paraId="4218C3A7"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1BA26A8"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42767D4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440</w:t>
            </w:r>
          </w:p>
        </w:tc>
        <w:tc>
          <w:tcPr>
            <w:tcW w:w="1566" w:type="dxa"/>
            <w:tcBorders>
              <w:top w:val="nil"/>
              <w:left w:val="nil"/>
              <w:bottom w:val="single" w:sz="4" w:space="0" w:color="auto"/>
              <w:right w:val="single" w:sz="4" w:space="0" w:color="auto"/>
            </w:tcBorders>
            <w:shd w:val="clear" w:color="auto" w:fill="auto"/>
            <w:noWrap/>
            <w:vAlign w:val="center"/>
            <w:hideMark/>
          </w:tcPr>
          <w:p w14:paraId="56B186F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3.800,15</w:t>
            </w:r>
          </w:p>
        </w:tc>
        <w:tc>
          <w:tcPr>
            <w:tcW w:w="1566" w:type="dxa"/>
            <w:tcBorders>
              <w:top w:val="nil"/>
              <w:left w:val="nil"/>
              <w:bottom w:val="single" w:sz="4" w:space="0" w:color="auto"/>
              <w:right w:val="single" w:sz="4" w:space="0" w:color="auto"/>
            </w:tcBorders>
            <w:shd w:val="clear" w:color="auto" w:fill="auto"/>
            <w:noWrap/>
            <w:vAlign w:val="center"/>
            <w:hideMark/>
          </w:tcPr>
          <w:p w14:paraId="739411C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27A6A1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7D44BEC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1" w:type="dxa"/>
            <w:tcBorders>
              <w:top w:val="nil"/>
              <w:left w:val="nil"/>
              <w:bottom w:val="single" w:sz="4" w:space="0" w:color="auto"/>
              <w:right w:val="single" w:sz="4" w:space="0" w:color="auto"/>
            </w:tcBorders>
            <w:shd w:val="clear" w:color="auto" w:fill="auto"/>
            <w:noWrap/>
            <w:vAlign w:val="center"/>
            <w:hideMark/>
          </w:tcPr>
          <w:p w14:paraId="5157007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6A32930B"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D69C8C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446</w:t>
            </w:r>
          </w:p>
        </w:tc>
        <w:tc>
          <w:tcPr>
            <w:tcW w:w="1566" w:type="dxa"/>
            <w:tcBorders>
              <w:top w:val="nil"/>
              <w:left w:val="nil"/>
              <w:bottom w:val="single" w:sz="4" w:space="0" w:color="auto"/>
              <w:right w:val="single" w:sz="4" w:space="0" w:color="auto"/>
            </w:tcBorders>
            <w:shd w:val="clear" w:color="auto" w:fill="auto"/>
            <w:noWrap/>
            <w:vAlign w:val="center"/>
            <w:hideMark/>
          </w:tcPr>
          <w:p w14:paraId="4E49758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27.219.293,86</w:t>
            </w:r>
          </w:p>
        </w:tc>
        <w:tc>
          <w:tcPr>
            <w:tcW w:w="1566" w:type="dxa"/>
            <w:tcBorders>
              <w:top w:val="nil"/>
              <w:left w:val="nil"/>
              <w:bottom w:val="single" w:sz="4" w:space="0" w:color="auto"/>
              <w:right w:val="single" w:sz="4" w:space="0" w:color="auto"/>
            </w:tcBorders>
            <w:shd w:val="clear" w:color="auto" w:fill="auto"/>
            <w:noWrap/>
            <w:vAlign w:val="center"/>
            <w:hideMark/>
          </w:tcPr>
          <w:p w14:paraId="732DBA9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24.942.664,26</w:t>
            </w:r>
          </w:p>
        </w:tc>
        <w:tc>
          <w:tcPr>
            <w:tcW w:w="964" w:type="dxa"/>
            <w:tcBorders>
              <w:top w:val="nil"/>
              <w:left w:val="nil"/>
              <w:bottom w:val="single" w:sz="4" w:space="0" w:color="auto"/>
              <w:right w:val="single" w:sz="4" w:space="0" w:color="auto"/>
            </w:tcBorders>
            <w:shd w:val="clear" w:color="auto" w:fill="auto"/>
            <w:noWrap/>
            <w:vAlign w:val="center"/>
            <w:hideMark/>
          </w:tcPr>
          <w:p w14:paraId="3C5B2B5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c>
          <w:tcPr>
            <w:tcW w:w="1180" w:type="dxa"/>
            <w:tcBorders>
              <w:top w:val="nil"/>
              <w:left w:val="nil"/>
              <w:bottom w:val="single" w:sz="4" w:space="0" w:color="auto"/>
              <w:right w:val="single" w:sz="4" w:space="0" w:color="auto"/>
            </w:tcBorders>
            <w:shd w:val="clear" w:color="auto" w:fill="auto"/>
            <w:noWrap/>
            <w:vAlign w:val="center"/>
            <w:hideMark/>
          </w:tcPr>
          <w:p w14:paraId="10995F6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8,36</w:t>
            </w:r>
          </w:p>
        </w:tc>
        <w:tc>
          <w:tcPr>
            <w:tcW w:w="1121" w:type="dxa"/>
            <w:tcBorders>
              <w:top w:val="nil"/>
              <w:left w:val="nil"/>
              <w:bottom w:val="single" w:sz="4" w:space="0" w:color="auto"/>
              <w:right w:val="single" w:sz="4" w:space="0" w:color="auto"/>
            </w:tcBorders>
            <w:shd w:val="clear" w:color="auto" w:fill="auto"/>
            <w:noWrap/>
            <w:vAlign w:val="center"/>
            <w:hideMark/>
          </w:tcPr>
          <w:p w14:paraId="66EE97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-1,64</w:t>
            </w:r>
          </w:p>
        </w:tc>
      </w:tr>
      <w:tr w:rsidR="00F56356" w:rsidRPr="00F56356" w14:paraId="55401040"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3140044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447</w:t>
            </w:r>
          </w:p>
        </w:tc>
        <w:tc>
          <w:tcPr>
            <w:tcW w:w="1566" w:type="dxa"/>
            <w:tcBorders>
              <w:top w:val="nil"/>
              <w:left w:val="nil"/>
              <w:bottom w:val="single" w:sz="4" w:space="0" w:color="auto"/>
              <w:right w:val="single" w:sz="4" w:space="0" w:color="auto"/>
            </w:tcBorders>
            <w:shd w:val="clear" w:color="000000" w:fill="FFFFFF"/>
            <w:noWrap/>
            <w:vAlign w:val="center"/>
            <w:hideMark/>
          </w:tcPr>
          <w:p w14:paraId="7FF11E9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221.379,38</w:t>
            </w:r>
          </w:p>
        </w:tc>
        <w:tc>
          <w:tcPr>
            <w:tcW w:w="1566" w:type="dxa"/>
            <w:tcBorders>
              <w:top w:val="nil"/>
              <w:left w:val="nil"/>
              <w:bottom w:val="single" w:sz="4" w:space="0" w:color="auto"/>
              <w:right w:val="single" w:sz="4" w:space="0" w:color="auto"/>
            </w:tcBorders>
            <w:shd w:val="clear" w:color="000000" w:fill="FFFFFF"/>
            <w:noWrap/>
            <w:vAlign w:val="center"/>
            <w:hideMark/>
          </w:tcPr>
          <w:p w14:paraId="602F57E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34D0D9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E103D2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1" w:type="dxa"/>
            <w:tcBorders>
              <w:top w:val="nil"/>
              <w:left w:val="nil"/>
              <w:bottom w:val="single" w:sz="4" w:space="0" w:color="auto"/>
              <w:right w:val="single" w:sz="4" w:space="0" w:color="auto"/>
            </w:tcBorders>
            <w:shd w:val="clear" w:color="auto" w:fill="auto"/>
            <w:noWrap/>
            <w:vAlign w:val="center"/>
            <w:hideMark/>
          </w:tcPr>
          <w:p w14:paraId="20075B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CA97B2B"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15BC4C7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451</w:t>
            </w:r>
          </w:p>
        </w:tc>
        <w:tc>
          <w:tcPr>
            <w:tcW w:w="1566" w:type="dxa"/>
            <w:tcBorders>
              <w:top w:val="nil"/>
              <w:left w:val="nil"/>
              <w:bottom w:val="single" w:sz="4" w:space="0" w:color="auto"/>
              <w:right w:val="single" w:sz="4" w:space="0" w:color="auto"/>
            </w:tcBorders>
            <w:shd w:val="clear" w:color="000000" w:fill="FFFFFF"/>
            <w:noWrap/>
            <w:vAlign w:val="center"/>
            <w:hideMark/>
          </w:tcPr>
          <w:p w14:paraId="73CECD5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118.032,00</w:t>
            </w:r>
          </w:p>
        </w:tc>
        <w:tc>
          <w:tcPr>
            <w:tcW w:w="1566" w:type="dxa"/>
            <w:tcBorders>
              <w:top w:val="nil"/>
              <w:left w:val="nil"/>
              <w:bottom w:val="single" w:sz="4" w:space="0" w:color="auto"/>
              <w:right w:val="single" w:sz="4" w:space="0" w:color="auto"/>
            </w:tcBorders>
            <w:shd w:val="clear" w:color="000000" w:fill="FFFFFF"/>
            <w:noWrap/>
            <w:vAlign w:val="center"/>
            <w:hideMark/>
          </w:tcPr>
          <w:p w14:paraId="5FA9825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87.600,00</w:t>
            </w:r>
          </w:p>
        </w:tc>
        <w:tc>
          <w:tcPr>
            <w:tcW w:w="964" w:type="dxa"/>
            <w:tcBorders>
              <w:top w:val="nil"/>
              <w:left w:val="nil"/>
              <w:bottom w:val="single" w:sz="4" w:space="0" w:color="auto"/>
              <w:right w:val="single" w:sz="4" w:space="0" w:color="auto"/>
            </w:tcBorders>
            <w:shd w:val="clear" w:color="auto" w:fill="auto"/>
            <w:noWrap/>
            <w:vAlign w:val="center"/>
            <w:hideMark/>
          </w:tcPr>
          <w:p w14:paraId="04F917F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80" w:type="dxa"/>
            <w:tcBorders>
              <w:top w:val="nil"/>
              <w:left w:val="nil"/>
              <w:bottom w:val="single" w:sz="4" w:space="0" w:color="auto"/>
              <w:right w:val="single" w:sz="4" w:space="0" w:color="auto"/>
            </w:tcBorders>
            <w:shd w:val="clear" w:color="auto" w:fill="auto"/>
            <w:noWrap/>
            <w:vAlign w:val="center"/>
            <w:hideMark/>
          </w:tcPr>
          <w:p w14:paraId="6318736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25,78</w:t>
            </w:r>
          </w:p>
        </w:tc>
        <w:tc>
          <w:tcPr>
            <w:tcW w:w="1121" w:type="dxa"/>
            <w:tcBorders>
              <w:top w:val="nil"/>
              <w:left w:val="nil"/>
              <w:bottom w:val="single" w:sz="4" w:space="0" w:color="auto"/>
              <w:right w:val="single" w:sz="4" w:space="0" w:color="auto"/>
            </w:tcBorders>
            <w:shd w:val="clear" w:color="auto" w:fill="auto"/>
            <w:noWrap/>
            <w:vAlign w:val="center"/>
            <w:hideMark/>
          </w:tcPr>
          <w:p w14:paraId="3C113EF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-24,22</w:t>
            </w:r>
          </w:p>
        </w:tc>
      </w:tr>
      <w:tr w:rsidR="00F56356" w:rsidRPr="00F56356" w14:paraId="293F7011"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0CE720F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486</w:t>
            </w:r>
          </w:p>
        </w:tc>
        <w:tc>
          <w:tcPr>
            <w:tcW w:w="1566" w:type="dxa"/>
            <w:tcBorders>
              <w:top w:val="nil"/>
              <w:left w:val="nil"/>
              <w:bottom w:val="single" w:sz="4" w:space="0" w:color="auto"/>
              <w:right w:val="single" w:sz="4" w:space="0" w:color="auto"/>
            </w:tcBorders>
            <w:shd w:val="clear" w:color="000000" w:fill="FFFFFF"/>
            <w:noWrap/>
            <w:vAlign w:val="center"/>
            <w:hideMark/>
          </w:tcPr>
          <w:p w14:paraId="19E8D02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104.969,56</w:t>
            </w:r>
          </w:p>
        </w:tc>
        <w:tc>
          <w:tcPr>
            <w:tcW w:w="1566" w:type="dxa"/>
            <w:tcBorders>
              <w:top w:val="nil"/>
              <w:left w:val="nil"/>
              <w:bottom w:val="single" w:sz="4" w:space="0" w:color="auto"/>
              <w:right w:val="single" w:sz="4" w:space="0" w:color="auto"/>
            </w:tcBorders>
            <w:shd w:val="clear" w:color="000000" w:fill="FFFFFF"/>
            <w:noWrap/>
            <w:vAlign w:val="center"/>
            <w:hideMark/>
          </w:tcPr>
          <w:p w14:paraId="1385CD3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104.969,56</w:t>
            </w:r>
          </w:p>
        </w:tc>
        <w:tc>
          <w:tcPr>
            <w:tcW w:w="964" w:type="dxa"/>
            <w:tcBorders>
              <w:top w:val="nil"/>
              <w:left w:val="nil"/>
              <w:bottom w:val="single" w:sz="4" w:space="0" w:color="auto"/>
              <w:right w:val="single" w:sz="4" w:space="0" w:color="auto"/>
            </w:tcBorders>
            <w:shd w:val="clear" w:color="auto" w:fill="auto"/>
            <w:noWrap/>
            <w:vAlign w:val="center"/>
            <w:hideMark/>
          </w:tcPr>
          <w:p w14:paraId="0F1DC20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03A8FEE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21" w:type="dxa"/>
            <w:tcBorders>
              <w:top w:val="nil"/>
              <w:left w:val="nil"/>
              <w:bottom w:val="single" w:sz="4" w:space="0" w:color="auto"/>
              <w:right w:val="single" w:sz="4" w:space="0" w:color="auto"/>
            </w:tcBorders>
            <w:shd w:val="clear" w:color="auto" w:fill="auto"/>
            <w:noWrap/>
            <w:vAlign w:val="center"/>
            <w:hideMark/>
          </w:tcPr>
          <w:p w14:paraId="0547A98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00B877A1" w14:textId="77777777" w:rsidTr="00F56356">
        <w:trPr>
          <w:trHeight w:val="315"/>
          <w:jc w:val="center"/>
        </w:trPr>
        <w:tc>
          <w:tcPr>
            <w:tcW w:w="464" w:type="dxa"/>
            <w:tcBorders>
              <w:top w:val="nil"/>
              <w:left w:val="single" w:sz="4" w:space="0" w:color="auto"/>
              <w:bottom w:val="single" w:sz="4" w:space="0" w:color="auto"/>
              <w:right w:val="single" w:sz="4" w:space="0" w:color="auto"/>
            </w:tcBorders>
            <w:shd w:val="clear" w:color="000000" w:fill="FFFFFF"/>
            <w:noWrap/>
            <w:vAlign w:val="center"/>
            <w:hideMark/>
          </w:tcPr>
          <w:p w14:paraId="01BB15B8"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6" w:type="dxa"/>
            <w:tcBorders>
              <w:top w:val="nil"/>
              <w:left w:val="nil"/>
              <w:bottom w:val="single" w:sz="4" w:space="0" w:color="auto"/>
              <w:right w:val="single" w:sz="4" w:space="0" w:color="auto"/>
            </w:tcBorders>
            <w:shd w:val="clear" w:color="000000" w:fill="FFFFFF"/>
            <w:noWrap/>
            <w:vAlign w:val="center"/>
            <w:hideMark/>
          </w:tcPr>
          <w:p w14:paraId="013CE9A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27.667.474,95</w:t>
            </w:r>
          </w:p>
        </w:tc>
        <w:tc>
          <w:tcPr>
            <w:tcW w:w="1566" w:type="dxa"/>
            <w:tcBorders>
              <w:top w:val="nil"/>
              <w:left w:val="nil"/>
              <w:bottom w:val="single" w:sz="4" w:space="0" w:color="auto"/>
              <w:right w:val="single" w:sz="4" w:space="0" w:color="auto"/>
            </w:tcBorders>
            <w:shd w:val="clear" w:color="000000" w:fill="FFFFFF"/>
            <w:noWrap/>
            <w:vAlign w:val="center"/>
            <w:hideMark/>
          </w:tcPr>
          <w:p w14:paraId="18DC2275"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25.135.233,82</w:t>
            </w:r>
          </w:p>
        </w:tc>
        <w:tc>
          <w:tcPr>
            <w:tcW w:w="964" w:type="dxa"/>
            <w:tcBorders>
              <w:top w:val="nil"/>
              <w:left w:val="nil"/>
              <w:bottom w:val="nil"/>
              <w:right w:val="nil"/>
            </w:tcBorders>
            <w:shd w:val="clear" w:color="auto" w:fill="auto"/>
            <w:noWrap/>
            <w:vAlign w:val="center"/>
            <w:hideMark/>
          </w:tcPr>
          <w:p w14:paraId="50229FD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80" w:type="dxa"/>
            <w:tcBorders>
              <w:top w:val="nil"/>
              <w:left w:val="nil"/>
              <w:bottom w:val="nil"/>
              <w:right w:val="nil"/>
            </w:tcBorders>
            <w:shd w:val="clear" w:color="auto" w:fill="auto"/>
            <w:noWrap/>
            <w:vAlign w:val="center"/>
            <w:hideMark/>
          </w:tcPr>
          <w:p w14:paraId="5B5BC54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21" w:type="dxa"/>
            <w:tcBorders>
              <w:top w:val="nil"/>
              <w:left w:val="nil"/>
              <w:bottom w:val="nil"/>
              <w:right w:val="nil"/>
            </w:tcBorders>
            <w:shd w:val="clear" w:color="auto" w:fill="auto"/>
            <w:noWrap/>
            <w:vAlign w:val="center"/>
            <w:hideMark/>
          </w:tcPr>
          <w:p w14:paraId="6AACC2C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3FD20539" w14:textId="77777777" w:rsidR="00F56356" w:rsidRPr="00F56356" w:rsidRDefault="00F56356" w:rsidP="00F56356">
      <w:pPr>
        <w:spacing w:after="0" w:line="360" w:lineRule="auto"/>
        <w:jc w:val="center"/>
        <w:rPr>
          <w:rFonts w:ascii="Times New Roman" w:eastAsia="Times New Roman" w:hAnsi="Times New Roman" w:cs="Times New Roman"/>
          <w:b/>
          <w:color w:val="000000" w:themeColor="text1"/>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69"/>
        <w:gridCol w:w="1567"/>
        <w:gridCol w:w="1567"/>
        <w:gridCol w:w="964"/>
        <w:gridCol w:w="1181"/>
        <w:gridCol w:w="1116"/>
      </w:tblGrid>
      <w:tr w:rsidR="00F56356" w:rsidRPr="00F56356" w14:paraId="0455ED7D"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F3C36"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IN CONTO CAPITALE</w:t>
            </w:r>
          </w:p>
        </w:tc>
      </w:tr>
      <w:tr w:rsidR="00F56356" w:rsidRPr="00F56356" w14:paraId="76FEA121" w14:textId="77777777" w:rsidTr="00F56356">
        <w:trPr>
          <w:trHeight w:val="465"/>
          <w:jc w:val="center"/>
        </w:trPr>
        <w:tc>
          <w:tcPr>
            <w:tcW w:w="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49046"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4B9FD2A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4D612902"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61" w:type="dxa"/>
            <w:gridSpan w:val="3"/>
            <w:tcBorders>
              <w:top w:val="single" w:sz="4" w:space="0" w:color="auto"/>
              <w:left w:val="nil"/>
              <w:bottom w:val="single" w:sz="4" w:space="0" w:color="auto"/>
              <w:right w:val="single" w:sz="4" w:space="0" w:color="000000"/>
            </w:tcBorders>
            <w:shd w:val="clear" w:color="auto" w:fill="auto"/>
            <w:vAlign w:val="center"/>
            <w:hideMark/>
          </w:tcPr>
          <w:p w14:paraId="236F117D"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01B74CA6" w14:textId="77777777" w:rsidTr="00F56356">
        <w:trPr>
          <w:trHeight w:val="300"/>
          <w:jc w:val="center"/>
        </w:trPr>
        <w:tc>
          <w:tcPr>
            <w:tcW w:w="465" w:type="dxa"/>
            <w:vMerge/>
            <w:tcBorders>
              <w:top w:val="nil"/>
              <w:left w:val="single" w:sz="4" w:space="0" w:color="auto"/>
              <w:bottom w:val="single" w:sz="4" w:space="0" w:color="auto"/>
              <w:right w:val="single" w:sz="4" w:space="0" w:color="auto"/>
            </w:tcBorders>
            <w:vAlign w:val="center"/>
            <w:hideMark/>
          </w:tcPr>
          <w:p w14:paraId="21785C16"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21717D74"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19E68D3B"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64" w:type="dxa"/>
            <w:tcBorders>
              <w:top w:val="nil"/>
              <w:left w:val="nil"/>
              <w:bottom w:val="single" w:sz="4" w:space="0" w:color="auto"/>
              <w:right w:val="single" w:sz="4" w:space="0" w:color="auto"/>
            </w:tcBorders>
            <w:shd w:val="clear" w:color="auto" w:fill="auto"/>
            <w:vAlign w:val="center"/>
            <w:hideMark/>
          </w:tcPr>
          <w:p w14:paraId="3CC4CBD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81" w:type="dxa"/>
            <w:tcBorders>
              <w:top w:val="nil"/>
              <w:left w:val="nil"/>
              <w:bottom w:val="single" w:sz="4" w:space="0" w:color="auto"/>
              <w:right w:val="single" w:sz="4" w:space="0" w:color="auto"/>
            </w:tcBorders>
            <w:shd w:val="clear" w:color="auto" w:fill="auto"/>
            <w:vAlign w:val="center"/>
            <w:hideMark/>
          </w:tcPr>
          <w:p w14:paraId="64CD459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16" w:type="dxa"/>
            <w:tcBorders>
              <w:top w:val="nil"/>
              <w:left w:val="nil"/>
              <w:bottom w:val="single" w:sz="4" w:space="0" w:color="auto"/>
              <w:right w:val="single" w:sz="4" w:space="0" w:color="auto"/>
            </w:tcBorders>
            <w:shd w:val="clear" w:color="auto" w:fill="auto"/>
            <w:vAlign w:val="center"/>
            <w:hideMark/>
          </w:tcPr>
          <w:p w14:paraId="31F43C3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8BDD8A7" w14:textId="77777777" w:rsidTr="00F56356">
        <w:trPr>
          <w:trHeight w:val="240"/>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70042C0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939</w:t>
            </w:r>
          </w:p>
        </w:tc>
        <w:tc>
          <w:tcPr>
            <w:tcW w:w="1567" w:type="dxa"/>
            <w:tcBorders>
              <w:top w:val="nil"/>
              <w:left w:val="nil"/>
              <w:bottom w:val="single" w:sz="4" w:space="0" w:color="auto"/>
              <w:right w:val="single" w:sz="4" w:space="0" w:color="auto"/>
            </w:tcBorders>
            <w:shd w:val="clear" w:color="auto" w:fill="auto"/>
            <w:noWrap/>
            <w:vAlign w:val="center"/>
            <w:hideMark/>
          </w:tcPr>
          <w:p w14:paraId="6B1A23C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36.212.187,44</w:t>
            </w:r>
          </w:p>
        </w:tc>
        <w:tc>
          <w:tcPr>
            <w:tcW w:w="1567" w:type="dxa"/>
            <w:tcBorders>
              <w:top w:val="nil"/>
              <w:left w:val="nil"/>
              <w:bottom w:val="single" w:sz="4" w:space="0" w:color="auto"/>
              <w:right w:val="single" w:sz="4" w:space="0" w:color="auto"/>
            </w:tcBorders>
            <w:shd w:val="clear" w:color="auto" w:fill="auto"/>
            <w:noWrap/>
            <w:vAlign w:val="center"/>
            <w:hideMark/>
          </w:tcPr>
          <w:p w14:paraId="64DC217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29.786.897,16</w:t>
            </w:r>
          </w:p>
        </w:tc>
        <w:tc>
          <w:tcPr>
            <w:tcW w:w="964" w:type="dxa"/>
            <w:tcBorders>
              <w:top w:val="nil"/>
              <w:left w:val="nil"/>
              <w:bottom w:val="single" w:sz="4" w:space="0" w:color="auto"/>
              <w:right w:val="single" w:sz="4" w:space="0" w:color="auto"/>
            </w:tcBorders>
            <w:shd w:val="clear" w:color="auto" w:fill="auto"/>
            <w:noWrap/>
            <w:vAlign w:val="center"/>
            <w:hideMark/>
          </w:tcPr>
          <w:p w14:paraId="6BFC189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w:t>
            </w:r>
          </w:p>
        </w:tc>
        <w:tc>
          <w:tcPr>
            <w:tcW w:w="1181" w:type="dxa"/>
            <w:tcBorders>
              <w:top w:val="nil"/>
              <w:left w:val="nil"/>
              <w:bottom w:val="single" w:sz="4" w:space="0" w:color="auto"/>
              <w:right w:val="single" w:sz="4" w:space="0" w:color="auto"/>
            </w:tcBorders>
            <w:shd w:val="clear" w:color="auto" w:fill="auto"/>
            <w:noWrap/>
            <w:vAlign w:val="center"/>
            <w:hideMark/>
          </w:tcPr>
          <w:p w14:paraId="4148FE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17,74</w:t>
            </w:r>
          </w:p>
        </w:tc>
        <w:tc>
          <w:tcPr>
            <w:tcW w:w="1116" w:type="dxa"/>
            <w:tcBorders>
              <w:top w:val="nil"/>
              <w:left w:val="nil"/>
              <w:bottom w:val="single" w:sz="4" w:space="0" w:color="auto"/>
              <w:right w:val="single" w:sz="4" w:space="0" w:color="auto"/>
            </w:tcBorders>
            <w:shd w:val="clear" w:color="auto" w:fill="auto"/>
            <w:noWrap/>
            <w:vAlign w:val="center"/>
            <w:hideMark/>
          </w:tcPr>
          <w:p w14:paraId="2860E85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-0,26</w:t>
            </w:r>
          </w:p>
        </w:tc>
      </w:tr>
      <w:tr w:rsidR="00F56356" w:rsidRPr="00F56356" w14:paraId="5D4883BA" w14:textId="77777777" w:rsidTr="00F56356">
        <w:trPr>
          <w:trHeight w:val="315"/>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14:paraId="162D34F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7" w:type="dxa"/>
            <w:tcBorders>
              <w:top w:val="nil"/>
              <w:left w:val="nil"/>
              <w:bottom w:val="single" w:sz="4" w:space="0" w:color="auto"/>
              <w:right w:val="single" w:sz="4" w:space="0" w:color="auto"/>
            </w:tcBorders>
            <w:shd w:val="clear" w:color="auto" w:fill="auto"/>
            <w:noWrap/>
            <w:vAlign w:val="center"/>
            <w:hideMark/>
          </w:tcPr>
          <w:p w14:paraId="5F56C23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36.212.187,44</w:t>
            </w:r>
          </w:p>
        </w:tc>
        <w:tc>
          <w:tcPr>
            <w:tcW w:w="1567" w:type="dxa"/>
            <w:tcBorders>
              <w:top w:val="nil"/>
              <w:left w:val="nil"/>
              <w:bottom w:val="single" w:sz="4" w:space="0" w:color="auto"/>
              <w:right w:val="single" w:sz="4" w:space="0" w:color="auto"/>
            </w:tcBorders>
            <w:shd w:val="clear" w:color="auto" w:fill="auto"/>
            <w:noWrap/>
            <w:vAlign w:val="center"/>
            <w:hideMark/>
          </w:tcPr>
          <w:p w14:paraId="1E64F4C6"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29.786.897,16</w:t>
            </w:r>
          </w:p>
        </w:tc>
        <w:tc>
          <w:tcPr>
            <w:tcW w:w="964" w:type="dxa"/>
            <w:tcBorders>
              <w:top w:val="nil"/>
              <w:left w:val="nil"/>
              <w:bottom w:val="nil"/>
              <w:right w:val="nil"/>
            </w:tcBorders>
            <w:shd w:val="clear" w:color="auto" w:fill="auto"/>
            <w:noWrap/>
            <w:vAlign w:val="center"/>
            <w:hideMark/>
          </w:tcPr>
          <w:p w14:paraId="220F060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81" w:type="dxa"/>
            <w:tcBorders>
              <w:top w:val="nil"/>
              <w:left w:val="nil"/>
              <w:bottom w:val="nil"/>
              <w:right w:val="nil"/>
            </w:tcBorders>
            <w:shd w:val="clear" w:color="auto" w:fill="auto"/>
            <w:noWrap/>
            <w:vAlign w:val="center"/>
            <w:hideMark/>
          </w:tcPr>
          <w:p w14:paraId="356719E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16" w:type="dxa"/>
            <w:tcBorders>
              <w:top w:val="nil"/>
              <w:left w:val="nil"/>
              <w:bottom w:val="nil"/>
              <w:right w:val="nil"/>
            </w:tcBorders>
            <w:shd w:val="clear" w:color="auto" w:fill="auto"/>
            <w:noWrap/>
            <w:vAlign w:val="center"/>
            <w:hideMark/>
          </w:tcPr>
          <w:p w14:paraId="4F5A7BB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41F26085" w14:textId="77777777" w:rsidR="00F56356" w:rsidRPr="00F56356" w:rsidRDefault="00F56356" w:rsidP="00F56356">
      <w:pPr>
        <w:spacing w:after="0" w:line="360" w:lineRule="auto"/>
        <w:jc w:val="both"/>
        <w:rPr>
          <w:rFonts w:ascii="Times New Roman" w:eastAsia="Times New Roman" w:hAnsi="Times New Roman" w:cs="Times New Roman"/>
          <w:b/>
          <w:color w:val="000000" w:themeColor="text1"/>
          <w:sz w:val="24"/>
          <w:szCs w:val="24"/>
          <w:lang w:eastAsia="it-IT"/>
        </w:rPr>
      </w:pPr>
    </w:p>
    <w:p w14:paraId="0A6DA204" w14:textId="77777777" w:rsidR="00F56356" w:rsidRPr="00F56356" w:rsidRDefault="00F56356" w:rsidP="00F56356">
      <w:pPr>
        <w:spacing w:after="0" w:line="360" w:lineRule="auto"/>
        <w:jc w:val="both"/>
        <w:rPr>
          <w:rFonts w:ascii="Times New Roman" w:eastAsia="Times New Roman" w:hAnsi="Times New Roman" w:cs="Times New Roman"/>
          <w:b/>
          <w:color w:val="000000" w:themeColor="text1"/>
          <w:sz w:val="18"/>
          <w:szCs w:val="24"/>
          <w:lang w:eastAsia="it-IT"/>
        </w:rPr>
      </w:pPr>
    </w:p>
    <w:p w14:paraId="2AED22C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Le risorse impegnate di euro 196.892.787,27 sono state destinate per euro 538.751,03 al funzionamento, per euro 160.245.691,68 agli interventi e per euro 36.108.344,56 alle spese in conto capitale.</w:t>
      </w:r>
    </w:p>
    <w:p w14:paraId="665D313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
          <w:szCs w:val="24"/>
          <w:lang w:eastAsia="it-IT"/>
        </w:rPr>
      </w:pPr>
    </w:p>
    <w:p w14:paraId="203713C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  538.751,03, di cui euro 6.329,39 riferiti a reiscrizioni di residui passivi perenti, sono state destinate alle spese per il funzionamento della Segreteria della Conferenza Stato-Regioni (cap. 260), alle spese di funzionamento dei Commissariati di Governo nelle Regioni a statuto speciale (cap. 439), al rimborso delle spese per le missioni in Italia e all’estero (cap. 442),</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alle spese per acquisto di giornali, riviste e periodici (cap. 460) e alla corresponsione dei compensi ai componenti di nomina statale delle Commissioni paritetiche previste dagli statuti delle Regioni a statuto speciale (cap. 485).</w:t>
      </w:r>
    </w:p>
    <w:p w14:paraId="7BFDB318" w14:textId="77777777" w:rsidR="00F56356" w:rsidRPr="00F56356" w:rsidRDefault="00F56356" w:rsidP="00F56356">
      <w:pPr>
        <w:spacing w:after="0" w:line="360" w:lineRule="auto"/>
        <w:ind w:right="284"/>
        <w:jc w:val="both"/>
        <w:rPr>
          <w:rFonts w:ascii="Times New Roman" w:eastAsia="Times New Roman" w:hAnsi="Times New Roman" w:cs="Times New Roman"/>
          <w:color w:val="000000" w:themeColor="text1"/>
          <w:sz w:val="6"/>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4ECC93B5" w14:textId="77777777" w:rsidR="00F56356" w:rsidRPr="00F56356" w:rsidRDefault="00F56356" w:rsidP="00F56356">
      <w:pPr>
        <w:spacing w:after="0" w:line="360" w:lineRule="auto"/>
        <w:ind w:right="284"/>
        <w:jc w:val="both"/>
        <w:rPr>
          <w:rFonts w:ascii="Times New Roman" w:eastAsia="Times New Roman" w:hAnsi="Times New Roman" w:cs="Times New Roman"/>
          <w:color w:val="000000" w:themeColor="text1"/>
          <w:sz w:val="6"/>
          <w:szCs w:val="24"/>
          <w:lang w:eastAsia="it-IT"/>
        </w:rPr>
      </w:pPr>
    </w:p>
    <w:p w14:paraId="194B677D" w14:textId="77777777" w:rsidR="00F56356" w:rsidRPr="00F56356" w:rsidRDefault="00F56356" w:rsidP="00F56356">
      <w:pPr>
        <w:spacing w:after="0" w:line="360" w:lineRule="auto"/>
        <w:ind w:right="284"/>
        <w:jc w:val="center"/>
        <w:rPr>
          <w:rFonts w:ascii="Times New Roman" w:eastAsia="Times New Roman" w:hAnsi="Times New Roman" w:cs="Times New Roman"/>
          <w:b/>
          <w:color w:val="000000" w:themeColor="text1"/>
          <w:sz w:val="12"/>
          <w:szCs w:val="24"/>
          <w:lang w:eastAsia="it-IT"/>
        </w:rPr>
      </w:pPr>
      <w:r w:rsidRPr="00F56356">
        <w:rPr>
          <w:rFonts w:ascii="Times New Roman" w:eastAsia="Times New Roman" w:hAnsi="Times New Roman" w:cs="Times New Roman"/>
          <w:noProof/>
          <w:sz w:val="28"/>
          <w:szCs w:val="28"/>
          <w:lang w:eastAsia="it-IT"/>
        </w:rPr>
        <w:lastRenderedPageBreak/>
        <w:drawing>
          <wp:anchor distT="0" distB="0" distL="114300" distR="114300" simplePos="0" relativeHeight="251691008" behindDoc="1" locked="0" layoutInCell="1" allowOverlap="1" wp14:anchorId="198192C9" wp14:editId="1AE8F7B2">
            <wp:simplePos x="0" y="0"/>
            <wp:positionH relativeFrom="column">
              <wp:posOffset>184785</wp:posOffset>
            </wp:positionH>
            <wp:positionV relativeFrom="paragraph">
              <wp:posOffset>262255</wp:posOffset>
            </wp:positionV>
            <wp:extent cx="5943600" cy="2251075"/>
            <wp:effectExtent l="0" t="0" r="0" b="0"/>
            <wp:wrapTight wrapText="bothSides">
              <wp:wrapPolygon edited="0">
                <wp:start x="0" y="0"/>
                <wp:lineTo x="0" y="21387"/>
                <wp:lineTo x="12046" y="21387"/>
                <wp:lineTo x="12046" y="20473"/>
                <wp:lineTo x="21531" y="19742"/>
                <wp:lineTo x="21531" y="15355"/>
                <wp:lineTo x="21046" y="14623"/>
                <wp:lineTo x="21531" y="14258"/>
                <wp:lineTo x="21531" y="6581"/>
                <wp:lineTo x="20146" y="5849"/>
                <wp:lineTo x="21462" y="5849"/>
                <wp:lineTo x="21531" y="4935"/>
                <wp:lineTo x="21185" y="2925"/>
                <wp:lineTo x="21462" y="2925"/>
                <wp:lineTo x="21531" y="2194"/>
                <wp:lineTo x="21531" y="0"/>
                <wp:lineTo x="0" y="0"/>
              </wp:wrapPolygon>
            </wp:wrapTight>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25107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7CCDECFD"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0309AA2A"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24D1B14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160.245.691,68, di cui euro 8.250.694,49 riferiti a reiscrizioni di residui passivi perenti, sono state destinate: </w:t>
      </w:r>
    </w:p>
    <w:p w14:paraId="1B8B989D" w14:textId="77777777" w:rsidR="00F56356" w:rsidRPr="00F56356" w:rsidRDefault="00F56356" w:rsidP="00F56356">
      <w:pPr>
        <w:spacing w:after="0" w:line="360" w:lineRule="auto"/>
        <w:ind w:left="284" w:right="816"/>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“Fondo nazionale integrativo per i Comuni montani</w:t>
      </w:r>
      <w:r w:rsidRPr="00F56356">
        <w:rPr>
          <w:rFonts w:ascii="Times New Roman" w:eastAsia="Times New Roman" w:hAnsi="Times New Roman" w:cs="Times New Roman"/>
          <w:color w:val="000000" w:themeColor="text1"/>
          <w:sz w:val="24"/>
          <w:szCs w:val="24"/>
          <w:lang w:eastAsia="it-IT"/>
        </w:rPr>
        <w:t>” (cap. 434)</w:t>
      </w:r>
    </w:p>
    <w:p w14:paraId="556A8E02"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34.030.391,09, di cui euro 7.852.132,15 riferiti a reiscrizioni di residui passivi perenti, al Fondo nazionale integrativo per i Comuni montani, destinato a finanziare progetti di Comuni totalmente montani. Il Fondo, ai sensi dell’articolo 1, comma 596, della legge 30 dicembre 2021, n. 234, e le relative risorse in competenza a decorrere dal 2022 sono confluite nel nuovo “Fondo per lo sviluppo delle montagne italiane”, istituito dal comma 593 del suddetto articolo. </w:t>
      </w:r>
    </w:p>
    <w:p w14:paraId="73D6CDCC"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Nel corso dell’anno 2022 sono state espletate le attività per il completamento della procedura relativa alla erogazione delle risorse 2018-2021 e residui 2014-2017, a seguito del Bando del 28 giugno 2019. Con l’Intesa del 5 novembre 2020 della Conferenza unificata, adottata in merito alla proposta per l’utilizzo dell’annualità 2020 per lo scorrimento delle graduatorie predisposte dalle Regioni, è stato previsto di utilizzare anche l’annualità 2021 per lo scorrimento delle medesime graduatorie. A seguito delle istruttorie necessarie all’individuazione dei Comuni esclusi che, cofinanziando la parte mancante, possono accedere al finanziamento residuo, è stata predisposta la bozza del decreto ministeriale di individuazione dei beneficiari, che ha previsto l’erogazione del finanziamento a n. 80 Comuni montani. Raggiunta l’Intesa della Conferenza unificata in data 9 febbraio 2022, sono stati acquisiti i pareri favorevoli espressi dalla V Commissione permanente del Senato e dalla V Commissione della Camera dei deputati, nel corso delle sedute del 13 aprile 2022. Il successivo decreto ministeriale di individuazione dei beneficiari è stato adottato in data 29 agosto 2022. La somma complessivamente impegnata è stata di euro 34.030.391,09, in ragione della rinuncia da parte di un Comune beneficiario alla propria quota spettante;</w:t>
      </w:r>
    </w:p>
    <w:p w14:paraId="12A1FA9B" w14:textId="771A224A" w:rsid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40A27AC0" w14:textId="77777777" w:rsidR="00410C3C" w:rsidRPr="00F56356" w:rsidRDefault="00410C3C"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6B17CA9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b)</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Somme destinate alle celebrazioni dei cinquanta anni delle Regioni” </w:t>
      </w:r>
      <w:r w:rsidRPr="00F56356">
        <w:rPr>
          <w:rFonts w:ascii="Times New Roman" w:eastAsia="Times New Roman" w:hAnsi="Times New Roman" w:cs="Times New Roman"/>
          <w:color w:val="000000" w:themeColor="text1"/>
          <w:sz w:val="24"/>
          <w:szCs w:val="24"/>
          <w:lang w:eastAsia="it-IT"/>
        </w:rPr>
        <w:t>(cap. 440)</w:t>
      </w:r>
    </w:p>
    <w:p w14:paraId="0AC3411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205.000,00 al completamento delle attività, individuate nel Piano di riparto approvato, nella seduta del 3 dicembre 2020, dal Comitato promotore delle celebrazioni del cinquantenario delle Regioni, da finanziare tramite il Fondo istituito con l’articolo 1, comma 546, della legge 27 dicembre 2019, n. 160, e in applicazione del decreto del Presidente del Consiglio dei ministri del 28 gennaio 2020,  per le celebrazioni dei cinquanta anni delle Regioni, finalizzato a finanziare interventi diretti alla realizzazione di iniziative culturali, artistiche e scientifiche, nonché all’organizzazione di seminari e alla formulazione di studi e ricerche anche in collaborazione con enti pubblici e privati. Nel corso dell’esercizio finanziario 2022 sono state impegnate e pagate somme per complessivi euro 180.000,00 per il pagamento dei premi da assegnare a ciascuna delle 60 Scuole (primarie, secondarie di primo e secondo grado, per un importo pari a euro 3.000,00 per ciascuna scuola), vincitrici del concorso nazionale, bandito dal competente Ministero per la pubblica istruzione, e assunti impegni di spesa per complessivi euro 25.000,00 per incarichi di prestazione di carattere intellettuale; </w:t>
      </w:r>
    </w:p>
    <w:p w14:paraId="7FA4171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 xml:space="preserve">“Fondo per lo sviluppo delle montagne italiane” </w:t>
      </w:r>
      <w:r w:rsidRPr="00F56356">
        <w:rPr>
          <w:rFonts w:ascii="Times New Roman" w:eastAsia="Times New Roman" w:hAnsi="Times New Roman" w:cs="Times New Roman"/>
          <w:color w:val="000000" w:themeColor="text1"/>
          <w:sz w:val="24"/>
          <w:szCs w:val="24"/>
          <w:lang w:eastAsia="it-IT"/>
        </w:rPr>
        <w:t>(cap. 441)</w:t>
      </w:r>
    </w:p>
    <w:p w14:paraId="5516DF7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96.994.983,50 al Fondo per lo sviluppo delle montagne italiane, istituito dalla legge 30 dicembre 2021, n. 234, articolo 1, commi 593 – 596. Gli stanziamenti del suddetto Fondo sono ripartiti con decreto del Ministro per gli affari regionali e le autonomie per quanto riguarda la quota destinata agli interventi di competenza statale e al finanziamento delle campagne istituzionali sui temi della montagna, e con decreto del Ministro per gli affari regionali e le autonomie, previa intesa con la Conferenza unificata, per quanto riguarda gli interventi di competenza delle regioni e degli enti locali. In particolare, sono stati impegnati ed erogati per la quota parte di interventi di competenza regionale, a seguito delle richieste di finanziamento delle Regioni beneficiarie, ai sensi del DM 30 maggio 2022, euro 96.828.911,00; mentre nell’ambito della quota parte di competenza statale si è provveduto all’impegno di euro 166.072,50 in favore dell’Università degli Studi di Milano per la realizzazione di un rapporto di ricerca denominato “Libro Bianco sulla montagna”, nonché per il supporto scientifico alla preparazione degli eventi da programmare in vista della Giornata internazionale della montagna;</w:t>
      </w:r>
    </w:p>
    <w:p w14:paraId="6987B9D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Fondo per la valorizzazione e la promozione delle aree territoriali svantaggiate confinanti con le regioni a statuto speciale”</w:t>
      </w:r>
      <w:r w:rsidRPr="00F56356">
        <w:rPr>
          <w:rFonts w:ascii="Times New Roman" w:eastAsia="Times New Roman" w:hAnsi="Times New Roman" w:cs="Times New Roman"/>
          <w:color w:val="000000" w:themeColor="text1"/>
          <w:sz w:val="24"/>
          <w:szCs w:val="24"/>
          <w:lang w:eastAsia="it-IT"/>
        </w:rPr>
        <w:t xml:space="preserve"> (cap. 446)</w:t>
      </w:r>
    </w:p>
    <w:p w14:paraId="16F220C4"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23.409.345,81 al finanziamento dei progetti per lo sviluppo economico e l’integrazione presentati dai 47 comuni confinanti con le Regioni a statuto speciale Valle d’Aosta e Friuli Venezia Giulia, tramite Avviso pubblico, ai sensi dell’articolo 6, comma 7, del decreto-legge 2 luglio 2007, n. 81, convertito, con modificazioni, dalla legge 3 agosto 2007, n. 127, che ha istituito il Fondo destinato al finanziamento di specifici progetti finalizzati allo sviluppo economico e sociale dei territori dei comuni confinanti con le Regioni a statuto speciale e le cui modalità di erogazione sono </w:t>
      </w:r>
      <w:r w:rsidRPr="00F56356">
        <w:rPr>
          <w:rFonts w:ascii="Times New Roman" w:eastAsia="Times New Roman" w:hAnsi="Times New Roman" w:cs="Times New Roman"/>
          <w:color w:val="000000" w:themeColor="text1"/>
          <w:sz w:val="24"/>
          <w:szCs w:val="24"/>
          <w:lang w:eastAsia="it-IT"/>
        </w:rPr>
        <w:lastRenderedPageBreak/>
        <w:t xml:space="preserve">stabilite “con decreto del Presidente del Consiglio dei ministri, su proposta del Ministro per gli affari regionali e le autonomie, di concerto con il Ministro dell’economia e delle finanze, sentite la Conferenza unificata di cui all’articolo 8 del decreto legislativo 28 agosto 1997, n. 281, e le competenti Commissioni parlamentari”; </w:t>
      </w:r>
    </w:p>
    <w:p w14:paraId="61DFABA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w:t>
      </w:r>
      <w:r w:rsidRPr="00F56356">
        <w:rPr>
          <w:rFonts w:ascii="Times New Roman" w:eastAsia="Times New Roman" w:hAnsi="Times New Roman" w:cs="Times New Roman"/>
          <w:i/>
          <w:color w:val="000000" w:themeColor="text1"/>
          <w:sz w:val="24"/>
          <w:szCs w:val="24"/>
          <w:lang w:eastAsia="it-IT"/>
        </w:rPr>
        <w:t xml:space="preserve">“Fondo di sviluppo per le isole minori” </w:t>
      </w:r>
      <w:r w:rsidRPr="00F56356">
        <w:rPr>
          <w:rFonts w:ascii="Times New Roman" w:eastAsia="Times New Roman" w:hAnsi="Times New Roman" w:cs="Times New Roman"/>
          <w:color w:val="000000" w:themeColor="text1"/>
          <w:sz w:val="24"/>
          <w:szCs w:val="24"/>
          <w:lang w:eastAsia="it-IT"/>
        </w:rPr>
        <w:t>(cap. 447)</w:t>
      </w:r>
    </w:p>
    <w:p w14:paraId="5CC85B0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367.387,73 riferiti a reiscrizioni di residui passivi perenti; </w:t>
      </w:r>
    </w:p>
    <w:p w14:paraId="0D596BC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i/>
          <w:color w:val="000000" w:themeColor="text1"/>
          <w:sz w:val="24"/>
          <w:szCs w:val="24"/>
          <w:lang w:eastAsia="it-IT"/>
        </w:rPr>
        <w:t xml:space="preserve"> “Spese per le funzioni trasferite ai sensi dell’art. 7, comma 19 del D.L. 31 maggio 2010, n. 78 (ex E.I.M.)” </w:t>
      </w:r>
      <w:r w:rsidRPr="00F56356">
        <w:rPr>
          <w:rFonts w:ascii="Times New Roman" w:eastAsia="Times New Roman" w:hAnsi="Times New Roman" w:cs="Times New Roman"/>
          <w:color w:val="000000" w:themeColor="text1"/>
          <w:sz w:val="24"/>
          <w:szCs w:val="24"/>
          <w:lang w:eastAsia="it-IT"/>
        </w:rPr>
        <w:t>(cap. 451)</w:t>
      </w:r>
    </w:p>
    <w:p w14:paraId="3A8835F0"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325.464,44, di cui euro 31.174,61 riferiti a reiscrizioni di residui passivi perenti, alla prosecuzione delle attività del soppresso Ente Italiano della Montagna, trasferite al Dipartimento per gli affari regionali e le autonomie, ai sensi del decreto-legge 31 maggio 2010, n. 78, articolo 7, comma 19, convertito, con modificazioni, dalla legge 30 luglio 2010, n. 122.</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In particolare, sono state stipulate tre convenzioni: due per la realizzazione di master universitari di primo livello, con l’Università di Milano, in data 22 maggio 2022, e con l’Università della Tuscia, in data 10 giugno 2022; una con il Politecnico di Torino per la realizzazione del progetto di ricerca “Studio di Linee Guida per la Valutazione e Mitigazione del Rischio Valanghe di Neve sulle Costruzioni”, in data 14 luglio 2022. È stata, inoltre, effettuata l’acquisizione di uno “spot televisivo che evidenzi il valore dei territori montani quali vera e propria spina dorsale del sistema Italia”, nonché sono stati disposti il pagamento della quota associativa 2022 all’International </w:t>
      </w:r>
      <w:proofErr w:type="spellStart"/>
      <w:r w:rsidRPr="00F56356">
        <w:rPr>
          <w:rFonts w:ascii="Times New Roman" w:eastAsia="Times New Roman" w:hAnsi="Times New Roman" w:cs="Times New Roman"/>
          <w:color w:val="000000" w:themeColor="text1"/>
          <w:sz w:val="24"/>
          <w:szCs w:val="24"/>
          <w:lang w:eastAsia="it-IT"/>
        </w:rPr>
        <w:t>Scientific</w:t>
      </w:r>
      <w:proofErr w:type="spellEnd"/>
      <w:r w:rsidRPr="00F56356">
        <w:rPr>
          <w:rFonts w:ascii="Times New Roman" w:eastAsia="Times New Roman" w:hAnsi="Times New Roman" w:cs="Times New Roman"/>
          <w:color w:val="000000" w:themeColor="text1"/>
          <w:sz w:val="24"/>
          <w:szCs w:val="24"/>
          <w:lang w:eastAsia="it-IT"/>
        </w:rPr>
        <w:t xml:space="preserve"> </w:t>
      </w:r>
      <w:proofErr w:type="spellStart"/>
      <w:r w:rsidRPr="00F56356">
        <w:rPr>
          <w:rFonts w:ascii="Times New Roman" w:eastAsia="Times New Roman" w:hAnsi="Times New Roman" w:cs="Times New Roman"/>
          <w:color w:val="000000" w:themeColor="text1"/>
          <w:sz w:val="24"/>
          <w:szCs w:val="24"/>
          <w:lang w:eastAsia="it-IT"/>
        </w:rPr>
        <w:t>Commettee</w:t>
      </w:r>
      <w:proofErr w:type="spellEnd"/>
      <w:r w:rsidRPr="00F56356">
        <w:rPr>
          <w:rFonts w:ascii="Times New Roman" w:eastAsia="Times New Roman" w:hAnsi="Times New Roman" w:cs="Times New Roman"/>
          <w:color w:val="000000" w:themeColor="text1"/>
          <w:sz w:val="24"/>
          <w:szCs w:val="24"/>
          <w:lang w:eastAsia="it-IT"/>
        </w:rPr>
        <w:t xml:space="preserve"> on Research in the </w:t>
      </w:r>
      <w:proofErr w:type="spellStart"/>
      <w:r w:rsidRPr="00F56356">
        <w:rPr>
          <w:rFonts w:ascii="Times New Roman" w:eastAsia="Times New Roman" w:hAnsi="Times New Roman" w:cs="Times New Roman"/>
          <w:color w:val="000000" w:themeColor="text1"/>
          <w:sz w:val="24"/>
          <w:szCs w:val="24"/>
          <w:lang w:eastAsia="it-IT"/>
        </w:rPr>
        <w:t>Alps</w:t>
      </w:r>
      <w:proofErr w:type="spellEnd"/>
      <w:r w:rsidRPr="00F56356">
        <w:rPr>
          <w:rFonts w:ascii="Times New Roman" w:eastAsia="Times New Roman" w:hAnsi="Times New Roman" w:cs="Times New Roman"/>
          <w:color w:val="000000" w:themeColor="text1"/>
          <w:sz w:val="24"/>
          <w:szCs w:val="24"/>
          <w:lang w:eastAsia="it-IT"/>
        </w:rPr>
        <w:t xml:space="preserve"> (ISCAR), come previsto dall’articolo 11, comma 2, del DPCM del 30 novembre 2010, e il versamento dei pagamenti delle rate previste già divenute perenti.</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La formazione dei fondi perenti è dovuta al fatto che le erogazioni avvengono al raggiungimento di stati di avanzamento da parte dei soggetti beneficiari e, trattandosi di progetti di ricerca particolarmente complessi, possono necessitare più di oltre due anni per la loro realizzazione;</w:t>
      </w:r>
    </w:p>
    <w:p w14:paraId="168A1C1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 “</w:t>
      </w:r>
      <w:r w:rsidRPr="00F56356">
        <w:rPr>
          <w:rFonts w:ascii="Times New Roman" w:eastAsia="Times New Roman" w:hAnsi="Times New Roman" w:cs="Times New Roman"/>
          <w:i/>
          <w:color w:val="000000" w:themeColor="text1"/>
          <w:sz w:val="24"/>
          <w:szCs w:val="24"/>
          <w:lang w:eastAsia="it-IT"/>
        </w:rPr>
        <w:t xml:space="preserve">Spese connesse agli interventi di tutela delle minoranze linguistiche storiche” </w:t>
      </w:r>
      <w:r w:rsidRPr="00F56356">
        <w:rPr>
          <w:rFonts w:ascii="Times New Roman" w:eastAsia="Times New Roman" w:hAnsi="Times New Roman" w:cs="Times New Roman"/>
          <w:color w:val="000000" w:themeColor="text1"/>
          <w:sz w:val="24"/>
          <w:szCs w:val="24"/>
          <w:lang w:eastAsia="it-IT"/>
        </w:rPr>
        <w:t>(cap. 484)</w:t>
      </w:r>
    </w:p>
    <w:p w14:paraId="4B6396E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euro 1.997.701,11</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al finanziamento dei progetti presentati dalle Regioni, relativi alla tutela delle minoranze linguistiche storiche, ai sensi degli articoli 9 e 15 della legge 15 dicembre 1999, n. 482.</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In particolare, gli articoli 9 e 15 della predetta legge prevedono lo stanziamento, a cura del Dipartimento per gli affari regionali e le autonomie, a cadenza annuale, di specifiche risorse mirate a promuovere l’uso parlato e scritto della lingua minoritaria. I finanziamenti vengono erogati alle amministrazioni pubbliche sul territorio in base a specifici bandi annuali conformi al Regolamento di attuazione della citata legge (decreto del Presidente della Repubblica 2 maggio 2001 n. 345) e a un decreto, emesso a cadenza triennale, ai sensi dell’articolo 8 del precitato D.P.R. n. 345 del 2001, contenente i criteri per l’attribuzione e la ripartizione dei fondi;</w:t>
      </w:r>
    </w:p>
    <w:p w14:paraId="46A04CB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h)</w:t>
      </w:r>
      <w:r w:rsidRPr="00F56356">
        <w:rPr>
          <w:rFonts w:ascii="Times New Roman" w:eastAsia="Times New Roman" w:hAnsi="Times New Roman" w:cs="Times New Roman"/>
          <w:i/>
          <w:color w:val="000000" w:themeColor="text1"/>
          <w:sz w:val="24"/>
          <w:szCs w:val="24"/>
          <w:lang w:eastAsia="it-IT"/>
        </w:rPr>
        <w:t xml:space="preserve"> “Fondo nazionale per la tutela delle minoranze linguistiche” </w:t>
      </w:r>
      <w:r w:rsidRPr="00F56356">
        <w:rPr>
          <w:rFonts w:ascii="Times New Roman" w:eastAsia="Times New Roman" w:hAnsi="Times New Roman" w:cs="Times New Roman"/>
          <w:color w:val="000000" w:themeColor="text1"/>
          <w:sz w:val="24"/>
          <w:szCs w:val="24"/>
          <w:lang w:eastAsia="it-IT"/>
        </w:rPr>
        <w:t>(cap. 486)</w:t>
      </w:r>
    </w:p>
    <w:p w14:paraId="0EAC08E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lastRenderedPageBreak/>
        <w:t xml:space="preserve">  </w:t>
      </w:r>
      <w:r w:rsidRPr="00F56356">
        <w:rPr>
          <w:rFonts w:ascii="Times New Roman" w:eastAsia="Times New Roman" w:hAnsi="Times New Roman" w:cs="Times New Roman"/>
          <w:color w:val="000000" w:themeColor="text1"/>
          <w:sz w:val="24"/>
          <w:szCs w:val="24"/>
          <w:lang w:eastAsia="it-IT"/>
        </w:rPr>
        <w:t xml:space="preserve">- euro 2.915.418,00 a favore delle Regioni e altre amministrazioni, nonché a favore della rete dei funzionari delegati. </w:t>
      </w:r>
    </w:p>
    <w:p w14:paraId="78DE92D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DB4CEF4" w14:textId="77777777" w:rsidR="00F56356" w:rsidRPr="00F56356" w:rsidRDefault="00F56356" w:rsidP="00F56356">
      <w:pPr>
        <w:spacing w:after="0" w:line="360" w:lineRule="auto"/>
        <w:ind w:righ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p w14:paraId="6C740FA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
          <w:szCs w:val="24"/>
          <w:lang w:eastAsia="it-IT"/>
        </w:rPr>
      </w:pPr>
    </w:p>
    <w:p w14:paraId="3B8854AD"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2"/>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692032" behindDoc="1" locked="0" layoutInCell="1" allowOverlap="1" wp14:anchorId="767336DC" wp14:editId="3D0C95E6">
            <wp:simplePos x="0" y="0"/>
            <wp:positionH relativeFrom="column">
              <wp:posOffset>149860</wp:posOffset>
            </wp:positionH>
            <wp:positionV relativeFrom="paragraph">
              <wp:posOffset>25400</wp:posOffset>
            </wp:positionV>
            <wp:extent cx="5975350" cy="2251075"/>
            <wp:effectExtent l="0" t="0" r="6350" b="0"/>
            <wp:wrapTight wrapText="bothSides">
              <wp:wrapPolygon edited="0">
                <wp:start x="0" y="0"/>
                <wp:lineTo x="0" y="21387"/>
                <wp:lineTo x="12051" y="21387"/>
                <wp:lineTo x="12051" y="20473"/>
                <wp:lineTo x="21554" y="19742"/>
                <wp:lineTo x="21554" y="9688"/>
                <wp:lineTo x="20177" y="8774"/>
                <wp:lineTo x="21554" y="8774"/>
                <wp:lineTo x="21554" y="6581"/>
                <wp:lineTo x="20177" y="5849"/>
                <wp:lineTo x="21485" y="5849"/>
                <wp:lineTo x="21554" y="4935"/>
                <wp:lineTo x="21210" y="2925"/>
                <wp:lineTo x="21485" y="2925"/>
                <wp:lineTo x="21554" y="2194"/>
                <wp:lineTo x="21554" y="0"/>
                <wp:lineTo x="0" y="0"/>
              </wp:wrapPolygon>
            </wp:wrapTight>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75350" cy="2251075"/>
                    </a:xfrm>
                    <a:prstGeom prst="rect">
                      <a:avLst/>
                    </a:prstGeom>
                    <a:noFill/>
                    <a:ln>
                      <a:noFill/>
                    </a:ln>
                  </pic:spPr>
                </pic:pic>
              </a:graphicData>
            </a:graphic>
            <wp14:sizeRelH relativeFrom="margin">
              <wp14:pctWidth>0</wp14:pctWidth>
            </wp14:sizeRelH>
          </wp:anchor>
        </w:drawing>
      </w:r>
    </w:p>
    <w:p w14:paraId="78254BE2" w14:textId="77777777" w:rsidR="00F56356" w:rsidRPr="00F56356" w:rsidRDefault="00F56356" w:rsidP="00F56356">
      <w:pPr>
        <w:spacing w:after="0" w:line="360" w:lineRule="auto"/>
        <w:jc w:val="both"/>
        <w:rPr>
          <w:rFonts w:ascii="Times New Roman" w:eastAsia="Times New Roman" w:hAnsi="Times New Roman" w:cs="Times New Roman"/>
          <w:b/>
          <w:color w:val="000000" w:themeColor="text1"/>
          <w:sz w:val="20"/>
          <w:szCs w:val="24"/>
          <w:lang w:eastAsia="it-IT"/>
        </w:rPr>
      </w:pPr>
    </w:p>
    <w:p w14:paraId="49DD118A" w14:textId="77777777" w:rsidR="00F56356" w:rsidRPr="00F56356" w:rsidRDefault="00F56356" w:rsidP="00F56356">
      <w:pPr>
        <w:spacing w:after="0" w:line="360" w:lineRule="auto"/>
        <w:ind w:left="284" w:hanging="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     </w:t>
      </w:r>
    </w:p>
    <w:p w14:paraId="40F6BF7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Le risorse impegnate per le spese in conto capitale di euro 36.108.344,56 sono state   destinate:</w:t>
      </w:r>
    </w:p>
    <w:p w14:paraId="551BF406" w14:textId="77777777" w:rsidR="00F56356" w:rsidRPr="00F56356" w:rsidRDefault="00F56356" w:rsidP="00F56356">
      <w:pPr>
        <w:spacing w:after="0" w:line="360" w:lineRule="auto"/>
        <w:ind w:left="284" w:right="816"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Fondo nazionale per la montagna”</w:t>
      </w:r>
      <w:r w:rsidRPr="00F56356">
        <w:rPr>
          <w:rFonts w:ascii="Times New Roman" w:eastAsia="Times New Roman" w:hAnsi="Times New Roman" w:cs="Times New Roman"/>
          <w:color w:val="000000" w:themeColor="text1"/>
          <w:sz w:val="24"/>
          <w:szCs w:val="24"/>
          <w:lang w:eastAsia="it-IT"/>
        </w:rPr>
        <w:t xml:space="preserve"> (cap. 932)</w:t>
      </w:r>
    </w:p>
    <w:p w14:paraId="2C6D6212" w14:textId="77777777" w:rsidR="00F56356" w:rsidRPr="00F56356" w:rsidRDefault="00F56356" w:rsidP="00F56356">
      <w:pPr>
        <w:spacing w:after="0" w:line="360" w:lineRule="auto"/>
        <w:ind w:left="284" w:right="-1"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2.000.000,00 al Fondo, istituito dall’articolo 2 della legge 31 gennaio 1994, n. 97, per il finanziamento dei progetti di sviluppo socio-economico, anche pluriennali, con carattere straordinario nei territori montani, che ai sensi dell’articolo 1, comma 596, della legge 30 dicembre 2021, n. 234, è confluito nel Fondo per lo sviluppo delle montagne italiane istituito dal comma 593 del suindicato articolo. Le suddette risorse sono provenienti dal riporto delle somme non impegnate nel 2021, iscritte in bilancio a seguito dell’erogazione alle Regioni dell’annualità del fondo 2021 avvenuta in data 21 novembre 2021. Non essendo stato possibile trasferire le risorse del capitolo 932 in conto capitale sul capitolo 441 relativo al nuovo Fondo per lo sviluppo delle montagne italiane, poiché di parte corrente, si è provveduto a riportare l’importo disponibile del 2021 nel 2022, prevedendone il riparto tra le Regioni secondo i coefficienti già utilizzati per le annualità 2020 e 2021 del Fondo. In data 7 settembre 2022 è stato assunto l’impegno a erogazione contemporanea delle predette risorse nei confronti delle Regioni beneficiarie;</w:t>
      </w:r>
    </w:p>
    <w:p w14:paraId="7B5828D9" w14:textId="77777777" w:rsidR="00F56356" w:rsidRPr="00F56356" w:rsidRDefault="00F56356" w:rsidP="00F56356">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b) </w:t>
      </w:r>
      <w:r w:rsidRPr="00F56356">
        <w:rPr>
          <w:rFonts w:ascii="Times New Roman" w:eastAsia="Calibri" w:hAnsi="Times New Roman" w:cs="Times New Roman"/>
          <w:i/>
          <w:color w:val="000000" w:themeColor="text1"/>
          <w:sz w:val="24"/>
          <w:szCs w:val="24"/>
        </w:rPr>
        <w:t>“Fondo per gli investimenti nelle isole minori”</w:t>
      </w:r>
      <w:r w:rsidRPr="00F56356">
        <w:rPr>
          <w:rFonts w:ascii="Times New Roman" w:eastAsia="Calibri" w:hAnsi="Times New Roman" w:cs="Times New Roman"/>
          <w:color w:val="000000" w:themeColor="text1"/>
          <w:sz w:val="24"/>
          <w:szCs w:val="24"/>
        </w:rPr>
        <w:t xml:space="preserve"> (cap. 939)</w:t>
      </w:r>
    </w:p>
    <w:p w14:paraId="002404A6" w14:textId="77777777" w:rsidR="00F56356" w:rsidRPr="00F56356" w:rsidRDefault="00F56356" w:rsidP="00F56356">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 euro 32.230.608,56 al Fondo per gli investimenti nelle isole minori, istituito dall’articolo 1, comma 553, della legge 27 dicembre 2019, n. 160 (legge di bilancio 2020), destinato al finanziamento di progetti di sviluppo infrastrutturale o di riqualificazione del territorio ai 40 comuni nei cui territori sono ricomprese le 56 isole minori, di cui all’allegato A, annesso alla legge 28 dicembre 2001, n. 448 e successive modifiche. La norma prevede che i criteri e le modalità di erogazione siano definite con decreto del Presidente del Consiglio dei ministri, su proposta del Ministro per gli affari regionali </w:t>
      </w:r>
      <w:r w:rsidRPr="00F56356">
        <w:rPr>
          <w:rFonts w:ascii="Times New Roman" w:eastAsia="Calibri" w:hAnsi="Times New Roman" w:cs="Times New Roman"/>
          <w:color w:val="000000" w:themeColor="text1"/>
          <w:sz w:val="24"/>
          <w:szCs w:val="24"/>
        </w:rPr>
        <w:lastRenderedPageBreak/>
        <w:t>e le autonomie, previo parere della Conferenza unificata, e che il fondo sia poi ripartito tra i comuni destinatari con decreto del Ministro per gli affari regionali e le autonomie, di concerto con il Ministro dell’economia e delle finanze, previo parere della Conferenza unificata. Il decreto del Presidente del Consiglio dei ministri recante il regolamento che disciplina i criteri di riparto del Fondo è stato firmato in data 4 febbraio 2021 e, in data 13 agosto 2021, è stato firmato dal Ministro per gli affari regionali e le autonomie, di concerto con il Ministro dell’economia e delle finanze, il decreto ministeriale di riparto del Fondo per gli investimenti nelle isole minori per le annualità 2020, 2021 e 2022. I comuni delle isole minori hanno quindi inviato le domande di finanziamento per le tre annualità 2020, 2021 e 2022.</w:t>
      </w:r>
    </w:p>
    <w:p w14:paraId="00D2F281" w14:textId="77777777" w:rsidR="00F56356" w:rsidRPr="00F56356" w:rsidRDefault="00F56356" w:rsidP="00F56356">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Nell’esercizio finanziario 2022 la somma complessivamente impegnata del Fondo è stata pari a euro 32.230.608,56 e nel corso dell’anno 2022 sono stati effettuati n. 50 pagamenti. Si segnala, nello specifico, con riferimento al conseguimento dell’obiettivo di bilancio, che sono state effettuate entro i termini previsti, a seguito della trasmissione da parte dei comuni della completa progettazione o della documentazione attestante il raggiungimento di uno stato di avanzamento della realizzazione pari ad almeno il 50 per cento, 3 erogazioni nell’annualità 2022;</w:t>
      </w:r>
    </w:p>
    <w:p w14:paraId="37ADFA0F" w14:textId="77777777" w:rsidR="00F56356" w:rsidRPr="00F56356" w:rsidRDefault="00F56356" w:rsidP="00F56356">
      <w:pPr>
        <w:tabs>
          <w:tab w:val="left" w:pos="567"/>
        </w:tabs>
        <w:spacing w:line="360" w:lineRule="auto"/>
        <w:ind w:left="284"/>
        <w:contextualSpacing/>
        <w:jc w:val="both"/>
        <w:rPr>
          <w:rFonts w:ascii="Times New Roman" w:eastAsia="Calibri" w:hAnsi="Times New Roman" w:cs="Times New Roman"/>
          <w:i/>
          <w:color w:val="000000" w:themeColor="text1"/>
          <w:sz w:val="24"/>
          <w:szCs w:val="24"/>
        </w:rPr>
      </w:pPr>
      <w:r w:rsidRPr="00F56356">
        <w:rPr>
          <w:rFonts w:ascii="Times New Roman" w:eastAsia="Calibri" w:hAnsi="Times New Roman" w:cs="Times New Roman"/>
          <w:color w:val="000000" w:themeColor="text1"/>
          <w:sz w:val="24"/>
          <w:szCs w:val="24"/>
        </w:rPr>
        <w:t>c) “</w:t>
      </w:r>
      <w:r w:rsidRPr="00F56356">
        <w:rPr>
          <w:rFonts w:ascii="Times New Roman" w:eastAsia="Calibri" w:hAnsi="Times New Roman" w:cs="Times New Roman"/>
          <w:i/>
          <w:color w:val="000000" w:themeColor="text1"/>
          <w:sz w:val="24"/>
          <w:szCs w:val="24"/>
        </w:rPr>
        <w:t xml:space="preserve">Fondo per iniziative di promozione e attrazione degli investimenti nelle isole minori” </w:t>
      </w:r>
      <w:r w:rsidRPr="00F56356">
        <w:rPr>
          <w:rFonts w:ascii="Times New Roman" w:eastAsia="Calibri" w:hAnsi="Times New Roman" w:cs="Times New Roman"/>
          <w:color w:val="000000" w:themeColor="text1"/>
          <w:sz w:val="24"/>
          <w:szCs w:val="24"/>
        </w:rPr>
        <w:t>(cap. 940)</w:t>
      </w:r>
    </w:p>
    <w:p w14:paraId="285EE655" w14:textId="77777777" w:rsidR="00F56356" w:rsidRPr="00F56356" w:rsidRDefault="00F56356" w:rsidP="00F56356">
      <w:pPr>
        <w:tabs>
          <w:tab w:val="left" w:pos="567"/>
        </w:tabs>
        <w:spacing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euro 1.877.736,00 al finanziamento di iniziative di promozione e di attrazione degli investimenti nelle isole minori di cui al suddetto Fondo, istituito dall’articolo 1, comma 754, della legge di bilancio 2021. Le modalità di erogazione sono state disciplinate dal decreto del Ministro per gli affari regionali e le autonomie del 4 agosto 2022.</w:t>
      </w:r>
    </w:p>
    <w:p w14:paraId="5BB7119C" w14:textId="77777777" w:rsidR="00F56356" w:rsidRPr="00F56356" w:rsidRDefault="00F56356" w:rsidP="00F56356">
      <w:pPr>
        <w:tabs>
          <w:tab w:val="left" w:pos="567"/>
        </w:tabs>
        <w:spacing w:after="0" w:line="360" w:lineRule="auto"/>
        <w:ind w:left="284"/>
        <w:contextualSpacing/>
        <w:jc w:val="center"/>
        <w:rPr>
          <w:rFonts w:ascii="Times New Roman" w:eastAsia="Calibri" w:hAnsi="Times New Roman" w:cs="Times New Roman"/>
          <w:color w:val="000000" w:themeColor="text1"/>
          <w:sz w:val="24"/>
          <w:szCs w:val="24"/>
        </w:rPr>
      </w:pPr>
    </w:p>
    <w:p w14:paraId="192B797F" w14:textId="77777777" w:rsidR="00F56356" w:rsidRPr="00F56356" w:rsidRDefault="00F56356" w:rsidP="00F56356">
      <w:pPr>
        <w:tabs>
          <w:tab w:val="left" w:pos="567"/>
        </w:tabs>
        <w:spacing w:after="0" w:line="360" w:lineRule="auto"/>
        <w:ind w:left="284"/>
        <w:contextualSpacing/>
        <w:jc w:val="center"/>
        <w:rPr>
          <w:rFonts w:ascii="Times New Roman" w:eastAsia="Calibri" w:hAnsi="Times New Roman" w:cs="Times New Roman"/>
          <w:color w:val="000000" w:themeColor="text1"/>
          <w:sz w:val="24"/>
          <w:szCs w:val="24"/>
        </w:rPr>
      </w:pPr>
    </w:p>
    <w:p w14:paraId="33E0BF39" w14:textId="77777777" w:rsidR="00F56356" w:rsidRPr="00F56356" w:rsidRDefault="00F56356" w:rsidP="00F56356">
      <w:pPr>
        <w:tabs>
          <w:tab w:val="left" w:pos="567"/>
        </w:tabs>
        <w:spacing w:after="0" w:line="360" w:lineRule="auto"/>
        <w:ind w:left="284"/>
        <w:contextualSpacing/>
        <w:jc w:val="center"/>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Indicatori di bilancio</w:t>
      </w:r>
      <w:r w:rsidRPr="00F56356">
        <w:rPr>
          <w:rFonts w:ascii="Calibri" w:eastAsia="Calibri" w:hAnsi="Calibri" w:cs="Times New Roman"/>
          <w:noProof/>
          <w:lang w:eastAsia="it-IT"/>
        </w:rPr>
        <w:drawing>
          <wp:anchor distT="0" distB="0" distL="114300" distR="114300" simplePos="0" relativeHeight="251693056" behindDoc="1" locked="0" layoutInCell="1" allowOverlap="1" wp14:anchorId="26DF7BB0" wp14:editId="6698CE53">
            <wp:simplePos x="0" y="0"/>
            <wp:positionH relativeFrom="column">
              <wp:posOffset>184785</wp:posOffset>
            </wp:positionH>
            <wp:positionV relativeFrom="paragraph">
              <wp:posOffset>266065</wp:posOffset>
            </wp:positionV>
            <wp:extent cx="5934075" cy="1393190"/>
            <wp:effectExtent l="0" t="0" r="9525" b="0"/>
            <wp:wrapTight wrapText="bothSides">
              <wp:wrapPolygon edited="0">
                <wp:start x="0" y="0"/>
                <wp:lineTo x="0" y="21265"/>
                <wp:lineTo x="12065" y="21265"/>
                <wp:lineTo x="12065" y="18902"/>
                <wp:lineTo x="21565" y="18607"/>
                <wp:lineTo x="21565" y="15654"/>
                <wp:lineTo x="20178" y="14177"/>
                <wp:lineTo x="21565" y="14177"/>
                <wp:lineTo x="21565" y="10633"/>
                <wp:lineTo x="20178" y="9451"/>
                <wp:lineTo x="21496" y="9451"/>
                <wp:lineTo x="21565" y="7974"/>
                <wp:lineTo x="21219" y="4726"/>
                <wp:lineTo x="21496" y="4726"/>
                <wp:lineTo x="21565" y="3544"/>
                <wp:lineTo x="21565" y="0"/>
                <wp:lineTo x="0" y="0"/>
              </wp:wrapPolygon>
            </wp:wrapTight>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1393190"/>
                    </a:xfrm>
                    <a:prstGeom prst="rect">
                      <a:avLst/>
                    </a:prstGeom>
                    <a:noFill/>
                    <a:ln>
                      <a:noFill/>
                    </a:ln>
                  </pic:spPr>
                </pic:pic>
              </a:graphicData>
            </a:graphic>
            <wp14:sizeRelH relativeFrom="margin">
              <wp14:pctWidth>0</wp14:pctWidth>
            </wp14:sizeRelH>
          </wp:anchor>
        </w:drawing>
      </w:r>
    </w:p>
    <w:p w14:paraId="5014CF7D"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p>
    <w:p w14:paraId="4968C9D3"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p>
    <w:p w14:paraId="54136E35"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Gli scostamenti tra gli indicatori di bilancio attesi e realizzati sono stati determinati:</w:t>
      </w:r>
    </w:p>
    <w:p w14:paraId="0877B6D5"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a) per il capitolo 439 - </w:t>
      </w:r>
      <w:r w:rsidRPr="00F56356">
        <w:rPr>
          <w:rFonts w:ascii="Times New Roman" w:eastAsia="Calibri" w:hAnsi="Times New Roman" w:cs="Times New Roman"/>
          <w:i/>
          <w:color w:val="000000" w:themeColor="text1"/>
          <w:sz w:val="24"/>
          <w:szCs w:val="24"/>
        </w:rPr>
        <w:t>Spese di funzionamento dei Commissariati di Governo nelle Regioni a statuto speciale,</w:t>
      </w:r>
      <w:r w:rsidRPr="00F56356">
        <w:rPr>
          <w:rFonts w:ascii="Times New Roman" w:eastAsia="Calibri" w:hAnsi="Times New Roman" w:cs="Times New Roman"/>
          <w:color w:val="000000" w:themeColor="text1"/>
          <w:sz w:val="24"/>
          <w:szCs w:val="24"/>
        </w:rPr>
        <w:t xml:space="preserve"> in quanto la richiesta di integrazione di risorse, da parte del Commissariato dello Stato per la Regione Siciliana, è pervenuta nel giorno precedente la chiusura delle contabilità dell’esercizio finanziario 2022, pertanto non vi sono stati i tempi tecnici per l’adozione e registrazione del </w:t>
      </w:r>
      <w:r w:rsidRPr="00F56356">
        <w:rPr>
          <w:rFonts w:ascii="Times New Roman" w:eastAsia="Calibri" w:hAnsi="Times New Roman" w:cs="Times New Roman"/>
          <w:color w:val="000000" w:themeColor="text1"/>
          <w:sz w:val="24"/>
          <w:szCs w:val="24"/>
        </w:rPr>
        <w:lastRenderedPageBreak/>
        <w:t>necessario decreto di variazione dell’impegno e successiva adozione dell’ordine di accreditamento a favore del Commissariato in questione;</w:t>
      </w:r>
    </w:p>
    <w:p w14:paraId="73ADB91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460 - </w:t>
      </w:r>
      <w:r w:rsidRPr="00F56356">
        <w:rPr>
          <w:rFonts w:ascii="Times New Roman" w:eastAsia="Times New Roman" w:hAnsi="Times New Roman" w:cs="Times New Roman"/>
          <w:i/>
          <w:color w:val="000000" w:themeColor="text1"/>
          <w:sz w:val="24"/>
          <w:szCs w:val="24"/>
          <w:lang w:eastAsia="it-IT"/>
        </w:rPr>
        <w:t>Spese per acquisto giornali, riviste e periodici,</w:t>
      </w:r>
      <w:r w:rsidRPr="00F56356">
        <w:rPr>
          <w:rFonts w:ascii="Times New Roman" w:eastAsia="Times New Roman" w:hAnsi="Times New Roman" w:cs="Times New Roman"/>
          <w:color w:val="000000" w:themeColor="text1"/>
          <w:sz w:val="24"/>
          <w:szCs w:val="24"/>
          <w:lang w:eastAsia="it-IT"/>
        </w:rPr>
        <w:t xml:space="preserve"> relativamente alla capacità di pagamento, dalla liquidazione della fattura del mese di dicembre a gennaio 2023;</w:t>
      </w:r>
    </w:p>
    <w:p w14:paraId="6AA335B2"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484 - </w:t>
      </w:r>
      <w:r w:rsidRPr="00F56356">
        <w:rPr>
          <w:rFonts w:ascii="Times New Roman" w:eastAsia="Times New Roman" w:hAnsi="Times New Roman" w:cs="Times New Roman"/>
          <w:i/>
          <w:color w:val="000000" w:themeColor="text1"/>
          <w:sz w:val="24"/>
          <w:szCs w:val="24"/>
          <w:lang w:eastAsia="it-IT"/>
        </w:rPr>
        <w:t xml:space="preserve">Spese connesse agli interventi di tutela delle minoranze linguistiche storiche, </w:t>
      </w:r>
      <w:r w:rsidRPr="00F56356">
        <w:rPr>
          <w:rFonts w:ascii="Times New Roman" w:eastAsia="Times New Roman" w:hAnsi="Times New Roman" w:cs="Times New Roman"/>
          <w:color w:val="000000" w:themeColor="text1"/>
          <w:sz w:val="24"/>
          <w:szCs w:val="24"/>
          <w:lang w:eastAsia="it-IT"/>
        </w:rPr>
        <w:t>da una minore richiesta di finanziamento da parte degli Enti locali e territoriali e dalle Amministrazioni centrali;</w:t>
      </w:r>
    </w:p>
    <w:p w14:paraId="124FD54B"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485 - </w:t>
      </w:r>
      <w:r w:rsidRPr="00F56356">
        <w:rPr>
          <w:rFonts w:ascii="Times New Roman" w:eastAsia="Times New Roman" w:hAnsi="Times New Roman" w:cs="Times New Roman"/>
          <w:i/>
          <w:color w:val="000000" w:themeColor="text1"/>
          <w:sz w:val="24"/>
          <w:szCs w:val="24"/>
          <w:lang w:eastAsia="it-IT"/>
        </w:rPr>
        <w:t xml:space="preserve">Compensi ai componenti di nomina statale delle Commissioni paritetiche previste dagli statuti delle Regioni a statuto speciale, </w:t>
      </w:r>
      <w:r w:rsidRPr="00F56356">
        <w:rPr>
          <w:rFonts w:ascii="Times New Roman" w:eastAsia="Times New Roman" w:hAnsi="Times New Roman" w:cs="Times New Roman"/>
          <w:color w:val="000000" w:themeColor="text1"/>
          <w:sz w:val="24"/>
          <w:szCs w:val="24"/>
          <w:lang w:eastAsia="it-IT"/>
        </w:rPr>
        <w:t>da</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modifiche sui regimi fiscali relativi ad alcuni dei componenti delle Commissioni; in relazione alla capacità di pagamento non è stato stimato un valore atteso in quanto i pagamenti delle indennità ai componenti delle Commissioni paritetiche sono effettuati nel corso dell’anno successivo. Infatti, la comunicazione del numero delle riunioni delle Commissioni viene accertata alla fine dell’anno di riferimento ed è possibile effettuare l’impegno delle somme (il cui calcolo è strettamente collegato con il numero delle riunioni) alla fine dell’esercizio finanziario di riferimento. </w:t>
      </w:r>
    </w:p>
    <w:p w14:paraId="1BB659BE"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D9D8A0B"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5FC58E6D"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435 - </w:t>
      </w:r>
      <w:r w:rsidRPr="00F56356">
        <w:rPr>
          <w:rFonts w:ascii="Times New Roman" w:eastAsia="Times New Roman" w:hAnsi="Times New Roman" w:cs="Times New Roman"/>
          <w:i/>
          <w:color w:val="000000" w:themeColor="text1"/>
          <w:sz w:val="24"/>
          <w:szCs w:val="24"/>
          <w:lang w:eastAsia="it-IT"/>
        </w:rPr>
        <w:t xml:space="preserve">Spese per il federalismo amministrativo, consulenze e strumenti di supporto </w:t>
      </w:r>
      <w:proofErr w:type="spellStart"/>
      <w:r w:rsidRPr="00F56356">
        <w:rPr>
          <w:rFonts w:ascii="Times New Roman" w:eastAsia="Times New Roman" w:hAnsi="Times New Roman" w:cs="Times New Roman"/>
          <w:i/>
          <w:color w:val="000000" w:themeColor="text1"/>
          <w:sz w:val="24"/>
          <w:szCs w:val="24"/>
          <w:lang w:eastAsia="it-IT"/>
        </w:rPr>
        <w:t>infocomunicazionale</w:t>
      </w:r>
      <w:proofErr w:type="spellEnd"/>
      <w:r w:rsidRPr="00F56356">
        <w:rPr>
          <w:rFonts w:ascii="Times New Roman" w:eastAsia="Times New Roman" w:hAnsi="Times New Roman" w:cs="Times New Roman"/>
          <w:i/>
          <w:color w:val="000000" w:themeColor="text1"/>
          <w:sz w:val="24"/>
          <w:szCs w:val="24"/>
          <w:lang w:eastAsia="it-IT"/>
        </w:rPr>
        <w:t xml:space="preserve"> online,</w:t>
      </w:r>
      <w:r w:rsidRPr="00F56356">
        <w:rPr>
          <w:rFonts w:ascii="Times New Roman" w:eastAsia="Times New Roman" w:hAnsi="Times New Roman" w:cs="Times New Roman"/>
          <w:color w:val="000000" w:themeColor="text1"/>
          <w:sz w:val="24"/>
          <w:szCs w:val="24"/>
          <w:lang w:eastAsia="it-IT"/>
        </w:rPr>
        <w:t xml:space="preserve"> non sono state impegnate le risorse in quanto la predisposizione delle proposte grafiche delle aree web dedicate al PNRR del sito istituzionale sono state eseguite dal personale interno degli Uffici interessati facenti parte del Gruppo di lavoro istituito e previsto dalla Direttiva generale per l’azione amministrativa e pertanto, non è stato necessario ricorrere a procedure di affidamento esterno;</w:t>
      </w:r>
    </w:p>
    <w:p w14:paraId="38F5E1E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443 - </w:t>
      </w:r>
      <w:r w:rsidRPr="00F56356">
        <w:rPr>
          <w:rFonts w:ascii="Times New Roman" w:eastAsia="Times New Roman" w:hAnsi="Times New Roman" w:cs="Times New Roman"/>
          <w:i/>
          <w:color w:val="000000" w:themeColor="text1"/>
          <w:sz w:val="24"/>
          <w:szCs w:val="24"/>
          <w:lang w:eastAsia="it-IT"/>
        </w:rPr>
        <w:t>Spese per il supporto tecnico-operativo alle attività in materia di perequazione infrastrutturale (decreto-legge n. 121/2021, convertito con modificazioni dalla legge n. 156/2021, art. 15,</w:t>
      </w:r>
      <w:r w:rsidRPr="00F56356">
        <w:rPr>
          <w:rFonts w:ascii="Times New Roman" w:eastAsia="Times New Roman" w:hAnsi="Times New Roman" w:cs="Times New Roman"/>
          <w:color w:val="000000" w:themeColor="text1"/>
          <w:sz w:val="24"/>
          <w:szCs w:val="24"/>
          <w:lang w:eastAsia="it-IT"/>
        </w:rPr>
        <w:t xml:space="preserve"> le risorse non sono state impegnate in quanto è ancora in corso di definizione il decreto di riparto relativo ai criteri di priorità e alle azioni da perseguire per il recupero del divario infrastrutturale, previa intesa in sede di conferenza unificata; </w:t>
      </w:r>
    </w:p>
    <w:p w14:paraId="4BE87A3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456 - </w:t>
      </w:r>
      <w:r w:rsidRPr="00F56356">
        <w:rPr>
          <w:rFonts w:ascii="Times New Roman" w:eastAsia="Times New Roman" w:hAnsi="Times New Roman" w:cs="Times New Roman"/>
          <w:i/>
          <w:iCs/>
          <w:color w:val="000000" w:themeColor="text1"/>
          <w:sz w:val="24"/>
          <w:szCs w:val="24"/>
          <w:lang w:eastAsia="it-IT"/>
        </w:rPr>
        <w:t>Spese per studi, indagini e rilevazioni,</w:t>
      </w:r>
      <w:r w:rsidRPr="00F56356">
        <w:rPr>
          <w:rFonts w:ascii="Times New Roman" w:eastAsia="Times New Roman" w:hAnsi="Times New Roman" w:cs="Times New Roman"/>
          <w:color w:val="000000" w:themeColor="text1"/>
          <w:sz w:val="24"/>
          <w:szCs w:val="24"/>
          <w:lang w:eastAsia="it-IT"/>
        </w:rPr>
        <w:t xml:space="preserve"> le risorse non sono state impegnate in quanto non sono stati conferiti incarichi di studio, indagini e rilevazioni a supporto del Dipartimento;</w:t>
      </w:r>
    </w:p>
    <w:p w14:paraId="30A5704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459 - </w:t>
      </w:r>
      <w:r w:rsidRPr="00F56356">
        <w:rPr>
          <w:rFonts w:ascii="Times New Roman" w:eastAsia="Times New Roman" w:hAnsi="Times New Roman" w:cs="Times New Roman"/>
          <w:i/>
          <w:sz w:val="24"/>
          <w:szCs w:val="24"/>
          <w:lang w:eastAsia="it-IT"/>
        </w:rPr>
        <w:t>Spese di rappresentanza,</w:t>
      </w:r>
      <w:r w:rsidRPr="00F56356">
        <w:rPr>
          <w:rFonts w:ascii="Times New Roman" w:eastAsia="Times New Roman" w:hAnsi="Times New Roman" w:cs="Times New Roman"/>
          <w:color w:val="000000" w:themeColor="text1"/>
          <w:sz w:val="24"/>
          <w:szCs w:val="24"/>
          <w:lang w:eastAsia="it-IT"/>
        </w:rPr>
        <w:t xml:space="preserve"> le risorse non sono state impegnate in coerenza con il proseguimento dell’azione di contenimento della spesa per il funzionamento;</w:t>
      </w:r>
    </w:p>
    <w:p w14:paraId="55D0A3D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per il capitolo 491 –</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Spese per le attività di supporto previste dall’articolo 33, comma 7, del decreto-legge 6 novembre 2021 n. 152, convertito, con modificazioni, dalla legge 29 dicembre 2021, n. 233,</w:t>
      </w:r>
      <w:r w:rsidRPr="00F56356">
        <w:rPr>
          <w:rFonts w:ascii="Times New Roman" w:eastAsia="Times New Roman" w:hAnsi="Times New Roman" w:cs="Times New Roman"/>
          <w:sz w:val="24"/>
          <w:szCs w:val="24"/>
          <w:lang w:eastAsia="it-IT"/>
        </w:rPr>
        <w:t xml:space="preserve"> le risorse non sono state impegnate in quanto </w:t>
      </w:r>
      <w:r w:rsidRPr="00F56356">
        <w:rPr>
          <w:rFonts w:ascii="Times New Roman" w:eastAsia="Times New Roman" w:hAnsi="Times New Roman" w:cs="Times New Roman"/>
          <w:color w:val="000000" w:themeColor="text1"/>
          <w:sz w:val="24"/>
          <w:szCs w:val="24"/>
          <w:lang w:eastAsia="it-IT"/>
        </w:rPr>
        <w:t xml:space="preserve">le attività connesse all’attuazione delle misure </w:t>
      </w:r>
      <w:r w:rsidRPr="00F56356">
        <w:rPr>
          <w:rFonts w:ascii="Times New Roman" w:eastAsia="Times New Roman" w:hAnsi="Times New Roman" w:cs="Times New Roman"/>
          <w:color w:val="000000" w:themeColor="text1"/>
          <w:sz w:val="24"/>
          <w:szCs w:val="24"/>
          <w:lang w:eastAsia="it-IT"/>
        </w:rPr>
        <w:lastRenderedPageBreak/>
        <w:t>PNRR di competenza e quelle concernenti il relativo coordinamento con gli enti territoriali sono state espletate da personale interno.</w:t>
      </w:r>
    </w:p>
    <w:p w14:paraId="402A3F5B"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FCD4E24" w14:textId="77777777" w:rsidR="00F56356" w:rsidRPr="00F56356" w:rsidRDefault="00F56356"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23B8AE0" w14:textId="77777777" w:rsidR="00F56356" w:rsidRPr="00F56356" w:rsidRDefault="00F56356"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2020-2022:</w:t>
      </w:r>
    </w:p>
    <w:p w14:paraId="714B9E5F" w14:textId="77777777" w:rsidR="00F56356" w:rsidRPr="00F56356" w:rsidRDefault="00F56356"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D078B09"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0F30399F" wp14:editId="481F38B7">
            <wp:extent cx="3435057" cy="378950"/>
            <wp:effectExtent l="0" t="0" r="0" b="254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00371" cy="386155"/>
                    </a:xfrm>
                    <a:prstGeom prst="rect">
                      <a:avLst/>
                    </a:prstGeom>
                    <a:noFill/>
                    <a:ln>
                      <a:noFill/>
                    </a:ln>
                  </pic:spPr>
                </pic:pic>
              </a:graphicData>
            </a:graphic>
          </wp:inline>
        </w:drawing>
      </w:r>
    </w:p>
    <w:p w14:paraId="256DC119"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70CFA7E8" wp14:editId="696970E8">
            <wp:extent cx="3502171" cy="2103223"/>
            <wp:effectExtent l="0" t="0" r="3175"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27894" cy="2118671"/>
                    </a:xfrm>
                    <a:prstGeom prst="rect">
                      <a:avLst/>
                    </a:prstGeom>
                    <a:noFill/>
                  </pic:spPr>
                </pic:pic>
              </a:graphicData>
            </a:graphic>
          </wp:inline>
        </w:drawing>
      </w:r>
    </w:p>
    <w:p w14:paraId="7E95940D"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B5DAADC" w14:textId="2C58027C" w:rsidR="00F56356" w:rsidRDefault="00F56356" w:rsidP="00F56356">
      <w:pPr>
        <w:spacing w:after="0" w:line="360" w:lineRule="auto"/>
        <w:ind w:right="284"/>
        <w:jc w:val="center"/>
        <w:rPr>
          <w:rFonts w:ascii="Times New Roman" w:eastAsia="Times New Roman" w:hAnsi="Times New Roman" w:cs="Times New Roman"/>
          <w:b/>
          <w:sz w:val="24"/>
          <w:szCs w:val="24"/>
          <w:lang w:eastAsia="it-IT"/>
        </w:rPr>
      </w:pPr>
    </w:p>
    <w:p w14:paraId="47641C00" w14:textId="6692F461"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2EB618E9" w14:textId="1AE67D29"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175C518F" w14:textId="4BB18F40"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75D15BD8" w14:textId="7BBD6640"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2C089DF6" w14:textId="61A0B1D1"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6CD29BC1" w14:textId="66AE2C7A"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42ED3DC7" w14:textId="2267E5FE"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06EF0DEE" w14:textId="1BF60FF9"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49CF72E3" w14:textId="3677477B"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18FE0B6F" w14:textId="65095B51"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330122E5" w14:textId="4DA47751"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39824D3F" w14:textId="56DA362A"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0C5CBFA7" w14:textId="5D312DB4" w:rsidR="00673DBE"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42B32988" w14:textId="77777777" w:rsidR="00673DBE" w:rsidRPr="00F56356" w:rsidRDefault="00673DBE" w:rsidP="00F56356">
      <w:pPr>
        <w:spacing w:after="0" w:line="360" w:lineRule="auto"/>
        <w:ind w:right="284"/>
        <w:jc w:val="center"/>
        <w:rPr>
          <w:rFonts w:ascii="Times New Roman" w:eastAsia="Times New Roman" w:hAnsi="Times New Roman" w:cs="Times New Roman"/>
          <w:b/>
          <w:sz w:val="24"/>
          <w:szCs w:val="24"/>
          <w:lang w:eastAsia="it-IT"/>
        </w:rPr>
      </w:pPr>
    </w:p>
    <w:p w14:paraId="6370A8BD" w14:textId="77777777" w:rsidR="00F56356" w:rsidRPr="00F56356" w:rsidRDefault="00F56356" w:rsidP="00F56356">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4064D4C"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Nelle tabelle seguenti è indicata la ripartizione delle risorse relative a interventi/investimenti per destinatari finali, comprensive delle risorse relative ai residui passivi perenti </w:t>
      </w:r>
      <w:proofErr w:type="spellStart"/>
      <w:r w:rsidRPr="00F56356">
        <w:rPr>
          <w:rFonts w:ascii="Times New Roman" w:eastAsia="Times New Roman" w:hAnsi="Times New Roman" w:cs="Times New Roman"/>
          <w:color w:val="000000" w:themeColor="text1"/>
          <w:sz w:val="24"/>
          <w:szCs w:val="24"/>
          <w:lang w:eastAsia="it-IT"/>
        </w:rPr>
        <w:t>reiscritti</w:t>
      </w:r>
      <w:proofErr w:type="spellEnd"/>
      <w:r w:rsidRPr="00F56356">
        <w:rPr>
          <w:rFonts w:ascii="Times New Roman" w:eastAsia="Times New Roman" w:hAnsi="Times New Roman" w:cs="Times New Roman"/>
          <w:color w:val="000000" w:themeColor="text1"/>
          <w:sz w:val="24"/>
          <w:szCs w:val="24"/>
          <w:lang w:eastAsia="it-IT"/>
        </w:rPr>
        <w:t>:</w:t>
      </w:r>
    </w:p>
    <w:p w14:paraId="30D0595E"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44256" behindDoc="1" locked="0" layoutInCell="1" allowOverlap="1" wp14:anchorId="0D1D576A" wp14:editId="39AF3CE6">
            <wp:simplePos x="0" y="0"/>
            <wp:positionH relativeFrom="margin">
              <wp:align>right</wp:align>
            </wp:positionH>
            <wp:positionV relativeFrom="paragraph">
              <wp:posOffset>260985</wp:posOffset>
            </wp:positionV>
            <wp:extent cx="6075680" cy="4272915"/>
            <wp:effectExtent l="0" t="0" r="1270" b="0"/>
            <wp:wrapTight wrapText="bothSides">
              <wp:wrapPolygon edited="0">
                <wp:start x="0" y="0"/>
                <wp:lineTo x="0" y="20704"/>
                <wp:lineTo x="610" y="21475"/>
                <wp:lineTo x="19640" y="21475"/>
                <wp:lineTo x="21537" y="21090"/>
                <wp:lineTo x="21537" y="20512"/>
                <wp:lineTo x="19708" y="20030"/>
                <wp:lineTo x="21537" y="18490"/>
                <wp:lineTo x="19640" y="16949"/>
                <wp:lineTo x="21537" y="16082"/>
                <wp:lineTo x="21537" y="15889"/>
                <wp:lineTo x="19640" y="15408"/>
                <wp:lineTo x="21537" y="14830"/>
                <wp:lineTo x="21537" y="14541"/>
                <wp:lineTo x="19640" y="13867"/>
                <wp:lineTo x="21537" y="13675"/>
                <wp:lineTo x="21537" y="12326"/>
                <wp:lineTo x="19640" y="12326"/>
                <wp:lineTo x="19640" y="10786"/>
                <wp:lineTo x="21537" y="9919"/>
                <wp:lineTo x="21537" y="9726"/>
                <wp:lineTo x="19640" y="9245"/>
                <wp:lineTo x="21537" y="8378"/>
                <wp:lineTo x="21537" y="8185"/>
                <wp:lineTo x="19640" y="7704"/>
                <wp:lineTo x="21537" y="6837"/>
                <wp:lineTo x="21537" y="6645"/>
                <wp:lineTo x="19640" y="6163"/>
                <wp:lineTo x="20182" y="6163"/>
                <wp:lineTo x="21537" y="5104"/>
                <wp:lineTo x="21537" y="0"/>
                <wp:lineTo x="0" y="0"/>
              </wp:wrapPolygon>
            </wp:wrapTight>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75680" cy="4272915"/>
                    </a:xfrm>
                    <a:prstGeom prst="rect">
                      <a:avLst/>
                    </a:prstGeom>
                    <a:noFill/>
                    <a:ln>
                      <a:noFill/>
                    </a:ln>
                  </pic:spPr>
                </pic:pic>
              </a:graphicData>
            </a:graphic>
            <wp14:sizeRelH relativeFrom="margin">
              <wp14:pctWidth>0</wp14:pctWidth>
            </wp14:sizeRelH>
          </wp:anchor>
        </w:drawing>
      </w:r>
    </w:p>
    <w:p w14:paraId="44012F42"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7C7ED515"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28C18C3A"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45280" behindDoc="1" locked="0" layoutInCell="1" allowOverlap="1" wp14:anchorId="12C010A9" wp14:editId="6D4BD359">
            <wp:simplePos x="0" y="0"/>
            <wp:positionH relativeFrom="margin">
              <wp:align>right</wp:align>
            </wp:positionH>
            <wp:positionV relativeFrom="paragraph">
              <wp:posOffset>267335</wp:posOffset>
            </wp:positionV>
            <wp:extent cx="6052820" cy="2130425"/>
            <wp:effectExtent l="0" t="0" r="5080" b="3175"/>
            <wp:wrapTight wrapText="bothSides">
              <wp:wrapPolygon edited="0">
                <wp:start x="0" y="0"/>
                <wp:lineTo x="0" y="19894"/>
                <wp:lineTo x="612" y="21439"/>
                <wp:lineTo x="19647" y="21439"/>
                <wp:lineTo x="21550" y="19894"/>
                <wp:lineTo x="21550" y="19508"/>
                <wp:lineTo x="19647" y="18542"/>
                <wp:lineTo x="21550" y="16031"/>
                <wp:lineTo x="21550" y="15645"/>
                <wp:lineTo x="19647" y="15452"/>
                <wp:lineTo x="21550" y="13134"/>
                <wp:lineTo x="21550" y="12748"/>
                <wp:lineTo x="20326" y="12361"/>
                <wp:lineTo x="21550" y="10430"/>
                <wp:lineTo x="21550" y="0"/>
                <wp:lineTo x="0" y="0"/>
              </wp:wrapPolygon>
            </wp:wrapTight>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52820" cy="2130425"/>
                    </a:xfrm>
                    <a:prstGeom prst="rect">
                      <a:avLst/>
                    </a:prstGeom>
                    <a:noFill/>
                    <a:ln>
                      <a:noFill/>
                    </a:ln>
                  </pic:spPr>
                </pic:pic>
              </a:graphicData>
            </a:graphic>
            <wp14:sizeRelH relativeFrom="margin">
              <wp14:pctWidth>0</wp14:pctWidth>
            </wp14:sizeRelH>
          </wp:anchor>
        </w:drawing>
      </w:r>
    </w:p>
    <w:p w14:paraId="242D61D1"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7C0E531B" w14:textId="344BF9FB" w:rsid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61C1F10B" w14:textId="68490B2F" w:rsidR="00410C3C" w:rsidRDefault="00410C3C"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553F0242" w14:textId="6D46854D" w:rsidR="00410C3C" w:rsidRDefault="00410C3C"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4574C752" w14:textId="2C0F6171" w:rsidR="00410C3C" w:rsidRDefault="00410C3C"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6519FEEB" w14:textId="77777777" w:rsidR="00410C3C" w:rsidRPr="00F56356" w:rsidRDefault="00410C3C"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tbl>
      <w:tblPr>
        <w:tblStyle w:val="TableNormal"/>
        <w:tblW w:w="9244"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9"/>
        <w:gridCol w:w="713"/>
        <w:gridCol w:w="1245"/>
        <w:gridCol w:w="1250"/>
        <w:gridCol w:w="1250"/>
        <w:gridCol w:w="1250"/>
        <w:gridCol w:w="1357"/>
      </w:tblGrid>
      <w:tr w:rsidR="00F56356" w:rsidRPr="00F56356" w14:paraId="0171FAF8" w14:textId="77777777" w:rsidTr="00F56356">
        <w:trPr>
          <w:trHeight w:val="287"/>
          <w:jc w:val="right"/>
        </w:trPr>
        <w:tc>
          <w:tcPr>
            <w:tcW w:w="9244" w:type="dxa"/>
            <w:gridSpan w:val="7"/>
          </w:tcPr>
          <w:p w14:paraId="54B6BCB3" w14:textId="77777777" w:rsidR="00F56356" w:rsidRPr="00F56356" w:rsidRDefault="00F56356" w:rsidP="00F56356">
            <w:pPr>
              <w:spacing w:before="10"/>
              <w:ind w:left="3383" w:right="3385"/>
              <w:jc w:val="center"/>
              <w:rPr>
                <w:rFonts w:ascii="Times New Roman" w:eastAsia="Times New Roman" w:hAnsi="Times New Roman" w:cs="Times New Roman"/>
                <w:b/>
                <w:i/>
                <w:lang w:eastAsia="it-IT" w:bidi="it-IT"/>
              </w:rPr>
            </w:pPr>
            <w:bookmarkStart w:id="49" w:name="cap._446_(2)"/>
            <w:bookmarkEnd w:id="49"/>
            <w:r w:rsidRPr="00F56356">
              <w:rPr>
                <w:rFonts w:ascii="Times New Roman" w:eastAsia="Times New Roman" w:hAnsi="Times New Roman" w:cs="Times New Roman"/>
                <w:b/>
                <w:i/>
                <w:lang w:eastAsia="it-IT" w:bidi="it-IT"/>
              </w:rPr>
              <w:lastRenderedPageBreak/>
              <w:t>SCHEDA OBIETTIVO</w:t>
            </w:r>
          </w:p>
        </w:tc>
      </w:tr>
      <w:tr w:rsidR="00F56356" w:rsidRPr="00F56356" w14:paraId="4B27591D" w14:textId="77777777" w:rsidTr="00F56356">
        <w:trPr>
          <w:trHeight w:val="251"/>
          <w:jc w:val="right"/>
        </w:trPr>
        <w:tc>
          <w:tcPr>
            <w:tcW w:w="2179" w:type="dxa"/>
          </w:tcPr>
          <w:p w14:paraId="0CB5AAB4" w14:textId="77777777" w:rsidR="00F56356" w:rsidRPr="00F56356" w:rsidRDefault="00F56356" w:rsidP="00F56356">
            <w:pPr>
              <w:spacing w:before="46"/>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MISSIONE</w:t>
            </w:r>
          </w:p>
        </w:tc>
        <w:tc>
          <w:tcPr>
            <w:tcW w:w="7065" w:type="dxa"/>
            <w:gridSpan w:val="6"/>
          </w:tcPr>
          <w:p w14:paraId="30626E1F" w14:textId="77777777" w:rsidR="00F56356" w:rsidRPr="00F56356" w:rsidRDefault="00F56356" w:rsidP="00F56356">
            <w:pPr>
              <w:spacing w:before="25"/>
              <w:ind w:left="31"/>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 xml:space="preserve">1 - </w:t>
            </w:r>
            <w:proofErr w:type="spellStart"/>
            <w:r w:rsidRPr="00F56356">
              <w:rPr>
                <w:rFonts w:ascii="Times New Roman" w:eastAsia="Times New Roman" w:hAnsi="Times New Roman" w:cs="Times New Roman"/>
                <w:sz w:val="16"/>
                <w:lang w:eastAsia="it-IT" w:bidi="it-IT"/>
              </w:rPr>
              <w:t>Organi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costituzionali</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rilevanza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costituzionale</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Presidenza</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Consiglio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ministri</w:t>
            </w:r>
            <w:proofErr w:type="spellEnd"/>
          </w:p>
        </w:tc>
      </w:tr>
      <w:tr w:rsidR="00F56356" w:rsidRPr="00F56356" w14:paraId="4E07414F" w14:textId="77777777" w:rsidTr="00F56356">
        <w:trPr>
          <w:trHeight w:val="251"/>
          <w:jc w:val="right"/>
        </w:trPr>
        <w:tc>
          <w:tcPr>
            <w:tcW w:w="2179" w:type="dxa"/>
          </w:tcPr>
          <w:p w14:paraId="3F92986C" w14:textId="77777777" w:rsidR="00F56356" w:rsidRPr="00F56356" w:rsidRDefault="00F56356" w:rsidP="00F56356">
            <w:pPr>
              <w:spacing w:before="46"/>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PROGRAMMA</w:t>
            </w:r>
          </w:p>
        </w:tc>
        <w:tc>
          <w:tcPr>
            <w:tcW w:w="7065" w:type="dxa"/>
            <w:gridSpan w:val="6"/>
          </w:tcPr>
          <w:p w14:paraId="75EE3229" w14:textId="77777777" w:rsidR="00F56356" w:rsidRPr="00F56356" w:rsidRDefault="00F56356" w:rsidP="00F56356">
            <w:pPr>
              <w:spacing w:before="23"/>
              <w:ind w:left="31"/>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 xml:space="preserve">1.3 - </w:t>
            </w:r>
            <w:proofErr w:type="spellStart"/>
            <w:r w:rsidRPr="00F56356">
              <w:rPr>
                <w:rFonts w:ascii="Times New Roman" w:eastAsia="Times New Roman" w:hAnsi="Times New Roman" w:cs="Times New Roman"/>
                <w:sz w:val="16"/>
                <w:lang w:eastAsia="it-IT" w:bidi="it-IT"/>
              </w:rPr>
              <w:t>Presidenza</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Consiglio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ministri</w:t>
            </w:r>
            <w:proofErr w:type="spellEnd"/>
          </w:p>
        </w:tc>
      </w:tr>
      <w:tr w:rsidR="00F56356" w:rsidRPr="00F56356" w14:paraId="7F2513AB" w14:textId="77777777" w:rsidTr="00F56356">
        <w:trPr>
          <w:trHeight w:val="217"/>
          <w:jc w:val="right"/>
        </w:trPr>
        <w:tc>
          <w:tcPr>
            <w:tcW w:w="2179" w:type="dxa"/>
          </w:tcPr>
          <w:p w14:paraId="07615BA1" w14:textId="77777777" w:rsidR="00F56356" w:rsidRPr="00F56356" w:rsidRDefault="00F56356" w:rsidP="00F56356">
            <w:pPr>
              <w:spacing w:before="29"/>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CENTRO DI RESPONSABILITA’</w:t>
            </w:r>
          </w:p>
        </w:tc>
        <w:tc>
          <w:tcPr>
            <w:tcW w:w="7065" w:type="dxa"/>
            <w:gridSpan w:val="6"/>
          </w:tcPr>
          <w:p w14:paraId="3D04E07E" w14:textId="77777777" w:rsidR="00F56356" w:rsidRPr="00F56356" w:rsidRDefault="00F56356" w:rsidP="00F56356">
            <w:pPr>
              <w:spacing w:before="6"/>
              <w:ind w:left="31"/>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 xml:space="preserve">7 - </w:t>
            </w:r>
            <w:proofErr w:type="spellStart"/>
            <w:r w:rsidRPr="00F56356">
              <w:rPr>
                <w:rFonts w:ascii="Times New Roman" w:eastAsia="Times New Roman" w:hAnsi="Times New Roman" w:cs="Times New Roman"/>
                <w:sz w:val="16"/>
                <w:lang w:eastAsia="it-IT" w:bidi="it-IT"/>
              </w:rPr>
              <w:t>Affari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regionali</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autonomie</w:t>
            </w:r>
            <w:proofErr w:type="spellEnd"/>
          </w:p>
        </w:tc>
      </w:tr>
      <w:tr w:rsidR="00F56356" w:rsidRPr="00F56356" w14:paraId="1A834A83" w14:textId="77777777" w:rsidTr="00F56356">
        <w:trPr>
          <w:trHeight w:val="1204"/>
          <w:jc w:val="right"/>
        </w:trPr>
        <w:tc>
          <w:tcPr>
            <w:tcW w:w="2179" w:type="dxa"/>
          </w:tcPr>
          <w:p w14:paraId="4C70756A" w14:textId="77777777" w:rsidR="00F56356" w:rsidRPr="00F56356" w:rsidRDefault="00F56356" w:rsidP="00F56356">
            <w:pPr>
              <w:rPr>
                <w:rFonts w:ascii="Times New Roman" w:eastAsia="Times New Roman" w:hAnsi="Times New Roman" w:cs="Times New Roman"/>
                <w:sz w:val="16"/>
                <w:lang w:eastAsia="it-IT" w:bidi="it-IT"/>
              </w:rPr>
            </w:pPr>
          </w:p>
          <w:p w14:paraId="11554BBC" w14:textId="77777777" w:rsidR="00F56356" w:rsidRPr="00F56356" w:rsidRDefault="00F56356" w:rsidP="00F56356">
            <w:pPr>
              <w:rPr>
                <w:rFonts w:ascii="Times New Roman" w:eastAsia="Times New Roman" w:hAnsi="Times New Roman" w:cs="Times New Roman"/>
                <w:sz w:val="16"/>
                <w:lang w:eastAsia="it-IT" w:bidi="it-IT"/>
              </w:rPr>
            </w:pPr>
          </w:p>
          <w:p w14:paraId="1047382D" w14:textId="77777777" w:rsidR="00F56356" w:rsidRPr="00F56356" w:rsidRDefault="00F56356" w:rsidP="00F56356">
            <w:pPr>
              <w:spacing w:before="4"/>
              <w:rPr>
                <w:rFonts w:ascii="Times New Roman" w:eastAsia="Times New Roman" w:hAnsi="Times New Roman" w:cs="Times New Roman"/>
                <w:sz w:val="13"/>
                <w:lang w:eastAsia="it-IT" w:bidi="it-IT"/>
              </w:rPr>
            </w:pPr>
          </w:p>
          <w:p w14:paraId="1742D7C3" w14:textId="77777777" w:rsidR="00F56356" w:rsidRPr="00F56356" w:rsidRDefault="00F56356" w:rsidP="00F56356">
            <w:pPr>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OBIETTIVO STRUTTURALE</w:t>
            </w:r>
          </w:p>
        </w:tc>
        <w:tc>
          <w:tcPr>
            <w:tcW w:w="7065" w:type="dxa"/>
            <w:gridSpan w:val="6"/>
          </w:tcPr>
          <w:p w14:paraId="7A5C1D44" w14:textId="77777777" w:rsidR="00F56356" w:rsidRPr="00F56356" w:rsidRDefault="00F56356" w:rsidP="00F56356">
            <w:pPr>
              <w:spacing w:line="266" w:lineRule="auto"/>
              <w:ind w:left="31" w:right="5"/>
              <w:jc w:val="both"/>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Attività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finalizzate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realizzazione</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quanto</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competenza</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Dipartimento</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gli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affari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regionali</w:t>
            </w:r>
            <w:proofErr w:type="spellEnd"/>
            <w:r w:rsidRPr="00F56356">
              <w:rPr>
                <w:rFonts w:ascii="Times New Roman" w:eastAsia="Times New Roman" w:hAnsi="Times New Roman" w:cs="Times New Roman"/>
                <w:sz w:val="16"/>
                <w:lang w:eastAsia="it-IT" w:bidi="it-IT"/>
              </w:rPr>
              <w:t xml:space="preserve"> e le </w:t>
            </w:r>
            <w:proofErr w:type="spellStart"/>
            <w:r w:rsidRPr="00F56356">
              <w:rPr>
                <w:rFonts w:ascii="Times New Roman" w:eastAsia="Times New Roman" w:hAnsi="Times New Roman" w:cs="Times New Roman"/>
                <w:sz w:val="16"/>
                <w:lang w:eastAsia="it-IT" w:bidi="it-IT"/>
              </w:rPr>
              <w:t>autonomie</w:t>
            </w:r>
            <w:proofErr w:type="spellEnd"/>
            <w:r w:rsidRPr="00F56356">
              <w:rPr>
                <w:rFonts w:ascii="Times New Roman" w:eastAsia="Times New Roman" w:hAnsi="Times New Roman" w:cs="Times New Roman"/>
                <w:sz w:val="16"/>
                <w:lang w:eastAsia="it-IT" w:bidi="it-IT"/>
              </w:rPr>
              <w:t xml:space="preserve"> ai </w:t>
            </w:r>
            <w:proofErr w:type="spellStart"/>
            <w:r w:rsidRPr="00F56356">
              <w:rPr>
                <w:rFonts w:ascii="Times New Roman" w:eastAsia="Times New Roman" w:hAnsi="Times New Roman" w:cs="Times New Roman"/>
                <w:sz w:val="16"/>
                <w:lang w:eastAsia="it-IT" w:bidi="it-IT"/>
              </w:rPr>
              <w:t>fini</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riparto</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 xml:space="preserve"> per la </w:t>
            </w:r>
            <w:proofErr w:type="spellStart"/>
            <w:r w:rsidRPr="00F56356">
              <w:rPr>
                <w:rFonts w:ascii="Times New Roman" w:eastAsia="Times New Roman" w:hAnsi="Times New Roman" w:cs="Times New Roman"/>
                <w:sz w:val="16"/>
                <w:lang w:eastAsia="it-IT" w:bidi="it-IT"/>
              </w:rPr>
              <w:t>valorizzazione</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promozione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aree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territoriali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svantaggiate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confinanti</w:t>
            </w:r>
            <w:proofErr w:type="spellEnd"/>
            <w:r w:rsidRPr="00F56356">
              <w:rPr>
                <w:rFonts w:ascii="Times New Roman" w:eastAsia="Times New Roman" w:hAnsi="Times New Roman" w:cs="Times New Roman"/>
                <w:sz w:val="16"/>
                <w:lang w:eastAsia="it-IT" w:bidi="it-IT"/>
              </w:rPr>
              <w:t xml:space="preserve"> con le </w:t>
            </w:r>
            <w:proofErr w:type="spellStart"/>
            <w:r w:rsidRPr="00F56356">
              <w:rPr>
                <w:rFonts w:ascii="Times New Roman" w:eastAsia="Times New Roman" w:hAnsi="Times New Roman" w:cs="Times New Roman"/>
                <w:sz w:val="16"/>
                <w:lang w:eastAsia="it-IT" w:bidi="it-IT"/>
              </w:rPr>
              <w:t>regioni</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statuto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speciale</w:t>
            </w:r>
            <w:proofErr w:type="spellEnd"/>
            <w:r w:rsidRPr="00F56356">
              <w:rPr>
                <w:rFonts w:ascii="Times New Roman" w:eastAsia="Times New Roman" w:hAnsi="Times New Roman" w:cs="Times New Roman"/>
                <w:sz w:val="16"/>
                <w:lang w:eastAsia="it-IT" w:bidi="it-IT"/>
              </w:rPr>
              <w:t xml:space="preserve"> e le Province </w:t>
            </w:r>
            <w:proofErr w:type="spellStart"/>
            <w:r w:rsidRPr="00F56356">
              <w:rPr>
                <w:rFonts w:ascii="Times New Roman" w:eastAsia="Times New Roman" w:hAnsi="Times New Roman" w:cs="Times New Roman"/>
                <w:sz w:val="16"/>
                <w:lang w:eastAsia="it-IT" w:bidi="it-IT"/>
              </w:rPr>
              <w:t>autonome</w:t>
            </w:r>
            <w:proofErr w:type="spellEnd"/>
            <w:r w:rsidRPr="00F56356">
              <w:rPr>
                <w:rFonts w:ascii="Times New Roman" w:eastAsia="Times New Roman" w:hAnsi="Times New Roman" w:cs="Times New Roman"/>
                <w:sz w:val="16"/>
                <w:lang w:eastAsia="it-IT" w:bidi="it-IT"/>
              </w:rPr>
              <w:t xml:space="preserve"> di Trento e Bolzano (</w:t>
            </w:r>
            <w:proofErr w:type="spellStart"/>
            <w:r w:rsidRPr="00F56356">
              <w:rPr>
                <w:rFonts w:ascii="Times New Roman" w:eastAsia="Times New Roman" w:hAnsi="Times New Roman" w:cs="Times New Roman"/>
                <w:sz w:val="16"/>
                <w:lang w:eastAsia="it-IT" w:bidi="it-IT"/>
              </w:rPr>
              <w:t>emanazione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dipartimentale</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assegnazione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finanziamenti</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entro</w:t>
            </w:r>
            <w:proofErr w:type="spellEnd"/>
            <w:r w:rsidRPr="00F56356">
              <w:rPr>
                <w:rFonts w:ascii="Times New Roman" w:eastAsia="Times New Roman" w:hAnsi="Times New Roman" w:cs="Times New Roman"/>
                <w:sz w:val="16"/>
                <w:lang w:eastAsia="it-IT" w:bidi="it-IT"/>
              </w:rPr>
              <w:t xml:space="preserve"> 60 </w:t>
            </w:r>
            <w:proofErr w:type="spellStart"/>
            <w:r w:rsidRPr="00F56356">
              <w:rPr>
                <w:rFonts w:ascii="Times New Roman" w:eastAsia="Times New Roman" w:hAnsi="Times New Roman" w:cs="Times New Roman"/>
                <w:sz w:val="16"/>
                <w:lang w:eastAsia="it-IT" w:bidi="it-IT"/>
              </w:rPr>
              <w:t>giorni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pubblicazione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stesso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emanazione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liquidazione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quote </w:t>
            </w:r>
            <w:proofErr w:type="spellStart"/>
            <w:r w:rsidRPr="00F56356">
              <w:rPr>
                <w:rFonts w:ascii="Times New Roman" w:eastAsia="Times New Roman" w:hAnsi="Times New Roman" w:cs="Times New Roman"/>
                <w:sz w:val="16"/>
                <w:lang w:eastAsia="it-IT" w:bidi="it-IT"/>
              </w:rPr>
              <w:t>spettanti</w:t>
            </w:r>
            <w:proofErr w:type="spellEnd"/>
            <w:r w:rsidRPr="00F56356">
              <w:rPr>
                <w:rFonts w:ascii="Times New Roman" w:eastAsia="Times New Roman" w:hAnsi="Times New Roman" w:cs="Times New Roman"/>
                <w:sz w:val="16"/>
                <w:lang w:eastAsia="it-IT" w:bidi="it-IT"/>
              </w:rPr>
              <w:t xml:space="preserve"> ai </w:t>
            </w:r>
            <w:proofErr w:type="spellStart"/>
            <w:r w:rsidRPr="00F56356">
              <w:rPr>
                <w:rFonts w:ascii="Times New Roman" w:eastAsia="Times New Roman" w:hAnsi="Times New Roman" w:cs="Times New Roman"/>
                <w:sz w:val="16"/>
                <w:lang w:eastAsia="it-IT" w:bidi="it-IT"/>
              </w:rPr>
              <w:t>comuni</w:t>
            </w:r>
            <w:proofErr w:type="spellEnd"/>
          </w:p>
          <w:p w14:paraId="3ADBBA35" w14:textId="77777777" w:rsidR="00F56356" w:rsidRPr="00F56356" w:rsidRDefault="00F56356" w:rsidP="00F56356">
            <w:pPr>
              <w:spacing w:line="171" w:lineRule="exact"/>
              <w:ind w:left="31"/>
              <w:jc w:val="both"/>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confinanti</w:t>
            </w:r>
            <w:proofErr w:type="spellEnd"/>
            <w:r w:rsidRPr="00F56356">
              <w:rPr>
                <w:rFonts w:ascii="Times New Roman" w:eastAsia="Times New Roman" w:hAnsi="Times New Roman" w:cs="Times New Roman"/>
                <w:sz w:val="16"/>
                <w:lang w:eastAsia="it-IT" w:bidi="it-IT"/>
              </w:rPr>
              <w:t xml:space="preserve"> con le </w:t>
            </w:r>
            <w:proofErr w:type="spellStart"/>
            <w:r w:rsidRPr="00F56356">
              <w:rPr>
                <w:rFonts w:ascii="Times New Roman" w:eastAsia="Times New Roman" w:hAnsi="Times New Roman" w:cs="Times New Roman"/>
                <w:sz w:val="16"/>
                <w:lang w:eastAsia="it-IT" w:bidi="it-IT"/>
              </w:rPr>
              <w:t>Regioni</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statuto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speciale</w:t>
            </w:r>
            <w:proofErr w:type="spellEnd"/>
            <w:r w:rsidRPr="00F56356">
              <w:rPr>
                <w:rFonts w:ascii="Times New Roman" w:eastAsia="Times New Roman" w:hAnsi="Times New Roman" w:cs="Times New Roman"/>
                <w:sz w:val="16"/>
                <w:lang w:eastAsia="it-IT" w:bidi="it-IT"/>
              </w:rPr>
              <w:t>)</w:t>
            </w:r>
          </w:p>
        </w:tc>
      </w:tr>
      <w:tr w:rsidR="00F56356" w:rsidRPr="00F56356" w14:paraId="5BA21FAB" w14:textId="77777777" w:rsidTr="00F56356">
        <w:trPr>
          <w:trHeight w:val="3760"/>
          <w:jc w:val="right"/>
        </w:trPr>
        <w:tc>
          <w:tcPr>
            <w:tcW w:w="2179" w:type="dxa"/>
          </w:tcPr>
          <w:p w14:paraId="39CE5377" w14:textId="77777777" w:rsidR="00F56356" w:rsidRPr="00F56356" w:rsidRDefault="00F56356" w:rsidP="00F56356">
            <w:pPr>
              <w:rPr>
                <w:rFonts w:ascii="Times New Roman" w:eastAsia="Times New Roman" w:hAnsi="Times New Roman" w:cs="Times New Roman"/>
                <w:sz w:val="16"/>
                <w:lang w:eastAsia="it-IT" w:bidi="it-IT"/>
              </w:rPr>
            </w:pPr>
          </w:p>
          <w:p w14:paraId="3B64C7D5" w14:textId="77777777" w:rsidR="00F56356" w:rsidRPr="00F56356" w:rsidRDefault="00F56356" w:rsidP="00F56356">
            <w:pPr>
              <w:rPr>
                <w:rFonts w:ascii="Times New Roman" w:eastAsia="Times New Roman" w:hAnsi="Times New Roman" w:cs="Times New Roman"/>
                <w:sz w:val="16"/>
                <w:lang w:eastAsia="it-IT" w:bidi="it-IT"/>
              </w:rPr>
            </w:pPr>
          </w:p>
          <w:p w14:paraId="24531AC9" w14:textId="77777777" w:rsidR="00F56356" w:rsidRPr="00F56356" w:rsidRDefault="00F56356" w:rsidP="00F56356">
            <w:pPr>
              <w:rPr>
                <w:rFonts w:ascii="Times New Roman" w:eastAsia="Times New Roman" w:hAnsi="Times New Roman" w:cs="Times New Roman"/>
                <w:sz w:val="16"/>
                <w:lang w:eastAsia="it-IT" w:bidi="it-IT"/>
              </w:rPr>
            </w:pPr>
          </w:p>
          <w:p w14:paraId="233753C8" w14:textId="77777777" w:rsidR="00F56356" w:rsidRPr="00F56356" w:rsidRDefault="00F56356" w:rsidP="00F56356">
            <w:pPr>
              <w:rPr>
                <w:rFonts w:ascii="Times New Roman" w:eastAsia="Times New Roman" w:hAnsi="Times New Roman" w:cs="Times New Roman"/>
                <w:sz w:val="16"/>
                <w:lang w:eastAsia="it-IT" w:bidi="it-IT"/>
              </w:rPr>
            </w:pPr>
          </w:p>
          <w:p w14:paraId="1C95F36E" w14:textId="77777777" w:rsidR="00F56356" w:rsidRPr="00F56356" w:rsidRDefault="00F56356" w:rsidP="00F56356">
            <w:pPr>
              <w:rPr>
                <w:rFonts w:ascii="Times New Roman" w:eastAsia="Times New Roman" w:hAnsi="Times New Roman" w:cs="Times New Roman"/>
                <w:sz w:val="16"/>
                <w:lang w:eastAsia="it-IT" w:bidi="it-IT"/>
              </w:rPr>
            </w:pPr>
          </w:p>
          <w:p w14:paraId="3FA87949" w14:textId="77777777" w:rsidR="00F56356" w:rsidRPr="00F56356" w:rsidRDefault="00F56356" w:rsidP="00F56356">
            <w:pPr>
              <w:rPr>
                <w:rFonts w:ascii="Times New Roman" w:eastAsia="Times New Roman" w:hAnsi="Times New Roman" w:cs="Times New Roman"/>
                <w:sz w:val="16"/>
                <w:lang w:eastAsia="it-IT" w:bidi="it-IT"/>
              </w:rPr>
            </w:pPr>
          </w:p>
          <w:p w14:paraId="3D41B372" w14:textId="77777777" w:rsidR="00F56356" w:rsidRPr="00F56356" w:rsidRDefault="00F56356" w:rsidP="00F56356">
            <w:pPr>
              <w:rPr>
                <w:rFonts w:ascii="Times New Roman" w:eastAsia="Times New Roman" w:hAnsi="Times New Roman" w:cs="Times New Roman"/>
                <w:sz w:val="16"/>
                <w:lang w:eastAsia="it-IT" w:bidi="it-IT"/>
              </w:rPr>
            </w:pPr>
          </w:p>
          <w:p w14:paraId="1C8DF2A9" w14:textId="77777777" w:rsidR="00F56356" w:rsidRPr="00F56356" w:rsidRDefault="00F56356" w:rsidP="00F56356">
            <w:pPr>
              <w:rPr>
                <w:rFonts w:ascii="Times New Roman" w:eastAsia="Times New Roman" w:hAnsi="Times New Roman" w:cs="Times New Roman"/>
                <w:sz w:val="16"/>
                <w:lang w:eastAsia="it-IT" w:bidi="it-IT"/>
              </w:rPr>
            </w:pPr>
          </w:p>
          <w:p w14:paraId="0CA2F37F" w14:textId="77777777" w:rsidR="00F56356" w:rsidRPr="00F56356" w:rsidRDefault="00F56356" w:rsidP="00F56356">
            <w:pPr>
              <w:rPr>
                <w:rFonts w:ascii="Times New Roman" w:eastAsia="Times New Roman" w:hAnsi="Times New Roman" w:cs="Times New Roman"/>
                <w:sz w:val="16"/>
                <w:lang w:eastAsia="it-IT" w:bidi="it-IT"/>
              </w:rPr>
            </w:pPr>
          </w:p>
          <w:p w14:paraId="62640828" w14:textId="77777777" w:rsidR="00F56356" w:rsidRPr="00F56356" w:rsidRDefault="00F56356" w:rsidP="00F56356">
            <w:pPr>
              <w:spacing w:before="7"/>
              <w:rPr>
                <w:rFonts w:ascii="Times New Roman" w:eastAsia="Times New Roman" w:hAnsi="Times New Roman" w:cs="Times New Roman"/>
                <w:sz w:val="12"/>
                <w:lang w:eastAsia="it-IT" w:bidi="it-IT"/>
              </w:rPr>
            </w:pPr>
          </w:p>
          <w:p w14:paraId="3299C923" w14:textId="77777777" w:rsidR="00F56356" w:rsidRPr="00F56356" w:rsidRDefault="00F56356" w:rsidP="00F56356">
            <w:pPr>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DESCRIZIONE</w:t>
            </w:r>
          </w:p>
        </w:tc>
        <w:tc>
          <w:tcPr>
            <w:tcW w:w="7065" w:type="dxa"/>
            <w:gridSpan w:val="6"/>
          </w:tcPr>
          <w:p w14:paraId="50C61F0D" w14:textId="77777777" w:rsidR="00F56356" w:rsidRPr="00F56356" w:rsidRDefault="00F56356" w:rsidP="00F56356">
            <w:pPr>
              <w:spacing w:before="44" w:line="266" w:lineRule="auto"/>
              <w:ind w:left="30" w:right="5"/>
              <w:jc w:val="both"/>
              <w:rPr>
                <w:rFonts w:ascii="Times New Roman" w:eastAsia="Times New Roman" w:hAnsi="Times New Roman" w:cs="Times New Roman"/>
                <w:sz w:val="16"/>
                <w:lang w:eastAsia="it-IT" w:bidi="it-IT"/>
              </w:rPr>
            </w:pPr>
            <w:r w:rsidRPr="00F56356">
              <w:rPr>
                <w:rFonts w:ascii="Times New Roman" w:eastAsia="Times New Roman" w:hAnsi="Times New Roman" w:cs="Times New Roman"/>
                <w:spacing w:val="-3"/>
                <w:sz w:val="16"/>
                <w:lang w:eastAsia="it-IT" w:bidi="it-IT"/>
              </w:rPr>
              <w:t xml:space="preserve">Il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 xml:space="preserve"> per la </w:t>
            </w:r>
            <w:proofErr w:type="spellStart"/>
            <w:r w:rsidRPr="00F56356">
              <w:rPr>
                <w:rFonts w:ascii="Times New Roman" w:eastAsia="Times New Roman" w:hAnsi="Times New Roman" w:cs="Times New Roman"/>
                <w:sz w:val="16"/>
                <w:lang w:eastAsia="it-IT" w:bidi="it-IT"/>
              </w:rPr>
              <w:t>valorizzazione</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promozione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aree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territoriali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svantaggiate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confinanti</w:t>
            </w:r>
            <w:proofErr w:type="spellEnd"/>
            <w:r w:rsidRPr="00F56356">
              <w:rPr>
                <w:rFonts w:ascii="Times New Roman" w:eastAsia="Times New Roman" w:hAnsi="Times New Roman" w:cs="Times New Roman"/>
                <w:sz w:val="16"/>
                <w:lang w:eastAsia="it-IT" w:bidi="it-IT"/>
              </w:rPr>
              <w:t xml:space="preserve"> con le </w:t>
            </w:r>
            <w:proofErr w:type="spellStart"/>
            <w:r w:rsidRPr="00F56356">
              <w:rPr>
                <w:rFonts w:ascii="Times New Roman" w:eastAsia="Times New Roman" w:hAnsi="Times New Roman" w:cs="Times New Roman"/>
                <w:sz w:val="16"/>
                <w:lang w:eastAsia="it-IT" w:bidi="it-IT"/>
              </w:rPr>
              <w:t>regioni</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statuto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speciale</w:t>
            </w:r>
            <w:proofErr w:type="spellEnd"/>
            <w:r w:rsidRPr="00F56356">
              <w:rPr>
                <w:rFonts w:ascii="Times New Roman" w:eastAsia="Times New Roman" w:hAnsi="Times New Roman" w:cs="Times New Roman"/>
                <w:sz w:val="16"/>
                <w:lang w:eastAsia="it-IT" w:bidi="it-IT"/>
              </w:rPr>
              <w:t xml:space="preserve"> e le Province </w:t>
            </w:r>
            <w:proofErr w:type="spellStart"/>
            <w:r w:rsidRPr="00F56356">
              <w:rPr>
                <w:rFonts w:ascii="Times New Roman" w:eastAsia="Times New Roman" w:hAnsi="Times New Roman" w:cs="Times New Roman"/>
                <w:sz w:val="16"/>
                <w:lang w:eastAsia="it-IT" w:bidi="it-IT"/>
              </w:rPr>
              <w:t>autonome</w:t>
            </w:r>
            <w:proofErr w:type="spellEnd"/>
            <w:r w:rsidRPr="00F56356">
              <w:rPr>
                <w:rFonts w:ascii="Times New Roman" w:eastAsia="Times New Roman" w:hAnsi="Times New Roman" w:cs="Times New Roman"/>
                <w:sz w:val="16"/>
                <w:lang w:eastAsia="it-IT" w:bidi="it-IT"/>
              </w:rPr>
              <w:t xml:space="preserve"> di Trento e Bolzano è </w:t>
            </w:r>
            <w:proofErr w:type="spellStart"/>
            <w:r w:rsidRPr="00F56356">
              <w:rPr>
                <w:rFonts w:ascii="Times New Roman" w:eastAsia="Times New Roman" w:hAnsi="Times New Roman" w:cs="Times New Roman"/>
                <w:sz w:val="16"/>
                <w:lang w:eastAsia="it-IT" w:bidi="it-IT"/>
              </w:rPr>
              <w:t>stato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istituito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dall’articolo</w:t>
            </w:r>
            <w:proofErr w:type="spellEnd"/>
            <w:r w:rsidRPr="00F56356">
              <w:rPr>
                <w:rFonts w:ascii="Times New Roman" w:eastAsia="Times New Roman" w:hAnsi="Times New Roman" w:cs="Times New Roman"/>
                <w:sz w:val="16"/>
                <w:lang w:eastAsia="it-IT" w:bidi="it-IT"/>
              </w:rPr>
              <w:t xml:space="preserve"> 6, comma 7, del </w:t>
            </w:r>
            <w:proofErr w:type="spellStart"/>
            <w:r w:rsidRPr="00F56356">
              <w:rPr>
                <w:rFonts w:ascii="Times New Roman" w:eastAsia="Times New Roman" w:hAnsi="Times New Roman" w:cs="Times New Roman"/>
                <w:sz w:val="16"/>
                <w:lang w:eastAsia="it-IT" w:bidi="it-IT"/>
              </w:rPr>
              <w:t>decreto-legge</w:t>
            </w:r>
            <w:proofErr w:type="spellEnd"/>
            <w:r w:rsidRPr="00F56356">
              <w:rPr>
                <w:rFonts w:ascii="Times New Roman" w:eastAsia="Times New Roman" w:hAnsi="Times New Roman" w:cs="Times New Roman"/>
                <w:sz w:val="16"/>
                <w:lang w:eastAsia="it-IT" w:bidi="it-IT"/>
              </w:rPr>
              <w:t xml:space="preserve"> 2 </w:t>
            </w:r>
            <w:proofErr w:type="spellStart"/>
            <w:r w:rsidRPr="00F56356">
              <w:rPr>
                <w:rFonts w:ascii="Times New Roman" w:eastAsia="Times New Roman" w:hAnsi="Times New Roman" w:cs="Times New Roman"/>
                <w:sz w:val="16"/>
                <w:lang w:eastAsia="it-IT" w:bidi="it-IT"/>
              </w:rPr>
              <w:t>luglio</w:t>
            </w:r>
            <w:proofErr w:type="spellEnd"/>
            <w:r w:rsidRPr="00F56356">
              <w:rPr>
                <w:rFonts w:ascii="Times New Roman" w:eastAsia="Times New Roman" w:hAnsi="Times New Roman" w:cs="Times New Roman"/>
                <w:sz w:val="16"/>
                <w:lang w:eastAsia="it-IT" w:bidi="it-IT"/>
              </w:rPr>
              <w:t xml:space="preserve"> 2007, n. 81, </w:t>
            </w:r>
            <w:proofErr w:type="spellStart"/>
            <w:r w:rsidRPr="00F56356">
              <w:rPr>
                <w:rFonts w:ascii="Times New Roman" w:eastAsia="Times New Roman" w:hAnsi="Times New Roman" w:cs="Times New Roman"/>
                <w:sz w:val="16"/>
                <w:lang w:eastAsia="it-IT" w:bidi="it-IT"/>
              </w:rPr>
              <w:t>convertito</w:t>
            </w:r>
            <w:proofErr w:type="spellEnd"/>
            <w:r w:rsidRPr="00F56356">
              <w:rPr>
                <w:rFonts w:ascii="Times New Roman" w:eastAsia="Times New Roman" w:hAnsi="Times New Roman" w:cs="Times New Roman"/>
                <w:sz w:val="16"/>
                <w:lang w:eastAsia="it-IT" w:bidi="it-IT"/>
              </w:rPr>
              <w:t xml:space="preserve">, con </w:t>
            </w:r>
            <w:proofErr w:type="spellStart"/>
            <w:r w:rsidRPr="00F56356">
              <w:rPr>
                <w:rFonts w:ascii="Times New Roman" w:eastAsia="Times New Roman" w:hAnsi="Times New Roman" w:cs="Times New Roman"/>
                <w:sz w:val="16"/>
                <w:lang w:eastAsia="it-IT" w:bidi="it-IT"/>
              </w:rPr>
              <w:t>modificazioni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legge</w:t>
            </w:r>
            <w:proofErr w:type="spellEnd"/>
            <w:r w:rsidRPr="00F56356">
              <w:rPr>
                <w:rFonts w:ascii="Times New Roman" w:eastAsia="Times New Roman" w:hAnsi="Times New Roman" w:cs="Times New Roman"/>
                <w:sz w:val="16"/>
                <w:lang w:eastAsia="it-IT" w:bidi="it-IT"/>
              </w:rPr>
              <w:t xml:space="preserve"> 3 </w:t>
            </w:r>
            <w:proofErr w:type="spellStart"/>
            <w:r w:rsidRPr="00F56356">
              <w:rPr>
                <w:rFonts w:ascii="Times New Roman" w:eastAsia="Times New Roman" w:hAnsi="Times New Roman" w:cs="Times New Roman"/>
                <w:sz w:val="16"/>
                <w:lang w:eastAsia="it-IT" w:bidi="it-IT"/>
              </w:rPr>
              <w:t>agosto</w:t>
            </w:r>
            <w:proofErr w:type="spellEnd"/>
            <w:r w:rsidRPr="00F56356">
              <w:rPr>
                <w:rFonts w:ascii="Times New Roman" w:eastAsia="Times New Roman" w:hAnsi="Times New Roman" w:cs="Times New Roman"/>
                <w:sz w:val="16"/>
                <w:lang w:eastAsia="it-IT" w:bidi="it-IT"/>
              </w:rPr>
              <w:t xml:space="preserve"> 2007, n. 127,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ha </w:t>
            </w:r>
            <w:proofErr w:type="spellStart"/>
            <w:r w:rsidRPr="00F56356">
              <w:rPr>
                <w:rFonts w:ascii="Times New Roman" w:eastAsia="Times New Roman" w:hAnsi="Times New Roman" w:cs="Times New Roman"/>
                <w:sz w:val="16"/>
                <w:lang w:eastAsia="it-IT" w:bidi="it-IT"/>
              </w:rPr>
              <w:t>stabilito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le </w:t>
            </w:r>
            <w:proofErr w:type="spellStart"/>
            <w:r w:rsidRPr="00F56356">
              <w:rPr>
                <w:rFonts w:ascii="Times New Roman" w:eastAsia="Times New Roman" w:hAnsi="Times New Roman" w:cs="Times New Roman"/>
                <w:sz w:val="16"/>
                <w:lang w:eastAsia="it-IT" w:bidi="it-IT"/>
              </w:rPr>
              <w:t>modalità</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erogazione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fossero</w:t>
            </w:r>
            <w:proofErr w:type="spellEnd"/>
            <w:r w:rsidRPr="00F56356">
              <w:rPr>
                <w:rFonts w:ascii="Times New Roman" w:eastAsia="Times New Roman" w:hAnsi="Times New Roman" w:cs="Times New Roman"/>
                <w:sz w:val="16"/>
                <w:lang w:eastAsia="it-IT" w:bidi="it-IT"/>
              </w:rPr>
              <w:t xml:space="preserve"> definite con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Presidente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Consiglio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ministri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proposta</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Ministro</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rapporti</w:t>
            </w:r>
            <w:proofErr w:type="spellEnd"/>
            <w:r w:rsidRPr="00F56356">
              <w:rPr>
                <w:rFonts w:ascii="Times New Roman" w:eastAsia="Times New Roman" w:hAnsi="Times New Roman" w:cs="Times New Roman"/>
                <w:sz w:val="16"/>
                <w:lang w:eastAsia="it-IT" w:bidi="it-IT"/>
              </w:rPr>
              <w:t xml:space="preserve"> con le </w:t>
            </w:r>
            <w:proofErr w:type="spellStart"/>
            <w:r w:rsidRPr="00F56356">
              <w:rPr>
                <w:rFonts w:ascii="Times New Roman" w:eastAsia="Times New Roman" w:hAnsi="Times New Roman" w:cs="Times New Roman"/>
                <w:sz w:val="16"/>
                <w:lang w:eastAsia="it-IT" w:bidi="it-IT"/>
              </w:rPr>
              <w:t>regioni</w:t>
            </w:r>
            <w:proofErr w:type="spellEnd"/>
            <w:r w:rsidRPr="00F56356">
              <w:rPr>
                <w:rFonts w:ascii="Times New Roman" w:eastAsia="Times New Roman" w:hAnsi="Times New Roman" w:cs="Times New Roman"/>
                <w:sz w:val="16"/>
                <w:lang w:eastAsia="it-IT" w:bidi="it-IT"/>
              </w:rPr>
              <w:t xml:space="preserve"> e le </w:t>
            </w:r>
            <w:proofErr w:type="spellStart"/>
            <w:r w:rsidRPr="00F56356">
              <w:rPr>
                <w:rFonts w:ascii="Times New Roman" w:eastAsia="Times New Roman" w:hAnsi="Times New Roman" w:cs="Times New Roman"/>
                <w:sz w:val="16"/>
                <w:lang w:eastAsia="it-IT" w:bidi="it-IT"/>
              </w:rPr>
              <w:t>autonomie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ora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Ministro</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pacing w:val="-2"/>
                <w:sz w:val="16"/>
                <w:lang w:eastAsia="it-IT" w:bidi="it-IT"/>
              </w:rPr>
              <w:t>gli</w:t>
            </w:r>
            <w:proofErr w:type="spellEnd"/>
            <w:r w:rsidRPr="00F56356">
              <w:rPr>
                <w:rFonts w:ascii="Times New Roman" w:eastAsia="Times New Roman" w:hAnsi="Times New Roman" w:cs="Times New Roman"/>
                <w:spacing w:val="36"/>
                <w:sz w:val="16"/>
                <w:lang w:eastAsia="it-IT" w:bidi="it-IT"/>
              </w:rPr>
              <w:t xml:space="preserve"> </w:t>
            </w:r>
            <w:proofErr w:type="spellStart"/>
            <w:r w:rsidRPr="00F56356">
              <w:rPr>
                <w:rFonts w:ascii="Times New Roman" w:eastAsia="Times New Roman" w:hAnsi="Times New Roman" w:cs="Times New Roman"/>
                <w:sz w:val="16"/>
                <w:lang w:eastAsia="it-IT" w:bidi="it-IT"/>
              </w:rPr>
              <w:t>affari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regionali</w:t>
            </w:r>
            <w:proofErr w:type="spellEnd"/>
            <w:r w:rsidRPr="00F56356">
              <w:rPr>
                <w:rFonts w:ascii="Times New Roman" w:eastAsia="Times New Roman" w:hAnsi="Times New Roman" w:cs="Times New Roman"/>
                <w:sz w:val="16"/>
                <w:lang w:eastAsia="it-IT" w:bidi="it-IT"/>
              </w:rPr>
              <w:t xml:space="preserve"> e le </w:t>
            </w:r>
            <w:proofErr w:type="spellStart"/>
            <w:r w:rsidRPr="00F56356">
              <w:rPr>
                <w:rFonts w:ascii="Times New Roman" w:eastAsia="Times New Roman" w:hAnsi="Times New Roman" w:cs="Times New Roman"/>
                <w:sz w:val="16"/>
                <w:lang w:eastAsia="it-IT" w:bidi="it-IT"/>
              </w:rPr>
              <w:t>autonomie</w:t>
            </w:r>
            <w:proofErr w:type="spellEnd"/>
            <w:r w:rsidRPr="00F56356">
              <w:rPr>
                <w:rFonts w:ascii="Times New Roman" w:eastAsia="Times New Roman" w:hAnsi="Times New Roman" w:cs="Times New Roman"/>
                <w:sz w:val="16"/>
                <w:lang w:eastAsia="it-IT" w:bidi="it-IT"/>
              </w:rPr>
              <w:t xml:space="preserve">, di concerto con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Ministro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dell’economia</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finanze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sentite</w:t>
            </w:r>
            <w:proofErr w:type="spellEnd"/>
            <w:r w:rsidRPr="00F56356">
              <w:rPr>
                <w:rFonts w:ascii="Times New Roman" w:eastAsia="Times New Roman" w:hAnsi="Times New Roman" w:cs="Times New Roman"/>
                <w:sz w:val="16"/>
                <w:lang w:eastAsia="it-IT" w:bidi="it-IT"/>
              </w:rPr>
              <w:t xml:space="preserve"> la </w:t>
            </w:r>
            <w:proofErr w:type="spellStart"/>
            <w:r w:rsidRPr="00F56356">
              <w:rPr>
                <w:rFonts w:ascii="Times New Roman" w:eastAsia="Times New Roman" w:hAnsi="Times New Roman" w:cs="Times New Roman"/>
                <w:sz w:val="16"/>
                <w:lang w:eastAsia="it-IT" w:bidi="it-IT"/>
              </w:rPr>
              <w:t>Conferenza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unificata</w:t>
            </w:r>
            <w:proofErr w:type="spellEnd"/>
            <w:r w:rsidRPr="00F56356">
              <w:rPr>
                <w:rFonts w:ascii="Times New Roman" w:eastAsia="Times New Roman" w:hAnsi="Times New Roman" w:cs="Times New Roman"/>
                <w:sz w:val="16"/>
                <w:lang w:eastAsia="it-IT" w:bidi="it-IT"/>
              </w:rPr>
              <w:t xml:space="preserve"> di cui </w:t>
            </w:r>
            <w:proofErr w:type="spellStart"/>
            <w:r w:rsidRPr="00F56356">
              <w:rPr>
                <w:rFonts w:ascii="Times New Roman" w:eastAsia="Times New Roman" w:hAnsi="Times New Roman" w:cs="Times New Roman"/>
                <w:sz w:val="16"/>
                <w:lang w:eastAsia="it-IT" w:bidi="it-IT"/>
              </w:rPr>
              <w:t>all’articolo</w:t>
            </w:r>
            <w:proofErr w:type="spellEnd"/>
            <w:r w:rsidRPr="00F56356">
              <w:rPr>
                <w:rFonts w:ascii="Times New Roman" w:eastAsia="Times New Roman" w:hAnsi="Times New Roman" w:cs="Times New Roman"/>
                <w:sz w:val="16"/>
                <w:lang w:eastAsia="it-IT" w:bidi="it-IT"/>
              </w:rPr>
              <w:t xml:space="preserve"> 8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legislativo</w:t>
            </w:r>
            <w:proofErr w:type="spellEnd"/>
            <w:r w:rsidRPr="00F56356">
              <w:rPr>
                <w:rFonts w:ascii="Times New Roman" w:eastAsia="Times New Roman" w:hAnsi="Times New Roman" w:cs="Times New Roman"/>
                <w:sz w:val="16"/>
                <w:lang w:eastAsia="it-IT" w:bidi="it-IT"/>
              </w:rPr>
              <w:t xml:space="preserve"> 28 </w:t>
            </w:r>
            <w:proofErr w:type="spellStart"/>
            <w:r w:rsidRPr="00F56356">
              <w:rPr>
                <w:rFonts w:ascii="Times New Roman" w:eastAsia="Times New Roman" w:hAnsi="Times New Roman" w:cs="Times New Roman"/>
                <w:sz w:val="16"/>
                <w:lang w:eastAsia="it-IT" w:bidi="it-IT"/>
              </w:rPr>
              <w:t>agosto</w:t>
            </w:r>
            <w:proofErr w:type="spellEnd"/>
            <w:r w:rsidRPr="00F56356">
              <w:rPr>
                <w:rFonts w:ascii="Times New Roman" w:eastAsia="Times New Roman" w:hAnsi="Times New Roman" w:cs="Times New Roman"/>
                <w:sz w:val="16"/>
                <w:lang w:eastAsia="it-IT" w:bidi="it-IT"/>
              </w:rPr>
              <w:t xml:space="preserve"> 1997, n. 281, e le </w:t>
            </w:r>
            <w:proofErr w:type="spellStart"/>
            <w:r w:rsidRPr="00F56356">
              <w:rPr>
                <w:rFonts w:ascii="Times New Roman" w:eastAsia="Times New Roman" w:hAnsi="Times New Roman" w:cs="Times New Roman"/>
                <w:sz w:val="16"/>
                <w:lang w:eastAsia="it-IT" w:bidi="it-IT"/>
              </w:rPr>
              <w:t>competenti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Commissioni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parlamentari</w:t>
            </w:r>
            <w:proofErr w:type="spellEnd"/>
            <w:r w:rsidRPr="00F56356">
              <w:rPr>
                <w:rFonts w:ascii="Times New Roman" w:eastAsia="Times New Roman" w:hAnsi="Times New Roman" w:cs="Times New Roman"/>
                <w:sz w:val="16"/>
                <w:lang w:eastAsia="it-IT" w:bidi="it-IT"/>
              </w:rPr>
              <w:t xml:space="preserve">. </w:t>
            </w:r>
            <w:r w:rsidRPr="00F56356">
              <w:rPr>
                <w:rFonts w:ascii="Times New Roman" w:eastAsia="Times New Roman" w:hAnsi="Times New Roman" w:cs="Times New Roman"/>
                <w:spacing w:val="-3"/>
                <w:sz w:val="16"/>
                <w:lang w:eastAsia="it-IT" w:bidi="it-IT"/>
              </w:rPr>
              <w:t xml:space="preserve">La </w:t>
            </w:r>
            <w:proofErr w:type="spellStart"/>
            <w:r w:rsidRPr="00F56356">
              <w:rPr>
                <w:rFonts w:ascii="Times New Roman" w:eastAsia="Times New Roman" w:hAnsi="Times New Roman" w:cs="Times New Roman"/>
                <w:sz w:val="16"/>
                <w:lang w:eastAsia="it-IT" w:bidi="it-IT"/>
              </w:rPr>
              <w:t>legge</w:t>
            </w:r>
            <w:proofErr w:type="spellEnd"/>
            <w:r w:rsidRPr="00F56356">
              <w:rPr>
                <w:rFonts w:ascii="Times New Roman" w:eastAsia="Times New Roman" w:hAnsi="Times New Roman" w:cs="Times New Roman"/>
                <w:sz w:val="16"/>
                <w:lang w:eastAsia="it-IT" w:bidi="it-IT"/>
              </w:rPr>
              <w:t xml:space="preserve"> 30 </w:t>
            </w:r>
            <w:proofErr w:type="spellStart"/>
            <w:r w:rsidRPr="00F56356">
              <w:rPr>
                <w:rFonts w:ascii="Times New Roman" w:eastAsia="Times New Roman" w:hAnsi="Times New Roman" w:cs="Times New Roman"/>
                <w:sz w:val="16"/>
                <w:lang w:eastAsia="it-IT" w:bidi="it-IT"/>
              </w:rPr>
              <w:t>dicembre</w:t>
            </w:r>
            <w:proofErr w:type="spellEnd"/>
            <w:r w:rsidRPr="00F56356">
              <w:rPr>
                <w:rFonts w:ascii="Times New Roman" w:eastAsia="Times New Roman" w:hAnsi="Times New Roman" w:cs="Times New Roman"/>
                <w:sz w:val="16"/>
                <w:lang w:eastAsia="it-IT" w:bidi="it-IT"/>
              </w:rPr>
              <w:t xml:space="preserve"> 2020, n.178 “</w:t>
            </w:r>
            <w:proofErr w:type="spellStart"/>
            <w:r w:rsidRPr="00F56356">
              <w:rPr>
                <w:rFonts w:ascii="Times New Roman" w:eastAsia="Times New Roman" w:hAnsi="Times New Roman" w:cs="Times New Roman"/>
                <w:sz w:val="16"/>
                <w:lang w:eastAsia="it-IT" w:bidi="it-IT"/>
              </w:rPr>
              <w:t>Bilancio</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previsione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Stato</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l’anno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finanziario</w:t>
            </w:r>
            <w:proofErr w:type="spellEnd"/>
            <w:r w:rsidRPr="00F56356">
              <w:rPr>
                <w:rFonts w:ascii="Times New Roman" w:eastAsia="Times New Roman" w:hAnsi="Times New Roman" w:cs="Times New Roman"/>
                <w:sz w:val="16"/>
                <w:lang w:eastAsia="it-IT" w:bidi="it-IT"/>
              </w:rPr>
              <w:t xml:space="preserve"> 2021 e </w:t>
            </w:r>
            <w:proofErr w:type="spellStart"/>
            <w:r w:rsidRPr="00F56356">
              <w:rPr>
                <w:rFonts w:ascii="Times New Roman" w:eastAsia="Times New Roman" w:hAnsi="Times New Roman" w:cs="Times New Roman"/>
                <w:sz w:val="16"/>
                <w:lang w:eastAsia="it-IT" w:bidi="it-IT"/>
              </w:rPr>
              <w:t>bilancio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pluriennale</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triennio</w:t>
            </w:r>
            <w:proofErr w:type="spellEnd"/>
            <w:r w:rsidRPr="00F56356">
              <w:rPr>
                <w:rFonts w:ascii="Times New Roman" w:eastAsia="Times New Roman" w:hAnsi="Times New Roman" w:cs="Times New Roman"/>
                <w:sz w:val="16"/>
                <w:lang w:eastAsia="it-IT" w:bidi="it-IT"/>
              </w:rPr>
              <w:t xml:space="preserve"> 2021-2023” ha </w:t>
            </w:r>
            <w:proofErr w:type="spellStart"/>
            <w:r w:rsidRPr="00F56356">
              <w:rPr>
                <w:rFonts w:ascii="Times New Roman" w:eastAsia="Times New Roman" w:hAnsi="Times New Roman" w:cs="Times New Roman"/>
                <w:sz w:val="16"/>
                <w:lang w:eastAsia="it-IT" w:bidi="it-IT"/>
              </w:rPr>
              <w:t>previsto</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2022, </w:t>
            </w:r>
            <w:proofErr w:type="spellStart"/>
            <w:r w:rsidRPr="00F56356">
              <w:rPr>
                <w:rFonts w:ascii="Times New Roman" w:eastAsia="Times New Roman" w:hAnsi="Times New Roman" w:cs="Times New Roman"/>
                <w:sz w:val="16"/>
                <w:lang w:eastAsia="it-IT" w:bidi="it-IT"/>
              </w:rPr>
              <w:t>uno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stanziamento</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 xml:space="preserve"> di 24.000.000,00 euro. </w:t>
            </w:r>
            <w:r w:rsidRPr="00F56356">
              <w:rPr>
                <w:rFonts w:ascii="Times New Roman" w:eastAsia="Times New Roman" w:hAnsi="Times New Roman" w:cs="Times New Roman"/>
                <w:spacing w:val="-3"/>
                <w:sz w:val="16"/>
                <w:lang w:eastAsia="it-IT" w:bidi="it-IT"/>
              </w:rPr>
              <w:t xml:space="preserve">Il </w:t>
            </w:r>
            <w:proofErr w:type="spellStart"/>
            <w:r w:rsidRPr="00F56356">
              <w:rPr>
                <w:rFonts w:ascii="Times New Roman" w:eastAsia="Times New Roman" w:hAnsi="Times New Roman" w:cs="Times New Roman"/>
                <w:sz w:val="16"/>
                <w:lang w:eastAsia="it-IT" w:bidi="it-IT"/>
              </w:rPr>
              <w:t>dPCM</w:t>
            </w:r>
            <w:proofErr w:type="spellEnd"/>
            <w:r w:rsidRPr="00F56356">
              <w:rPr>
                <w:rFonts w:ascii="Times New Roman" w:eastAsia="Times New Roman" w:hAnsi="Times New Roman" w:cs="Times New Roman"/>
                <w:sz w:val="16"/>
                <w:lang w:eastAsia="it-IT" w:bidi="it-IT"/>
              </w:rPr>
              <w:t xml:space="preserve"> 21 </w:t>
            </w:r>
            <w:proofErr w:type="spellStart"/>
            <w:r w:rsidRPr="00F56356">
              <w:rPr>
                <w:rFonts w:ascii="Times New Roman" w:eastAsia="Times New Roman" w:hAnsi="Times New Roman" w:cs="Times New Roman"/>
                <w:sz w:val="16"/>
                <w:lang w:eastAsia="it-IT" w:bidi="it-IT"/>
              </w:rPr>
              <w:t>settembre</w:t>
            </w:r>
            <w:proofErr w:type="spellEnd"/>
            <w:r w:rsidRPr="00F56356">
              <w:rPr>
                <w:rFonts w:ascii="Times New Roman" w:eastAsia="Times New Roman" w:hAnsi="Times New Roman" w:cs="Times New Roman"/>
                <w:sz w:val="16"/>
                <w:lang w:eastAsia="it-IT" w:bidi="it-IT"/>
              </w:rPr>
              <w:t xml:space="preserve"> 2020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definisce</w:t>
            </w:r>
            <w:proofErr w:type="spellEnd"/>
            <w:r w:rsidRPr="00F56356">
              <w:rPr>
                <w:rFonts w:ascii="Times New Roman" w:eastAsia="Times New Roman" w:hAnsi="Times New Roman" w:cs="Times New Roman"/>
                <w:sz w:val="16"/>
                <w:lang w:eastAsia="it-IT" w:bidi="it-IT"/>
              </w:rPr>
              <w:t xml:space="preserve"> le </w:t>
            </w:r>
            <w:proofErr w:type="spellStart"/>
            <w:r w:rsidRPr="00F56356">
              <w:rPr>
                <w:rFonts w:ascii="Times New Roman" w:eastAsia="Times New Roman" w:hAnsi="Times New Roman" w:cs="Times New Roman"/>
                <w:sz w:val="16"/>
                <w:lang w:eastAsia="it-IT" w:bidi="it-IT"/>
              </w:rPr>
              <w:t>modalità</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erogazione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prevede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l’emanazione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annuale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dipartimentale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recante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gli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importi</w:t>
            </w:r>
            <w:proofErr w:type="spellEnd"/>
            <w:r w:rsidRPr="00F56356">
              <w:rPr>
                <w:rFonts w:ascii="Times New Roman" w:eastAsia="Times New Roman" w:hAnsi="Times New Roman" w:cs="Times New Roman"/>
                <w:sz w:val="16"/>
                <w:lang w:eastAsia="it-IT" w:bidi="it-IT"/>
              </w:rPr>
              <w:t xml:space="preserve"> da </w:t>
            </w:r>
            <w:proofErr w:type="spellStart"/>
            <w:r w:rsidRPr="00F56356">
              <w:rPr>
                <w:rFonts w:ascii="Times New Roman" w:eastAsia="Times New Roman" w:hAnsi="Times New Roman" w:cs="Times New Roman"/>
                <w:sz w:val="16"/>
                <w:lang w:eastAsia="it-IT" w:bidi="it-IT"/>
              </w:rPr>
              <w:t>assegnare</w:t>
            </w:r>
            <w:proofErr w:type="spellEnd"/>
            <w:r w:rsidRPr="00F56356">
              <w:rPr>
                <w:rFonts w:ascii="Times New Roman" w:eastAsia="Times New Roman" w:hAnsi="Times New Roman" w:cs="Times New Roman"/>
                <w:sz w:val="16"/>
                <w:lang w:eastAsia="it-IT" w:bidi="it-IT"/>
              </w:rPr>
              <w:t xml:space="preserve"> ai </w:t>
            </w:r>
            <w:proofErr w:type="spellStart"/>
            <w:r w:rsidRPr="00F56356">
              <w:rPr>
                <w:rFonts w:ascii="Times New Roman" w:eastAsia="Times New Roman" w:hAnsi="Times New Roman" w:cs="Times New Roman"/>
                <w:sz w:val="16"/>
                <w:lang w:eastAsia="it-IT" w:bidi="it-IT"/>
              </w:rPr>
              <w:t>comuni</w:t>
            </w:r>
            <w:proofErr w:type="spellEnd"/>
            <w:r w:rsidRPr="00F56356">
              <w:rPr>
                <w:rFonts w:ascii="Times New Roman" w:eastAsia="Times New Roman" w:hAnsi="Times New Roman" w:cs="Times New Roman"/>
                <w:sz w:val="16"/>
                <w:lang w:eastAsia="it-IT" w:bidi="it-IT"/>
              </w:rPr>
              <w:t xml:space="preserve"> e le </w:t>
            </w:r>
            <w:proofErr w:type="spellStart"/>
            <w:r w:rsidRPr="00F56356">
              <w:rPr>
                <w:rFonts w:ascii="Times New Roman" w:eastAsia="Times New Roman" w:hAnsi="Times New Roman" w:cs="Times New Roman"/>
                <w:sz w:val="16"/>
                <w:lang w:eastAsia="it-IT" w:bidi="it-IT"/>
              </w:rPr>
              <w:t>modalità</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presentazione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richieste</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finanziamento</w:t>
            </w:r>
            <w:proofErr w:type="spellEnd"/>
            <w:r w:rsidRPr="00F56356">
              <w:rPr>
                <w:rFonts w:ascii="Times New Roman" w:eastAsia="Times New Roman" w:hAnsi="Times New Roman" w:cs="Times New Roman"/>
                <w:sz w:val="16"/>
                <w:lang w:eastAsia="it-IT" w:bidi="it-IT"/>
              </w:rPr>
              <w:t xml:space="preserve">. Nel 2022, secondo </w:t>
            </w:r>
            <w:proofErr w:type="spellStart"/>
            <w:r w:rsidRPr="00F56356">
              <w:rPr>
                <w:rFonts w:ascii="Times New Roman" w:eastAsia="Times New Roman" w:hAnsi="Times New Roman" w:cs="Times New Roman"/>
                <w:sz w:val="16"/>
                <w:lang w:eastAsia="it-IT" w:bidi="it-IT"/>
              </w:rPr>
              <w:t>quanto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disposto</w:t>
            </w:r>
            <w:proofErr w:type="spellEnd"/>
            <w:r w:rsidRPr="00F56356">
              <w:rPr>
                <w:rFonts w:ascii="Times New Roman" w:eastAsia="Times New Roman" w:hAnsi="Times New Roman" w:cs="Times New Roman"/>
                <w:sz w:val="16"/>
                <w:lang w:eastAsia="it-IT" w:bidi="it-IT"/>
              </w:rPr>
              <w:t xml:space="preserve"> dal </w:t>
            </w:r>
            <w:proofErr w:type="spellStart"/>
            <w:r w:rsidRPr="00F56356">
              <w:rPr>
                <w:rFonts w:ascii="Times New Roman" w:eastAsia="Times New Roman" w:hAnsi="Times New Roman" w:cs="Times New Roman"/>
                <w:sz w:val="16"/>
                <w:lang w:eastAsia="it-IT" w:bidi="it-IT"/>
              </w:rPr>
              <w:t>dPCM</w:t>
            </w:r>
            <w:proofErr w:type="spellEnd"/>
            <w:r w:rsidRPr="00F56356">
              <w:rPr>
                <w:rFonts w:ascii="Times New Roman" w:eastAsia="Times New Roman" w:hAnsi="Times New Roman" w:cs="Times New Roman"/>
                <w:sz w:val="16"/>
                <w:lang w:eastAsia="it-IT" w:bidi="it-IT"/>
              </w:rPr>
              <w:t xml:space="preserve"> del 21 </w:t>
            </w:r>
            <w:proofErr w:type="spellStart"/>
            <w:r w:rsidRPr="00F56356">
              <w:rPr>
                <w:rFonts w:ascii="Times New Roman" w:eastAsia="Times New Roman" w:hAnsi="Times New Roman" w:cs="Times New Roman"/>
                <w:sz w:val="16"/>
                <w:lang w:eastAsia="it-IT" w:bidi="it-IT"/>
              </w:rPr>
              <w:t>settembre</w:t>
            </w:r>
            <w:proofErr w:type="spellEnd"/>
            <w:r w:rsidRPr="00F56356">
              <w:rPr>
                <w:rFonts w:ascii="Times New Roman" w:eastAsia="Times New Roman" w:hAnsi="Times New Roman" w:cs="Times New Roman"/>
                <w:sz w:val="16"/>
                <w:lang w:eastAsia="it-IT" w:bidi="it-IT"/>
              </w:rPr>
              <w:t xml:space="preserve"> 2020, </w:t>
            </w:r>
            <w:proofErr w:type="spellStart"/>
            <w:r w:rsidRPr="00F56356">
              <w:rPr>
                <w:rFonts w:ascii="Times New Roman" w:eastAsia="Times New Roman" w:hAnsi="Times New Roman" w:cs="Times New Roman"/>
                <w:sz w:val="16"/>
                <w:lang w:eastAsia="it-IT" w:bidi="it-IT"/>
              </w:rPr>
              <w: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comuni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presenteranno</w:t>
            </w:r>
            <w:proofErr w:type="spellEnd"/>
            <w:r w:rsidRPr="00F56356">
              <w:rPr>
                <w:rFonts w:ascii="Times New Roman" w:eastAsia="Times New Roman" w:hAnsi="Times New Roman" w:cs="Times New Roman"/>
                <w:sz w:val="16"/>
                <w:lang w:eastAsia="it-IT" w:bidi="it-IT"/>
              </w:rPr>
              <w:t xml:space="preserve"> le </w:t>
            </w:r>
            <w:proofErr w:type="spellStart"/>
            <w:r w:rsidRPr="00F56356">
              <w:rPr>
                <w:rFonts w:ascii="Times New Roman" w:eastAsia="Times New Roman" w:hAnsi="Times New Roman" w:cs="Times New Roman"/>
                <w:sz w:val="16"/>
                <w:lang w:eastAsia="it-IT" w:bidi="it-IT"/>
              </w:rPr>
              <w:t>richieste</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finanziamento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saranno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esaminate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entro</w:t>
            </w:r>
            <w:proofErr w:type="spellEnd"/>
            <w:r w:rsidRPr="00F56356">
              <w:rPr>
                <w:rFonts w:ascii="Times New Roman" w:eastAsia="Times New Roman" w:hAnsi="Times New Roman" w:cs="Times New Roman"/>
                <w:sz w:val="16"/>
                <w:lang w:eastAsia="it-IT" w:bidi="it-IT"/>
              </w:rPr>
              <w:t xml:space="preserve"> 90 </w:t>
            </w:r>
            <w:proofErr w:type="spellStart"/>
            <w:r w:rsidRPr="00F56356">
              <w:rPr>
                <w:rFonts w:ascii="Times New Roman" w:eastAsia="Times New Roman" w:hAnsi="Times New Roman" w:cs="Times New Roman"/>
                <w:sz w:val="16"/>
                <w:lang w:eastAsia="it-IT" w:bidi="it-IT"/>
              </w:rPr>
              <w:t>giorni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presentazione</w:t>
            </w:r>
            <w:proofErr w:type="spellEnd"/>
            <w:r w:rsidRPr="00F56356">
              <w:rPr>
                <w:rFonts w:ascii="Times New Roman" w:eastAsia="Times New Roman" w:hAnsi="Times New Roman" w:cs="Times New Roman"/>
                <w:sz w:val="16"/>
                <w:lang w:eastAsia="it-IT" w:bidi="it-IT"/>
              </w:rPr>
              <w:t xml:space="preserve">, da una </w:t>
            </w:r>
            <w:proofErr w:type="spellStart"/>
            <w:r w:rsidRPr="00F56356">
              <w:rPr>
                <w:rFonts w:ascii="Times New Roman" w:eastAsia="Times New Roman" w:hAnsi="Times New Roman" w:cs="Times New Roman"/>
                <w:sz w:val="16"/>
                <w:lang w:eastAsia="it-IT" w:bidi="it-IT"/>
              </w:rPr>
              <w:t>apposita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Commissione</w:t>
            </w:r>
            <w:proofErr w:type="spellEnd"/>
            <w:r w:rsidRPr="00F56356">
              <w:rPr>
                <w:rFonts w:ascii="Times New Roman" w:eastAsia="Times New Roman" w:hAnsi="Times New Roman" w:cs="Times New Roman"/>
                <w:sz w:val="16"/>
                <w:lang w:eastAsia="it-IT" w:bidi="it-IT"/>
              </w:rPr>
              <w:t xml:space="preserve">. </w:t>
            </w:r>
            <w:r w:rsidRPr="00F56356">
              <w:rPr>
                <w:rFonts w:ascii="Times New Roman" w:eastAsia="Times New Roman" w:hAnsi="Times New Roman" w:cs="Times New Roman"/>
                <w:spacing w:val="-3"/>
                <w:sz w:val="16"/>
                <w:lang w:eastAsia="it-IT" w:bidi="it-IT"/>
              </w:rPr>
              <w:t xml:space="preserve">Il </w:t>
            </w:r>
            <w:proofErr w:type="spellStart"/>
            <w:r w:rsidRPr="00F56356">
              <w:rPr>
                <w:rFonts w:ascii="Times New Roman" w:eastAsia="Times New Roman" w:hAnsi="Times New Roman" w:cs="Times New Roman"/>
                <w:sz w:val="16"/>
                <w:lang w:eastAsia="it-IT" w:bidi="it-IT"/>
              </w:rPr>
              <w:t>Dipartimento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provvederà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quindi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emanazione</w:t>
            </w:r>
            <w:proofErr w:type="spellEnd"/>
            <w:r w:rsidRPr="00F56356">
              <w:rPr>
                <w:rFonts w:ascii="Times New Roman" w:eastAsia="Times New Roman" w:hAnsi="Times New Roman" w:cs="Times New Roman"/>
                <w:sz w:val="16"/>
                <w:lang w:eastAsia="it-IT" w:bidi="it-IT"/>
              </w:rPr>
              <w:t xml:space="preserve"> di un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indica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gli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interventi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ammessi</w:t>
            </w:r>
            <w:proofErr w:type="spellEnd"/>
            <w:r w:rsidRPr="00F56356">
              <w:rPr>
                <w:rFonts w:ascii="Times New Roman" w:eastAsia="Times New Roman" w:hAnsi="Times New Roman" w:cs="Times New Roman"/>
                <w:sz w:val="16"/>
                <w:lang w:eastAsia="it-IT" w:bidi="it-IT"/>
              </w:rPr>
              <w:t xml:space="preserve"> al </w:t>
            </w:r>
            <w:proofErr w:type="spellStart"/>
            <w:r w:rsidRPr="00F56356">
              <w:rPr>
                <w:rFonts w:ascii="Times New Roman" w:eastAsia="Times New Roman" w:hAnsi="Times New Roman" w:cs="Times New Roman"/>
                <w:sz w:val="16"/>
                <w:lang w:eastAsia="it-IT" w:bidi="it-IT"/>
              </w:rPr>
              <w:t>finanziamento</w:t>
            </w:r>
            <w:proofErr w:type="spellEnd"/>
            <w:r w:rsidRPr="00F56356">
              <w:rPr>
                <w:rFonts w:ascii="Times New Roman" w:eastAsia="Times New Roman" w:hAnsi="Times New Roman" w:cs="Times New Roman"/>
                <w:sz w:val="16"/>
                <w:lang w:eastAsia="it-IT" w:bidi="it-IT"/>
              </w:rPr>
              <w:t xml:space="preserve"> 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sarà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pubblicato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sito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dipartimentale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Entro</w:t>
            </w:r>
            <w:proofErr w:type="spellEnd"/>
            <w:r w:rsidRPr="00F56356">
              <w:rPr>
                <w:rFonts w:ascii="Times New Roman" w:eastAsia="Times New Roman" w:hAnsi="Times New Roman" w:cs="Times New Roman"/>
                <w:sz w:val="16"/>
                <w:lang w:eastAsia="it-IT" w:bidi="it-IT"/>
              </w:rPr>
              <w:t xml:space="preserve"> 60 </w:t>
            </w:r>
            <w:proofErr w:type="spellStart"/>
            <w:r w:rsidRPr="00F56356">
              <w:rPr>
                <w:rFonts w:ascii="Times New Roman" w:eastAsia="Times New Roman" w:hAnsi="Times New Roman" w:cs="Times New Roman"/>
                <w:sz w:val="16"/>
                <w:lang w:eastAsia="it-IT" w:bidi="it-IT"/>
              </w:rPr>
              <w:t>giorni</w:t>
            </w:r>
            <w:proofErr w:type="spellEnd"/>
            <w:r w:rsidRPr="00F56356">
              <w:rPr>
                <w:rFonts w:ascii="Times New Roman" w:eastAsia="Times New Roman" w:hAnsi="Times New Roman" w:cs="Times New Roman"/>
                <w:sz w:val="16"/>
                <w:lang w:eastAsia="it-IT" w:bidi="it-IT"/>
              </w:rPr>
              <w:t xml:space="preserve"> </w:t>
            </w:r>
            <w:proofErr w:type="spellStart"/>
            <w:proofErr w:type="gramStart"/>
            <w:r w:rsidRPr="00F56356">
              <w:rPr>
                <w:rFonts w:ascii="Times New Roman" w:eastAsia="Times New Roman" w:hAnsi="Times New Roman" w:cs="Times New Roman"/>
                <w:sz w:val="16"/>
                <w:lang w:eastAsia="it-IT" w:bidi="it-IT"/>
              </w:rPr>
              <w:t>dalla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suddetta</w:t>
            </w:r>
            <w:proofErr w:type="spellEnd"/>
            <w:proofErr w:type="gram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pubblicazione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Dipartimento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provvederà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erogazione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risorse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spettanti</w:t>
            </w:r>
            <w:proofErr w:type="spellEnd"/>
            <w:r w:rsidRPr="00F56356">
              <w:rPr>
                <w:rFonts w:ascii="Times New Roman" w:eastAsia="Times New Roman" w:hAnsi="Times New Roman" w:cs="Times New Roman"/>
                <w:sz w:val="16"/>
                <w:lang w:eastAsia="it-IT" w:bidi="it-IT"/>
              </w:rPr>
              <w:t xml:space="preserve"> ai </w:t>
            </w:r>
            <w:proofErr w:type="spellStart"/>
            <w:r w:rsidRPr="00F56356">
              <w:rPr>
                <w:rFonts w:ascii="Times New Roman" w:eastAsia="Times New Roman" w:hAnsi="Times New Roman" w:cs="Times New Roman"/>
                <w:sz w:val="16"/>
                <w:lang w:eastAsia="it-IT" w:bidi="it-IT"/>
              </w:rPr>
              <w:t>comuni</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valere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annualità</w:t>
            </w:r>
            <w:proofErr w:type="spellEnd"/>
            <w:r w:rsidRPr="00F56356">
              <w:rPr>
                <w:rFonts w:ascii="Times New Roman" w:eastAsia="Times New Roman" w:hAnsi="Times New Roman" w:cs="Times New Roman"/>
                <w:sz w:val="16"/>
                <w:lang w:eastAsia="it-IT" w:bidi="it-IT"/>
              </w:rPr>
              <w:t xml:space="preserve"> 2022 del</w:t>
            </w:r>
            <w:r w:rsidRPr="00F56356">
              <w:rPr>
                <w:rFonts w:ascii="Times New Roman" w:eastAsia="Times New Roman" w:hAnsi="Times New Roman" w:cs="Times New Roman"/>
                <w:spacing w:val="3"/>
                <w:sz w:val="16"/>
                <w:lang w:eastAsia="it-IT" w:bidi="it-IT"/>
              </w:rPr>
              <w:t xml:space="preserve">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w:t>
            </w:r>
          </w:p>
        </w:tc>
      </w:tr>
      <w:tr w:rsidR="00F56356" w:rsidRPr="00F56356" w14:paraId="15476503" w14:textId="77777777" w:rsidTr="00F56356">
        <w:trPr>
          <w:trHeight w:val="193"/>
          <w:jc w:val="right"/>
        </w:trPr>
        <w:tc>
          <w:tcPr>
            <w:tcW w:w="2179" w:type="dxa"/>
          </w:tcPr>
          <w:p w14:paraId="75A5DD2D" w14:textId="77777777" w:rsidR="00F56356" w:rsidRPr="00F56356" w:rsidRDefault="00F56356" w:rsidP="00F56356">
            <w:pPr>
              <w:spacing w:before="17" w:line="156" w:lineRule="exact"/>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OBIETTIVO STRATEGICO</w:t>
            </w:r>
          </w:p>
        </w:tc>
        <w:tc>
          <w:tcPr>
            <w:tcW w:w="7065" w:type="dxa"/>
            <w:gridSpan w:val="6"/>
          </w:tcPr>
          <w:p w14:paraId="7723036D" w14:textId="77777777" w:rsidR="00F56356" w:rsidRPr="00F56356" w:rsidRDefault="00F56356" w:rsidP="00F56356">
            <w:pPr>
              <w:rPr>
                <w:rFonts w:ascii="Times New Roman" w:eastAsia="Times New Roman" w:hAnsi="Times New Roman" w:cs="Times New Roman"/>
                <w:sz w:val="12"/>
                <w:lang w:eastAsia="it-IT" w:bidi="it-IT"/>
              </w:rPr>
            </w:pPr>
          </w:p>
        </w:tc>
      </w:tr>
      <w:tr w:rsidR="00F56356" w:rsidRPr="00F56356" w14:paraId="6DCF588E" w14:textId="77777777" w:rsidTr="00F56356">
        <w:trPr>
          <w:trHeight w:val="193"/>
          <w:jc w:val="right"/>
        </w:trPr>
        <w:tc>
          <w:tcPr>
            <w:tcW w:w="2179" w:type="dxa"/>
          </w:tcPr>
          <w:p w14:paraId="6EFAD3AB" w14:textId="77777777" w:rsidR="00F56356" w:rsidRPr="00F56356" w:rsidRDefault="00F56356" w:rsidP="00F56356">
            <w:pPr>
              <w:spacing w:before="17" w:line="156" w:lineRule="exact"/>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DESCRIZIONE</w:t>
            </w:r>
          </w:p>
        </w:tc>
        <w:tc>
          <w:tcPr>
            <w:tcW w:w="7065" w:type="dxa"/>
            <w:gridSpan w:val="6"/>
          </w:tcPr>
          <w:p w14:paraId="27972E13" w14:textId="77777777" w:rsidR="00F56356" w:rsidRPr="00F56356" w:rsidRDefault="00F56356" w:rsidP="00F56356">
            <w:pPr>
              <w:rPr>
                <w:rFonts w:ascii="Times New Roman" w:eastAsia="Times New Roman" w:hAnsi="Times New Roman" w:cs="Times New Roman"/>
                <w:sz w:val="12"/>
                <w:lang w:eastAsia="it-IT" w:bidi="it-IT"/>
              </w:rPr>
            </w:pPr>
          </w:p>
        </w:tc>
      </w:tr>
      <w:tr w:rsidR="00F56356" w:rsidRPr="00F56356" w14:paraId="25E81041" w14:textId="77777777" w:rsidTr="00F56356">
        <w:trPr>
          <w:trHeight w:val="287"/>
          <w:jc w:val="right"/>
        </w:trPr>
        <w:tc>
          <w:tcPr>
            <w:tcW w:w="2179" w:type="dxa"/>
            <w:vMerge w:val="restart"/>
          </w:tcPr>
          <w:p w14:paraId="46852EA1" w14:textId="77777777" w:rsidR="00F56356" w:rsidRPr="00F56356" w:rsidRDefault="00F56356" w:rsidP="00F56356">
            <w:pPr>
              <w:rPr>
                <w:rFonts w:ascii="Times New Roman" w:eastAsia="Times New Roman" w:hAnsi="Times New Roman" w:cs="Times New Roman"/>
                <w:sz w:val="16"/>
                <w:lang w:eastAsia="it-IT" w:bidi="it-IT"/>
              </w:rPr>
            </w:pPr>
          </w:p>
          <w:p w14:paraId="7E5AB7D1" w14:textId="77777777" w:rsidR="00F56356" w:rsidRPr="00F56356" w:rsidRDefault="00F56356" w:rsidP="00F56356">
            <w:pPr>
              <w:spacing w:before="7"/>
              <w:rPr>
                <w:rFonts w:ascii="Times New Roman" w:eastAsia="Times New Roman" w:hAnsi="Times New Roman" w:cs="Times New Roman"/>
                <w:sz w:val="17"/>
                <w:lang w:eastAsia="it-IT" w:bidi="it-IT"/>
              </w:rPr>
            </w:pPr>
          </w:p>
          <w:p w14:paraId="794ACB40" w14:textId="77777777" w:rsidR="00F56356" w:rsidRPr="00F56356" w:rsidRDefault="00F56356" w:rsidP="00F56356">
            <w:pPr>
              <w:spacing w:before="1" w:line="276" w:lineRule="auto"/>
              <w:ind w:left="28" w:right="449"/>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STANZIAMENTI IN C/COMPETENZA PER LA REALIZZAZIONE DELL’OBIETTIVO</w:t>
            </w:r>
          </w:p>
        </w:tc>
        <w:tc>
          <w:tcPr>
            <w:tcW w:w="713" w:type="dxa"/>
            <w:vMerge w:val="restart"/>
          </w:tcPr>
          <w:p w14:paraId="4564600B" w14:textId="77777777" w:rsidR="00F56356" w:rsidRPr="00F56356" w:rsidRDefault="00F56356" w:rsidP="00F56356">
            <w:pPr>
              <w:rPr>
                <w:rFonts w:ascii="Times New Roman" w:eastAsia="Times New Roman" w:hAnsi="Times New Roman" w:cs="Times New Roman"/>
                <w:sz w:val="18"/>
                <w:lang w:eastAsia="it-IT" w:bidi="it-IT"/>
              </w:rPr>
            </w:pPr>
          </w:p>
          <w:p w14:paraId="36C56156" w14:textId="77777777" w:rsidR="00F56356" w:rsidRPr="00F56356" w:rsidRDefault="00F56356" w:rsidP="00F56356">
            <w:pPr>
              <w:rPr>
                <w:rFonts w:ascii="Times New Roman" w:eastAsia="Times New Roman" w:hAnsi="Times New Roman" w:cs="Times New Roman"/>
                <w:sz w:val="18"/>
                <w:lang w:eastAsia="it-IT" w:bidi="it-IT"/>
              </w:rPr>
            </w:pPr>
          </w:p>
          <w:p w14:paraId="4D33E3D4" w14:textId="77777777" w:rsidR="00F56356" w:rsidRPr="00F56356" w:rsidRDefault="00F56356" w:rsidP="00F56356">
            <w:pPr>
              <w:spacing w:before="7"/>
              <w:rPr>
                <w:rFonts w:ascii="Times New Roman" w:eastAsia="Times New Roman" w:hAnsi="Times New Roman" w:cs="Times New Roman"/>
                <w:sz w:val="20"/>
                <w:lang w:eastAsia="it-IT" w:bidi="it-IT"/>
              </w:rPr>
            </w:pPr>
          </w:p>
          <w:p w14:paraId="5AB80FB6" w14:textId="77777777" w:rsidR="00F56356" w:rsidRPr="00F56356" w:rsidRDefault="00F56356" w:rsidP="00F56356">
            <w:pPr>
              <w:spacing w:before="1"/>
              <w:ind w:left="62"/>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Cap. 446</w:t>
            </w:r>
          </w:p>
        </w:tc>
        <w:tc>
          <w:tcPr>
            <w:tcW w:w="2495" w:type="dxa"/>
            <w:gridSpan w:val="2"/>
          </w:tcPr>
          <w:p w14:paraId="623F8ED5" w14:textId="77777777" w:rsidR="00F56356" w:rsidRPr="00F56356" w:rsidRDefault="00F56356" w:rsidP="00F56356">
            <w:pPr>
              <w:spacing w:before="40"/>
              <w:ind w:left="746"/>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Previsioni</w:t>
            </w:r>
            <w:proofErr w:type="spellEnd"/>
            <w:r w:rsidRPr="00F56356">
              <w:rPr>
                <w:rFonts w:ascii="Times New Roman" w:eastAsia="Times New Roman" w:hAnsi="Times New Roman" w:cs="Times New Roman"/>
                <w:sz w:val="16"/>
                <w:lang w:eastAsia="it-IT" w:bidi="it-IT"/>
              </w:rPr>
              <w:t xml:space="preserve"> 2022</w:t>
            </w:r>
          </w:p>
        </w:tc>
        <w:tc>
          <w:tcPr>
            <w:tcW w:w="3857" w:type="dxa"/>
            <w:gridSpan w:val="3"/>
          </w:tcPr>
          <w:p w14:paraId="3B5779CA" w14:textId="77777777" w:rsidR="00F56356" w:rsidRPr="00F56356" w:rsidRDefault="00F56356" w:rsidP="00F56356">
            <w:pPr>
              <w:spacing w:before="40"/>
              <w:ind w:left="1232" w:right="1197"/>
              <w:jc w:val="center"/>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Consuntivo</w:t>
            </w:r>
            <w:proofErr w:type="spellEnd"/>
            <w:r w:rsidRPr="00F56356">
              <w:rPr>
                <w:rFonts w:ascii="Times New Roman" w:eastAsia="Times New Roman" w:hAnsi="Times New Roman" w:cs="Times New Roman"/>
                <w:sz w:val="16"/>
                <w:lang w:eastAsia="it-IT" w:bidi="it-IT"/>
              </w:rPr>
              <w:t xml:space="preserve"> 2022</w:t>
            </w:r>
          </w:p>
        </w:tc>
      </w:tr>
      <w:tr w:rsidR="00F56356" w:rsidRPr="00F56356" w14:paraId="3E0834A5" w14:textId="77777777" w:rsidTr="00F56356">
        <w:trPr>
          <w:trHeight w:val="892"/>
          <w:jc w:val="right"/>
        </w:trPr>
        <w:tc>
          <w:tcPr>
            <w:tcW w:w="2179" w:type="dxa"/>
            <w:vMerge/>
            <w:tcBorders>
              <w:top w:val="nil"/>
            </w:tcBorders>
          </w:tcPr>
          <w:p w14:paraId="52C4473B" w14:textId="77777777" w:rsidR="00F56356" w:rsidRPr="00F56356" w:rsidRDefault="00F56356" w:rsidP="00F56356">
            <w:pPr>
              <w:rPr>
                <w:rFonts w:ascii="Times New Roman" w:eastAsia="Times New Roman" w:hAnsi="Times New Roman" w:cs="Times New Roman"/>
                <w:sz w:val="2"/>
                <w:szCs w:val="2"/>
                <w:lang w:eastAsia="it-IT"/>
              </w:rPr>
            </w:pPr>
          </w:p>
        </w:tc>
        <w:tc>
          <w:tcPr>
            <w:tcW w:w="713" w:type="dxa"/>
            <w:vMerge/>
            <w:tcBorders>
              <w:top w:val="nil"/>
            </w:tcBorders>
          </w:tcPr>
          <w:p w14:paraId="4EED966C" w14:textId="77777777" w:rsidR="00F56356" w:rsidRPr="00F56356" w:rsidRDefault="00F56356" w:rsidP="00F56356">
            <w:pPr>
              <w:rPr>
                <w:rFonts w:ascii="Times New Roman" w:eastAsia="Times New Roman" w:hAnsi="Times New Roman" w:cs="Times New Roman"/>
                <w:sz w:val="2"/>
                <w:szCs w:val="2"/>
                <w:lang w:eastAsia="it-IT"/>
              </w:rPr>
            </w:pPr>
          </w:p>
        </w:tc>
        <w:tc>
          <w:tcPr>
            <w:tcW w:w="1245" w:type="dxa"/>
          </w:tcPr>
          <w:p w14:paraId="0BB08DF8" w14:textId="77777777" w:rsidR="00F56356" w:rsidRPr="00F56356" w:rsidRDefault="00F56356" w:rsidP="00F56356">
            <w:pPr>
              <w:spacing w:before="97" w:line="278" w:lineRule="auto"/>
              <w:ind w:left="227" w:right="213"/>
              <w:jc w:val="center"/>
              <w:rPr>
                <w:rFonts w:ascii="Times New Roman" w:eastAsia="Times New Roman" w:hAnsi="Times New Roman" w:cs="Times New Roman"/>
                <w:sz w:val="12"/>
                <w:lang w:eastAsia="it-IT" w:bidi="it-IT"/>
              </w:rPr>
            </w:pPr>
            <w:proofErr w:type="spellStart"/>
            <w:r w:rsidRPr="00F56356">
              <w:rPr>
                <w:rFonts w:ascii="Times New Roman" w:eastAsia="Times New Roman" w:hAnsi="Times New Roman" w:cs="Times New Roman"/>
                <w:sz w:val="14"/>
                <w:lang w:eastAsia="it-IT" w:bidi="it-IT"/>
              </w:rPr>
              <w:t>Stanziamento</w:t>
            </w:r>
            <w:proofErr w:type="spellEnd"/>
            <w:r w:rsidRPr="00F56356">
              <w:rPr>
                <w:rFonts w:ascii="Times New Roman" w:eastAsia="Times New Roman" w:hAnsi="Times New Roman" w:cs="Times New Roman"/>
                <w:sz w:val="14"/>
                <w:lang w:eastAsia="it-IT" w:bidi="it-IT"/>
              </w:rPr>
              <w:t xml:space="preserve"> </w:t>
            </w:r>
            <w:proofErr w:type="spellStart"/>
            <w:r w:rsidRPr="00F56356">
              <w:rPr>
                <w:rFonts w:ascii="Times New Roman" w:eastAsia="Times New Roman" w:hAnsi="Times New Roman" w:cs="Times New Roman"/>
                <w:w w:val="105"/>
                <w:sz w:val="14"/>
                <w:lang w:eastAsia="it-IT" w:bidi="it-IT"/>
              </w:rPr>
              <w:t>iniziale</w:t>
            </w:r>
            <w:proofErr w:type="spellEnd"/>
            <w:r w:rsidRPr="00F56356">
              <w:rPr>
                <w:rFonts w:ascii="Times New Roman" w:eastAsia="Times New Roman" w:hAnsi="Times New Roman" w:cs="Times New Roman"/>
                <w:w w:val="105"/>
                <w:sz w:val="14"/>
                <w:lang w:eastAsia="it-IT" w:bidi="it-IT"/>
              </w:rPr>
              <w:t xml:space="preserve"> di </w:t>
            </w:r>
            <w:proofErr w:type="spellStart"/>
            <w:r w:rsidRPr="00F56356">
              <w:rPr>
                <w:rFonts w:ascii="Times New Roman" w:eastAsia="Times New Roman" w:hAnsi="Times New Roman" w:cs="Times New Roman"/>
                <w:w w:val="105"/>
                <w:sz w:val="14"/>
                <w:lang w:eastAsia="it-IT" w:bidi="it-IT"/>
              </w:rPr>
              <w:t>competenza</w:t>
            </w:r>
            <w:proofErr w:type="spellEnd"/>
            <w:r w:rsidRPr="00F56356">
              <w:rPr>
                <w:rFonts w:ascii="Times New Roman" w:eastAsia="Times New Roman" w:hAnsi="Times New Roman" w:cs="Times New Roman"/>
                <w:w w:val="105"/>
                <w:sz w:val="14"/>
                <w:lang w:eastAsia="it-IT" w:bidi="it-IT"/>
              </w:rPr>
              <w:t xml:space="preserve"> </w:t>
            </w:r>
            <w:r w:rsidRPr="00F56356">
              <w:rPr>
                <w:rFonts w:ascii="Times New Roman" w:eastAsia="Times New Roman" w:hAnsi="Times New Roman" w:cs="Times New Roman"/>
                <w:w w:val="105"/>
                <w:sz w:val="12"/>
                <w:lang w:eastAsia="it-IT" w:bidi="it-IT"/>
              </w:rPr>
              <w:t>(1)</w:t>
            </w:r>
          </w:p>
        </w:tc>
        <w:tc>
          <w:tcPr>
            <w:tcW w:w="1250" w:type="dxa"/>
          </w:tcPr>
          <w:p w14:paraId="0F4329AE" w14:textId="77777777" w:rsidR="00F56356" w:rsidRPr="00F56356" w:rsidRDefault="00F56356" w:rsidP="00F56356">
            <w:pPr>
              <w:spacing w:before="97" w:line="278" w:lineRule="auto"/>
              <w:ind w:left="229" w:right="208"/>
              <w:jc w:val="center"/>
              <w:rPr>
                <w:rFonts w:ascii="Times New Roman" w:eastAsia="Times New Roman" w:hAnsi="Times New Roman" w:cs="Times New Roman"/>
                <w:sz w:val="12"/>
                <w:lang w:eastAsia="it-IT" w:bidi="it-IT"/>
              </w:rPr>
            </w:pPr>
            <w:proofErr w:type="spellStart"/>
            <w:r w:rsidRPr="00F56356">
              <w:rPr>
                <w:rFonts w:ascii="Times New Roman" w:eastAsia="Times New Roman" w:hAnsi="Times New Roman" w:cs="Times New Roman"/>
                <w:sz w:val="14"/>
                <w:lang w:eastAsia="it-IT" w:bidi="it-IT"/>
              </w:rPr>
              <w:t>Stanziamento</w:t>
            </w:r>
            <w:proofErr w:type="spellEnd"/>
            <w:r w:rsidRPr="00F56356">
              <w:rPr>
                <w:rFonts w:ascii="Times New Roman" w:eastAsia="Times New Roman" w:hAnsi="Times New Roman" w:cs="Times New Roman"/>
                <w:sz w:val="14"/>
                <w:lang w:eastAsia="it-IT" w:bidi="it-IT"/>
              </w:rPr>
              <w:t xml:space="preserve"> </w:t>
            </w:r>
            <w:proofErr w:type="spellStart"/>
            <w:r w:rsidRPr="00F56356">
              <w:rPr>
                <w:rFonts w:ascii="Times New Roman" w:eastAsia="Times New Roman" w:hAnsi="Times New Roman" w:cs="Times New Roman"/>
                <w:w w:val="105"/>
                <w:sz w:val="14"/>
                <w:lang w:eastAsia="it-IT" w:bidi="it-IT"/>
              </w:rPr>
              <w:t>definitivo</w:t>
            </w:r>
            <w:proofErr w:type="spellEnd"/>
            <w:r w:rsidRPr="00F56356">
              <w:rPr>
                <w:rFonts w:ascii="Times New Roman" w:eastAsia="Times New Roman" w:hAnsi="Times New Roman" w:cs="Times New Roman"/>
                <w:w w:val="105"/>
                <w:sz w:val="14"/>
                <w:lang w:eastAsia="it-IT" w:bidi="it-IT"/>
              </w:rPr>
              <w:t xml:space="preserve"> di </w:t>
            </w:r>
            <w:proofErr w:type="spellStart"/>
            <w:r w:rsidRPr="00F56356">
              <w:rPr>
                <w:rFonts w:ascii="Times New Roman" w:eastAsia="Times New Roman" w:hAnsi="Times New Roman" w:cs="Times New Roman"/>
                <w:w w:val="105"/>
                <w:sz w:val="14"/>
                <w:lang w:eastAsia="it-IT" w:bidi="it-IT"/>
              </w:rPr>
              <w:t>competenza</w:t>
            </w:r>
            <w:proofErr w:type="spellEnd"/>
            <w:r w:rsidRPr="00F56356">
              <w:rPr>
                <w:rFonts w:ascii="Times New Roman" w:eastAsia="Times New Roman" w:hAnsi="Times New Roman" w:cs="Times New Roman"/>
                <w:w w:val="105"/>
                <w:sz w:val="14"/>
                <w:lang w:eastAsia="it-IT" w:bidi="it-IT"/>
              </w:rPr>
              <w:t xml:space="preserve"> </w:t>
            </w:r>
            <w:r w:rsidRPr="00F56356">
              <w:rPr>
                <w:rFonts w:ascii="Times New Roman" w:eastAsia="Times New Roman" w:hAnsi="Times New Roman" w:cs="Times New Roman"/>
                <w:w w:val="105"/>
                <w:sz w:val="12"/>
                <w:lang w:eastAsia="it-IT" w:bidi="it-IT"/>
              </w:rPr>
              <w:t>(2)</w:t>
            </w:r>
          </w:p>
        </w:tc>
        <w:tc>
          <w:tcPr>
            <w:tcW w:w="1250" w:type="dxa"/>
          </w:tcPr>
          <w:p w14:paraId="1EA2AFBC" w14:textId="77777777" w:rsidR="00F56356" w:rsidRPr="00F56356" w:rsidRDefault="00F56356" w:rsidP="00F56356">
            <w:pPr>
              <w:spacing w:before="6"/>
              <w:rPr>
                <w:rFonts w:ascii="Times New Roman" w:eastAsia="Times New Roman" w:hAnsi="Times New Roman" w:cs="Times New Roman"/>
                <w:sz w:val="16"/>
                <w:lang w:eastAsia="it-IT" w:bidi="it-IT"/>
              </w:rPr>
            </w:pPr>
          </w:p>
          <w:p w14:paraId="623C89A0" w14:textId="77777777" w:rsidR="00F56356" w:rsidRPr="00F56356" w:rsidRDefault="00F56356" w:rsidP="00F56356">
            <w:pPr>
              <w:spacing w:line="280" w:lineRule="auto"/>
              <w:ind w:left="231" w:right="208"/>
              <w:jc w:val="center"/>
              <w:rPr>
                <w:rFonts w:ascii="Times New Roman" w:eastAsia="Times New Roman" w:hAnsi="Times New Roman" w:cs="Times New Roman"/>
                <w:sz w:val="12"/>
                <w:lang w:eastAsia="it-IT" w:bidi="it-IT"/>
              </w:rPr>
            </w:pPr>
            <w:proofErr w:type="spellStart"/>
            <w:r w:rsidRPr="00F56356">
              <w:rPr>
                <w:rFonts w:ascii="Times New Roman" w:eastAsia="Times New Roman" w:hAnsi="Times New Roman" w:cs="Times New Roman"/>
                <w:w w:val="105"/>
                <w:sz w:val="14"/>
                <w:lang w:eastAsia="it-IT" w:bidi="it-IT"/>
              </w:rPr>
              <w:t>Pagamento</w:t>
            </w:r>
            <w:proofErr w:type="spellEnd"/>
            <w:r w:rsidRPr="00F56356">
              <w:rPr>
                <w:rFonts w:ascii="Times New Roman" w:eastAsia="Times New Roman" w:hAnsi="Times New Roman" w:cs="Times New Roman"/>
                <w:w w:val="105"/>
                <w:sz w:val="14"/>
                <w:lang w:eastAsia="it-IT" w:bidi="it-IT"/>
              </w:rPr>
              <w:t xml:space="preserve"> </w:t>
            </w:r>
            <w:r w:rsidRPr="00F56356">
              <w:rPr>
                <w:rFonts w:ascii="Times New Roman" w:eastAsia="Times New Roman" w:hAnsi="Times New Roman" w:cs="Times New Roman"/>
                <w:sz w:val="14"/>
                <w:lang w:eastAsia="it-IT" w:bidi="it-IT"/>
              </w:rPr>
              <w:t>c/</w:t>
            </w:r>
            <w:proofErr w:type="spellStart"/>
            <w:r w:rsidRPr="00F56356">
              <w:rPr>
                <w:rFonts w:ascii="Times New Roman" w:eastAsia="Times New Roman" w:hAnsi="Times New Roman" w:cs="Times New Roman"/>
                <w:sz w:val="14"/>
                <w:lang w:eastAsia="it-IT" w:bidi="it-IT"/>
              </w:rPr>
              <w:t>competenza</w:t>
            </w:r>
            <w:proofErr w:type="spellEnd"/>
            <w:r w:rsidRPr="00F56356">
              <w:rPr>
                <w:rFonts w:ascii="Times New Roman" w:eastAsia="Times New Roman" w:hAnsi="Times New Roman" w:cs="Times New Roman"/>
                <w:sz w:val="14"/>
                <w:lang w:eastAsia="it-IT" w:bidi="it-IT"/>
              </w:rPr>
              <w:t xml:space="preserve"> </w:t>
            </w:r>
            <w:r w:rsidRPr="00F56356">
              <w:rPr>
                <w:rFonts w:ascii="Times New Roman" w:eastAsia="Times New Roman" w:hAnsi="Times New Roman" w:cs="Times New Roman"/>
                <w:w w:val="105"/>
                <w:sz w:val="12"/>
                <w:lang w:eastAsia="it-IT" w:bidi="it-IT"/>
              </w:rPr>
              <w:t>(3)</w:t>
            </w:r>
          </w:p>
        </w:tc>
        <w:tc>
          <w:tcPr>
            <w:tcW w:w="1250" w:type="dxa"/>
          </w:tcPr>
          <w:p w14:paraId="4778A028" w14:textId="77777777" w:rsidR="00F56356" w:rsidRPr="00F56356" w:rsidRDefault="00F56356" w:rsidP="00F56356">
            <w:pPr>
              <w:spacing w:before="97" w:line="276" w:lineRule="auto"/>
              <w:ind w:left="65" w:right="42"/>
              <w:jc w:val="center"/>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 xml:space="preserve">Somme </w:t>
            </w:r>
            <w:proofErr w:type="spellStart"/>
            <w:r w:rsidRPr="00F56356">
              <w:rPr>
                <w:rFonts w:ascii="Times New Roman" w:eastAsia="Times New Roman" w:hAnsi="Times New Roman" w:cs="Times New Roman"/>
                <w:w w:val="105"/>
                <w:sz w:val="14"/>
                <w:lang w:eastAsia="it-IT" w:bidi="it-IT"/>
              </w:rPr>
              <w:t>rimaste</w:t>
            </w:r>
            <w:proofErr w:type="spellEnd"/>
            <w:r w:rsidRPr="00F56356">
              <w:rPr>
                <w:rFonts w:ascii="Times New Roman" w:eastAsia="Times New Roman" w:hAnsi="Times New Roman" w:cs="Times New Roman"/>
                <w:w w:val="105"/>
                <w:sz w:val="14"/>
                <w:lang w:eastAsia="it-IT" w:bidi="it-IT"/>
              </w:rPr>
              <w:t xml:space="preserve"> da </w:t>
            </w:r>
            <w:proofErr w:type="spellStart"/>
            <w:r w:rsidRPr="00F56356">
              <w:rPr>
                <w:rFonts w:ascii="Times New Roman" w:eastAsia="Times New Roman" w:hAnsi="Times New Roman" w:cs="Times New Roman"/>
                <w:w w:val="105"/>
                <w:sz w:val="14"/>
                <w:lang w:eastAsia="it-IT" w:bidi="it-IT"/>
              </w:rPr>
              <w:t>pagare</w:t>
            </w:r>
            <w:proofErr w:type="spellEnd"/>
            <w:r w:rsidRPr="00F56356">
              <w:rPr>
                <w:rFonts w:ascii="Times New Roman" w:eastAsia="Times New Roman" w:hAnsi="Times New Roman" w:cs="Times New Roman"/>
                <w:w w:val="105"/>
                <w:sz w:val="14"/>
                <w:lang w:eastAsia="it-IT" w:bidi="it-IT"/>
              </w:rPr>
              <w:t xml:space="preserve"> in c/</w:t>
            </w:r>
            <w:proofErr w:type="spellStart"/>
            <w:r w:rsidRPr="00F56356">
              <w:rPr>
                <w:rFonts w:ascii="Times New Roman" w:eastAsia="Times New Roman" w:hAnsi="Times New Roman" w:cs="Times New Roman"/>
                <w:w w:val="105"/>
                <w:sz w:val="14"/>
                <w:lang w:eastAsia="it-IT" w:bidi="it-IT"/>
              </w:rPr>
              <w:t>competenza</w:t>
            </w:r>
            <w:proofErr w:type="spellEnd"/>
          </w:p>
          <w:p w14:paraId="79A500FC" w14:textId="77777777" w:rsidR="00F56356" w:rsidRPr="00F56356" w:rsidRDefault="00F56356" w:rsidP="00F56356">
            <w:pPr>
              <w:spacing w:before="5"/>
              <w:ind w:left="229" w:right="208"/>
              <w:jc w:val="center"/>
              <w:rPr>
                <w:rFonts w:ascii="Times New Roman" w:eastAsia="Times New Roman" w:hAnsi="Times New Roman" w:cs="Times New Roman"/>
                <w:sz w:val="12"/>
                <w:lang w:eastAsia="it-IT" w:bidi="it-IT"/>
              </w:rPr>
            </w:pPr>
            <w:r w:rsidRPr="00F56356">
              <w:rPr>
                <w:rFonts w:ascii="Times New Roman" w:eastAsia="Times New Roman" w:hAnsi="Times New Roman" w:cs="Times New Roman"/>
                <w:w w:val="105"/>
                <w:sz w:val="12"/>
                <w:lang w:eastAsia="it-IT" w:bidi="it-IT"/>
              </w:rPr>
              <w:t>(4)</w:t>
            </w:r>
          </w:p>
        </w:tc>
        <w:tc>
          <w:tcPr>
            <w:tcW w:w="1357" w:type="dxa"/>
          </w:tcPr>
          <w:p w14:paraId="4A23B750" w14:textId="77777777" w:rsidR="00F56356" w:rsidRPr="00F56356" w:rsidRDefault="00F56356" w:rsidP="00F56356">
            <w:pPr>
              <w:spacing w:before="10"/>
              <w:rPr>
                <w:rFonts w:ascii="Times New Roman" w:eastAsia="Times New Roman" w:hAnsi="Times New Roman" w:cs="Times New Roman"/>
                <w:sz w:val="23"/>
                <w:lang w:eastAsia="it-IT" w:bidi="it-IT"/>
              </w:rPr>
            </w:pPr>
          </w:p>
          <w:p w14:paraId="573C43F7" w14:textId="77777777" w:rsidR="00F56356" w:rsidRPr="00F56356" w:rsidRDefault="00F56356" w:rsidP="00F56356">
            <w:pPr>
              <w:spacing w:line="276" w:lineRule="auto"/>
              <w:ind w:left="299" w:right="-2" w:hanging="264"/>
              <w:rPr>
                <w:rFonts w:ascii="Times New Roman" w:eastAsia="Times New Roman" w:hAnsi="Times New Roman" w:cs="Times New Roman"/>
                <w:sz w:val="14"/>
                <w:lang w:eastAsia="it-IT" w:bidi="it-IT"/>
              </w:rPr>
            </w:pPr>
            <w:proofErr w:type="spellStart"/>
            <w:r w:rsidRPr="00F56356">
              <w:rPr>
                <w:rFonts w:ascii="Times New Roman" w:eastAsia="Times New Roman" w:hAnsi="Times New Roman" w:cs="Times New Roman"/>
                <w:w w:val="105"/>
                <w:sz w:val="14"/>
                <w:lang w:eastAsia="it-IT" w:bidi="it-IT"/>
              </w:rPr>
              <w:t>Totale</w:t>
            </w:r>
            <w:proofErr w:type="spellEnd"/>
            <w:r w:rsidRPr="00F56356">
              <w:rPr>
                <w:rFonts w:ascii="Times New Roman" w:eastAsia="Times New Roman" w:hAnsi="Times New Roman" w:cs="Times New Roman"/>
                <w:spacing w:val="-19"/>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impegnato</w:t>
            </w:r>
            <w:proofErr w:type="spellEnd"/>
            <w:r w:rsidRPr="00F56356">
              <w:rPr>
                <w:rFonts w:ascii="Times New Roman" w:eastAsia="Times New Roman" w:hAnsi="Times New Roman" w:cs="Times New Roman"/>
                <w:w w:val="105"/>
                <w:sz w:val="14"/>
                <w:lang w:eastAsia="it-IT" w:bidi="it-IT"/>
              </w:rPr>
              <w:t xml:space="preserve"> (3) +</w:t>
            </w:r>
            <w:r w:rsidRPr="00F56356">
              <w:rPr>
                <w:rFonts w:ascii="Times New Roman" w:eastAsia="Times New Roman" w:hAnsi="Times New Roman" w:cs="Times New Roman"/>
                <w:spacing w:val="-4"/>
                <w:w w:val="105"/>
                <w:sz w:val="14"/>
                <w:lang w:eastAsia="it-IT" w:bidi="it-IT"/>
              </w:rPr>
              <w:t xml:space="preserve"> </w:t>
            </w:r>
            <w:r w:rsidRPr="00F56356">
              <w:rPr>
                <w:rFonts w:ascii="Times New Roman" w:eastAsia="Times New Roman" w:hAnsi="Times New Roman" w:cs="Times New Roman"/>
                <w:w w:val="105"/>
                <w:sz w:val="14"/>
                <w:lang w:eastAsia="it-IT" w:bidi="it-IT"/>
              </w:rPr>
              <w:t>(4)</w:t>
            </w:r>
          </w:p>
        </w:tc>
      </w:tr>
      <w:tr w:rsidR="00F56356" w:rsidRPr="00F56356" w14:paraId="6AADEA0A" w14:textId="77777777" w:rsidTr="00F56356">
        <w:trPr>
          <w:trHeight w:val="297"/>
          <w:jc w:val="right"/>
        </w:trPr>
        <w:tc>
          <w:tcPr>
            <w:tcW w:w="2179" w:type="dxa"/>
            <w:vMerge/>
            <w:tcBorders>
              <w:top w:val="nil"/>
            </w:tcBorders>
          </w:tcPr>
          <w:p w14:paraId="5BD87695" w14:textId="77777777" w:rsidR="00F56356" w:rsidRPr="00F56356" w:rsidRDefault="00F56356" w:rsidP="00F56356">
            <w:pPr>
              <w:rPr>
                <w:rFonts w:ascii="Times New Roman" w:eastAsia="Times New Roman" w:hAnsi="Times New Roman" w:cs="Times New Roman"/>
                <w:sz w:val="2"/>
                <w:szCs w:val="2"/>
                <w:lang w:eastAsia="it-IT"/>
              </w:rPr>
            </w:pPr>
          </w:p>
        </w:tc>
        <w:tc>
          <w:tcPr>
            <w:tcW w:w="713" w:type="dxa"/>
            <w:vMerge/>
            <w:tcBorders>
              <w:top w:val="nil"/>
            </w:tcBorders>
          </w:tcPr>
          <w:p w14:paraId="1A4A0766" w14:textId="77777777" w:rsidR="00F56356" w:rsidRPr="00F56356" w:rsidRDefault="00F56356" w:rsidP="00F56356">
            <w:pPr>
              <w:rPr>
                <w:rFonts w:ascii="Times New Roman" w:eastAsia="Times New Roman" w:hAnsi="Times New Roman" w:cs="Times New Roman"/>
                <w:sz w:val="2"/>
                <w:szCs w:val="2"/>
                <w:lang w:eastAsia="it-IT"/>
              </w:rPr>
            </w:pPr>
          </w:p>
        </w:tc>
        <w:tc>
          <w:tcPr>
            <w:tcW w:w="1245" w:type="dxa"/>
          </w:tcPr>
          <w:p w14:paraId="250AA2A8" w14:textId="77777777" w:rsidR="00F56356" w:rsidRPr="00F56356" w:rsidRDefault="00F56356" w:rsidP="00F56356">
            <w:pPr>
              <w:spacing w:before="68"/>
              <w:ind w:left="388"/>
              <w:rPr>
                <w:rFonts w:ascii="Times New Roman" w:eastAsia="Times New Roman" w:hAnsi="Times New Roman" w:cs="Times New Roman"/>
                <w:sz w:val="14"/>
                <w:lang w:eastAsia="it-IT" w:bidi="it-IT"/>
              </w:rPr>
            </w:pPr>
            <w:r w:rsidRPr="00F56356">
              <w:rPr>
                <w:rFonts w:ascii="Times New Roman" w:eastAsia="Times New Roman" w:hAnsi="Times New Roman" w:cs="Times New Roman"/>
                <w:sz w:val="14"/>
                <w:lang w:eastAsia="it-IT" w:bidi="it-IT"/>
              </w:rPr>
              <w:t>24.000.000,00</w:t>
            </w:r>
          </w:p>
        </w:tc>
        <w:tc>
          <w:tcPr>
            <w:tcW w:w="1250" w:type="dxa"/>
          </w:tcPr>
          <w:p w14:paraId="240ECF44" w14:textId="77777777" w:rsidR="00F56356" w:rsidRPr="00F56356" w:rsidRDefault="00F56356" w:rsidP="00F56356">
            <w:pPr>
              <w:spacing w:before="68"/>
              <w:ind w:left="393"/>
              <w:rPr>
                <w:rFonts w:ascii="Times New Roman" w:eastAsia="Times New Roman" w:hAnsi="Times New Roman" w:cs="Times New Roman"/>
                <w:sz w:val="14"/>
                <w:lang w:eastAsia="it-IT" w:bidi="it-IT"/>
              </w:rPr>
            </w:pPr>
            <w:r w:rsidRPr="00F56356">
              <w:rPr>
                <w:rFonts w:ascii="Times New Roman" w:eastAsia="Times New Roman" w:hAnsi="Times New Roman" w:cs="Times New Roman"/>
                <w:sz w:val="14"/>
                <w:lang w:eastAsia="it-IT" w:bidi="it-IT"/>
              </w:rPr>
              <w:t>47.901.929,93</w:t>
            </w:r>
          </w:p>
        </w:tc>
        <w:tc>
          <w:tcPr>
            <w:tcW w:w="1250" w:type="dxa"/>
          </w:tcPr>
          <w:p w14:paraId="67321B13" w14:textId="77777777" w:rsidR="00F56356" w:rsidRPr="00F56356" w:rsidRDefault="00F56356" w:rsidP="00F56356">
            <w:pPr>
              <w:spacing w:before="68"/>
              <w:ind w:left="466"/>
              <w:rPr>
                <w:rFonts w:ascii="Times New Roman" w:eastAsia="Times New Roman" w:hAnsi="Times New Roman" w:cs="Times New Roman"/>
                <w:sz w:val="14"/>
                <w:lang w:eastAsia="it-IT" w:bidi="it-IT"/>
              </w:rPr>
            </w:pPr>
            <w:r w:rsidRPr="00F56356">
              <w:rPr>
                <w:rFonts w:ascii="Times New Roman" w:eastAsia="Times New Roman" w:hAnsi="Times New Roman" w:cs="Times New Roman"/>
                <w:sz w:val="14"/>
                <w:lang w:eastAsia="it-IT" w:bidi="it-IT"/>
              </w:rPr>
              <w:t>4.612.160,66</w:t>
            </w:r>
          </w:p>
        </w:tc>
        <w:tc>
          <w:tcPr>
            <w:tcW w:w="1250" w:type="dxa"/>
          </w:tcPr>
          <w:p w14:paraId="08458AA9" w14:textId="77777777" w:rsidR="00F56356" w:rsidRPr="00F56356" w:rsidRDefault="00F56356" w:rsidP="00F56356">
            <w:pPr>
              <w:spacing w:before="68"/>
              <w:ind w:left="394"/>
              <w:rPr>
                <w:rFonts w:ascii="Times New Roman" w:eastAsia="Times New Roman" w:hAnsi="Times New Roman" w:cs="Times New Roman"/>
                <w:sz w:val="14"/>
                <w:lang w:eastAsia="it-IT" w:bidi="it-IT"/>
              </w:rPr>
            </w:pPr>
            <w:r w:rsidRPr="00F56356">
              <w:rPr>
                <w:rFonts w:ascii="Times New Roman" w:eastAsia="Times New Roman" w:hAnsi="Times New Roman" w:cs="Times New Roman"/>
                <w:sz w:val="14"/>
                <w:lang w:eastAsia="it-IT" w:bidi="it-IT"/>
              </w:rPr>
              <w:t>18.797.185,15</w:t>
            </w:r>
          </w:p>
        </w:tc>
        <w:tc>
          <w:tcPr>
            <w:tcW w:w="1357" w:type="dxa"/>
          </w:tcPr>
          <w:p w14:paraId="6EE5384E" w14:textId="77777777" w:rsidR="00F56356" w:rsidRPr="00F56356" w:rsidRDefault="00F56356" w:rsidP="00F56356">
            <w:pPr>
              <w:spacing w:before="68"/>
              <w:ind w:left="227"/>
              <w:rPr>
                <w:rFonts w:ascii="Times New Roman" w:eastAsia="Times New Roman" w:hAnsi="Times New Roman" w:cs="Times New Roman"/>
                <w:sz w:val="14"/>
                <w:lang w:eastAsia="it-IT" w:bidi="it-IT"/>
              </w:rPr>
            </w:pPr>
            <w:r w:rsidRPr="00F56356">
              <w:rPr>
                <w:rFonts w:ascii="Times New Roman" w:eastAsia="Times New Roman" w:hAnsi="Times New Roman" w:cs="Times New Roman"/>
                <w:sz w:val="14"/>
                <w:lang w:eastAsia="it-IT" w:bidi="it-IT"/>
              </w:rPr>
              <w:t>23.409.345,81</w:t>
            </w:r>
          </w:p>
        </w:tc>
      </w:tr>
      <w:tr w:rsidR="00F56356" w:rsidRPr="00F56356" w14:paraId="3D41A563" w14:textId="77777777" w:rsidTr="00F56356">
        <w:trPr>
          <w:trHeight w:val="179"/>
          <w:jc w:val="right"/>
        </w:trPr>
        <w:tc>
          <w:tcPr>
            <w:tcW w:w="2179" w:type="dxa"/>
            <w:tcBorders>
              <w:bottom w:val="nil"/>
              <w:right w:val="nil"/>
            </w:tcBorders>
          </w:tcPr>
          <w:p w14:paraId="2CF87C71" w14:textId="77777777" w:rsidR="00F56356" w:rsidRPr="00F56356" w:rsidRDefault="00F56356" w:rsidP="00F56356">
            <w:pPr>
              <w:spacing w:before="1" w:line="158" w:lineRule="exact"/>
              <w:ind w:left="28"/>
              <w:rPr>
                <w:rFonts w:ascii="Times New Roman" w:eastAsia="Times New Roman" w:hAnsi="Times New Roman" w:cs="Times New Roman"/>
                <w:b/>
                <w:sz w:val="14"/>
                <w:lang w:eastAsia="it-IT" w:bidi="it-IT"/>
              </w:rPr>
            </w:pPr>
            <w:r w:rsidRPr="00F56356">
              <w:rPr>
                <w:rFonts w:ascii="Times New Roman" w:eastAsia="Times New Roman" w:hAnsi="Times New Roman" w:cs="Times New Roman"/>
                <w:b/>
                <w:w w:val="105"/>
                <w:sz w:val="14"/>
                <w:lang w:eastAsia="it-IT" w:bidi="it-IT"/>
              </w:rPr>
              <w:t>LEGENDA</w:t>
            </w:r>
          </w:p>
        </w:tc>
        <w:tc>
          <w:tcPr>
            <w:tcW w:w="713" w:type="dxa"/>
            <w:tcBorders>
              <w:left w:val="nil"/>
              <w:bottom w:val="nil"/>
              <w:right w:val="nil"/>
            </w:tcBorders>
          </w:tcPr>
          <w:p w14:paraId="53CAC9B9" w14:textId="77777777" w:rsidR="00F56356" w:rsidRPr="00F56356" w:rsidRDefault="00F56356" w:rsidP="00F56356">
            <w:pPr>
              <w:rPr>
                <w:rFonts w:ascii="Times New Roman" w:eastAsia="Times New Roman" w:hAnsi="Times New Roman" w:cs="Times New Roman"/>
                <w:sz w:val="12"/>
                <w:lang w:eastAsia="it-IT" w:bidi="it-IT"/>
              </w:rPr>
            </w:pPr>
          </w:p>
        </w:tc>
        <w:tc>
          <w:tcPr>
            <w:tcW w:w="1245" w:type="dxa"/>
            <w:tcBorders>
              <w:left w:val="nil"/>
              <w:bottom w:val="nil"/>
              <w:right w:val="nil"/>
            </w:tcBorders>
          </w:tcPr>
          <w:p w14:paraId="25A9B3C5" w14:textId="77777777" w:rsidR="00F56356" w:rsidRPr="00F56356" w:rsidRDefault="00F56356" w:rsidP="00F56356">
            <w:pPr>
              <w:rPr>
                <w:rFonts w:ascii="Times New Roman" w:eastAsia="Times New Roman" w:hAnsi="Times New Roman" w:cs="Times New Roman"/>
                <w:sz w:val="12"/>
                <w:lang w:eastAsia="it-IT" w:bidi="it-IT"/>
              </w:rPr>
            </w:pPr>
          </w:p>
        </w:tc>
        <w:tc>
          <w:tcPr>
            <w:tcW w:w="1250" w:type="dxa"/>
            <w:tcBorders>
              <w:left w:val="nil"/>
              <w:bottom w:val="nil"/>
              <w:right w:val="nil"/>
            </w:tcBorders>
          </w:tcPr>
          <w:p w14:paraId="7A62662D" w14:textId="77777777" w:rsidR="00F56356" w:rsidRPr="00F56356" w:rsidRDefault="00F56356" w:rsidP="00F56356">
            <w:pPr>
              <w:rPr>
                <w:rFonts w:ascii="Times New Roman" w:eastAsia="Times New Roman" w:hAnsi="Times New Roman" w:cs="Times New Roman"/>
                <w:sz w:val="12"/>
                <w:lang w:eastAsia="it-IT" w:bidi="it-IT"/>
              </w:rPr>
            </w:pPr>
          </w:p>
        </w:tc>
        <w:tc>
          <w:tcPr>
            <w:tcW w:w="1250" w:type="dxa"/>
            <w:tcBorders>
              <w:left w:val="nil"/>
              <w:bottom w:val="nil"/>
              <w:right w:val="nil"/>
            </w:tcBorders>
          </w:tcPr>
          <w:p w14:paraId="2BF6D5D8" w14:textId="77777777" w:rsidR="00F56356" w:rsidRPr="00F56356" w:rsidRDefault="00F56356" w:rsidP="00F56356">
            <w:pPr>
              <w:rPr>
                <w:rFonts w:ascii="Times New Roman" w:eastAsia="Times New Roman" w:hAnsi="Times New Roman" w:cs="Times New Roman"/>
                <w:sz w:val="12"/>
                <w:lang w:eastAsia="it-IT" w:bidi="it-IT"/>
              </w:rPr>
            </w:pPr>
          </w:p>
        </w:tc>
        <w:tc>
          <w:tcPr>
            <w:tcW w:w="1250" w:type="dxa"/>
            <w:tcBorders>
              <w:left w:val="nil"/>
              <w:bottom w:val="nil"/>
              <w:right w:val="nil"/>
            </w:tcBorders>
          </w:tcPr>
          <w:p w14:paraId="37767EEF" w14:textId="77777777" w:rsidR="00F56356" w:rsidRPr="00F56356" w:rsidRDefault="00F56356" w:rsidP="00F56356">
            <w:pPr>
              <w:rPr>
                <w:rFonts w:ascii="Times New Roman" w:eastAsia="Times New Roman" w:hAnsi="Times New Roman" w:cs="Times New Roman"/>
                <w:sz w:val="12"/>
                <w:lang w:eastAsia="it-IT" w:bidi="it-IT"/>
              </w:rPr>
            </w:pPr>
          </w:p>
        </w:tc>
        <w:tc>
          <w:tcPr>
            <w:tcW w:w="1357" w:type="dxa"/>
            <w:tcBorders>
              <w:left w:val="nil"/>
              <w:bottom w:val="nil"/>
            </w:tcBorders>
          </w:tcPr>
          <w:p w14:paraId="57F06AE5" w14:textId="77777777" w:rsidR="00F56356" w:rsidRPr="00F56356" w:rsidRDefault="00F56356" w:rsidP="00F56356">
            <w:pPr>
              <w:rPr>
                <w:rFonts w:ascii="Times New Roman" w:eastAsia="Times New Roman" w:hAnsi="Times New Roman" w:cs="Times New Roman"/>
                <w:sz w:val="12"/>
                <w:lang w:eastAsia="it-IT" w:bidi="it-IT"/>
              </w:rPr>
            </w:pPr>
          </w:p>
        </w:tc>
      </w:tr>
      <w:tr w:rsidR="00F56356" w:rsidRPr="00F56356" w14:paraId="3C0E1F4F" w14:textId="77777777" w:rsidTr="00F56356">
        <w:trPr>
          <w:trHeight w:val="212"/>
          <w:jc w:val="right"/>
        </w:trPr>
        <w:tc>
          <w:tcPr>
            <w:tcW w:w="9244" w:type="dxa"/>
            <w:gridSpan w:val="7"/>
            <w:tcBorders>
              <w:top w:val="nil"/>
              <w:bottom w:val="nil"/>
            </w:tcBorders>
          </w:tcPr>
          <w:p w14:paraId="1A72AAC6" w14:textId="77777777" w:rsidR="00F56356" w:rsidRPr="00F56356" w:rsidRDefault="00F56356" w:rsidP="00F56356">
            <w:pPr>
              <w:spacing w:before="14"/>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 xml:space="preserve">(1) e (2) </w:t>
            </w:r>
            <w:proofErr w:type="spellStart"/>
            <w:r w:rsidRPr="00F56356">
              <w:rPr>
                <w:rFonts w:ascii="Times New Roman" w:eastAsia="Times New Roman" w:hAnsi="Times New Roman" w:cs="Times New Roman"/>
                <w:w w:val="105"/>
                <w:sz w:val="14"/>
                <w:lang w:eastAsia="it-IT" w:bidi="it-IT"/>
              </w:rPr>
              <w:t>risorse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finanziarie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destinate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alla</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realizzazione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dell’obiettivo</w:t>
            </w:r>
            <w:proofErr w:type="spellEnd"/>
            <w:r w:rsidRPr="00F56356">
              <w:rPr>
                <w:rFonts w:ascii="Times New Roman" w:eastAsia="Times New Roman" w:hAnsi="Times New Roman" w:cs="Times New Roman"/>
                <w:w w:val="105"/>
                <w:sz w:val="14"/>
                <w:lang w:eastAsia="it-IT" w:bidi="it-IT"/>
              </w:rPr>
              <w:t xml:space="preserve"> in termini di </w:t>
            </w:r>
            <w:proofErr w:type="spellStart"/>
            <w:r w:rsidRPr="00F56356">
              <w:rPr>
                <w:rFonts w:ascii="Times New Roman" w:eastAsia="Times New Roman" w:hAnsi="Times New Roman" w:cs="Times New Roman"/>
                <w:w w:val="105"/>
                <w:sz w:val="14"/>
                <w:lang w:eastAsia="it-IT" w:bidi="it-IT"/>
              </w:rPr>
              <w:t>stanziamenti</w:t>
            </w:r>
            <w:proofErr w:type="spellEnd"/>
            <w:r w:rsidRPr="00F56356">
              <w:rPr>
                <w:rFonts w:ascii="Times New Roman" w:eastAsia="Times New Roman" w:hAnsi="Times New Roman" w:cs="Times New Roman"/>
                <w:w w:val="105"/>
                <w:sz w:val="14"/>
                <w:lang w:eastAsia="it-IT" w:bidi="it-IT"/>
              </w:rPr>
              <w:t xml:space="preserve"> c/</w:t>
            </w:r>
            <w:proofErr w:type="spellStart"/>
            <w:r w:rsidRPr="00F56356">
              <w:rPr>
                <w:rFonts w:ascii="Times New Roman" w:eastAsia="Times New Roman" w:hAnsi="Times New Roman" w:cs="Times New Roman"/>
                <w:w w:val="105"/>
                <w:sz w:val="14"/>
                <w:lang w:eastAsia="it-IT" w:bidi="it-IT"/>
              </w:rPr>
              <w:t>competenza</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iniziali</w:t>
            </w:r>
            <w:proofErr w:type="spellEnd"/>
            <w:r w:rsidRPr="00F56356">
              <w:rPr>
                <w:rFonts w:ascii="Times New Roman" w:eastAsia="Times New Roman" w:hAnsi="Times New Roman" w:cs="Times New Roman"/>
                <w:w w:val="105"/>
                <w:sz w:val="14"/>
                <w:lang w:eastAsia="it-IT" w:bidi="it-IT"/>
              </w:rPr>
              <w:t xml:space="preserve"> e </w:t>
            </w:r>
            <w:proofErr w:type="spellStart"/>
            <w:r w:rsidRPr="00F56356">
              <w:rPr>
                <w:rFonts w:ascii="Times New Roman" w:eastAsia="Times New Roman" w:hAnsi="Times New Roman" w:cs="Times New Roman"/>
                <w:w w:val="105"/>
                <w:sz w:val="14"/>
                <w:lang w:eastAsia="it-IT" w:bidi="it-IT"/>
              </w:rPr>
              <w:t>definitivi</w:t>
            </w:r>
            <w:proofErr w:type="spellEnd"/>
          </w:p>
        </w:tc>
      </w:tr>
      <w:tr w:rsidR="00F56356" w:rsidRPr="00F56356" w14:paraId="507AFA97" w14:textId="77777777" w:rsidTr="00F56356">
        <w:trPr>
          <w:trHeight w:val="233"/>
          <w:jc w:val="right"/>
        </w:trPr>
        <w:tc>
          <w:tcPr>
            <w:tcW w:w="9244" w:type="dxa"/>
            <w:gridSpan w:val="7"/>
            <w:tcBorders>
              <w:top w:val="nil"/>
              <w:bottom w:val="nil"/>
            </w:tcBorders>
          </w:tcPr>
          <w:p w14:paraId="04D3E814" w14:textId="77777777" w:rsidR="00F56356" w:rsidRPr="00F56356" w:rsidRDefault="00F56356" w:rsidP="00F56356">
            <w:pPr>
              <w:spacing w:before="34"/>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 xml:space="preserve">(3) </w:t>
            </w:r>
            <w:proofErr w:type="spellStart"/>
            <w:r w:rsidRPr="00F56356">
              <w:rPr>
                <w:rFonts w:ascii="Times New Roman" w:eastAsia="Times New Roman" w:hAnsi="Times New Roman" w:cs="Times New Roman"/>
                <w:w w:val="105"/>
                <w:sz w:val="14"/>
                <w:lang w:eastAsia="it-IT" w:bidi="it-IT"/>
              </w:rPr>
              <w:t>risorse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finanziarie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impiegate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nell’anno</w:t>
            </w:r>
            <w:proofErr w:type="spellEnd"/>
            <w:r w:rsidRPr="00F56356">
              <w:rPr>
                <w:rFonts w:ascii="Times New Roman" w:eastAsia="Times New Roman" w:hAnsi="Times New Roman" w:cs="Times New Roman"/>
                <w:w w:val="105"/>
                <w:sz w:val="14"/>
                <w:lang w:eastAsia="it-IT" w:bidi="it-IT"/>
              </w:rPr>
              <w:t xml:space="preserve"> per </w:t>
            </w:r>
            <w:proofErr w:type="spellStart"/>
            <w:r w:rsidRPr="00F56356">
              <w:rPr>
                <w:rFonts w:ascii="Times New Roman" w:eastAsia="Times New Roman" w:hAnsi="Times New Roman" w:cs="Times New Roman"/>
                <w:w w:val="105"/>
                <w:sz w:val="14"/>
                <w:lang w:eastAsia="it-IT" w:bidi="it-IT"/>
              </w:rPr>
              <w:t>realizzare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l’obiettivo</w:t>
            </w:r>
            <w:proofErr w:type="spellEnd"/>
            <w:r w:rsidRPr="00F56356">
              <w:rPr>
                <w:rFonts w:ascii="Times New Roman" w:eastAsia="Times New Roman" w:hAnsi="Times New Roman" w:cs="Times New Roman"/>
                <w:w w:val="105"/>
                <w:sz w:val="14"/>
                <w:lang w:eastAsia="it-IT" w:bidi="it-IT"/>
              </w:rPr>
              <w:t xml:space="preserve"> in termini di </w:t>
            </w:r>
            <w:proofErr w:type="spellStart"/>
            <w:r w:rsidRPr="00F56356">
              <w:rPr>
                <w:rFonts w:ascii="Times New Roman" w:eastAsia="Times New Roman" w:hAnsi="Times New Roman" w:cs="Times New Roman"/>
                <w:w w:val="105"/>
                <w:sz w:val="14"/>
                <w:lang w:eastAsia="it-IT" w:bidi="it-IT"/>
              </w:rPr>
              <w:t>pagamenti</w:t>
            </w:r>
            <w:proofErr w:type="spellEnd"/>
            <w:r w:rsidRPr="00F56356">
              <w:rPr>
                <w:rFonts w:ascii="Times New Roman" w:eastAsia="Times New Roman" w:hAnsi="Times New Roman" w:cs="Times New Roman"/>
                <w:w w:val="105"/>
                <w:sz w:val="14"/>
                <w:lang w:eastAsia="it-IT" w:bidi="it-IT"/>
              </w:rPr>
              <w:t xml:space="preserve"> in c/</w:t>
            </w:r>
            <w:proofErr w:type="spellStart"/>
            <w:r w:rsidRPr="00F56356">
              <w:rPr>
                <w:rFonts w:ascii="Times New Roman" w:eastAsia="Times New Roman" w:hAnsi="Times New Roman" w:cs="Times New Roman"/>
                <w:w w:val="105"/>
                <w:sz w:val="14"/>
                <w:lang w:eastAsia="it-IT" w:bidi="it-IT"/>
              </w:rPr>
              <w:t>competenza</w:t>
            </w:r>
            <w:proofErr w:type="spellEnd"/>
          </w:p>
        </w:tc>
      </w:tr>
      <w:tr w:rsidR="00F56356" w:rsidRPr="00F56356" w14:paraId="3EB6DE46" w14:textId="77777777" w:rsidTr="00F56356">
        <w:trPr>
          <w:trHeight w:val="230"/>
          <w:jc w:val="right"/>
        </w:trPr>
        <w:tc>
          <w:tcPr>
            <w:tcW w:w="9244" w:type="dxa"/>
            <w:gridSpan w:val="7"/>
            <w:tcBorders>
              <w:top w:val="nil"/>
            </w:tcBorders>
          </w:tcPr>
          <w:p w14:paraId="18EC5CF5" w14:textId="77777777" w:rsidR="00F56356" w:rsidRPr="00F56356" w:rsidRDefault="00F56356" w:rsidP="00F56356">
            <w:pPr>
              <w:spacing w:before="35"/>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(4</w:t>
            </w:r>
            <w:r w:rsidRPr="00F56356">
              <w:rPr>
                <w:rFonts w:ascii="Times New Roman" w:eastAsia="Times New Roman" w:hAnsi="Times New Roman" w:cs="Times New Roman"/>
                <w:b/>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impegni</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rimasti</w:t>
            </w:r>
            <w:proofErr w:type="spellEnd"/>
            <w:r w:rsidRPr="00F56356">
              <w:rPr>
                <w:rFonts w:ascii="Times New Roman" w:eastAsia="Times New Roman" w:hAnsi="Times New Roman" w:cs="Times New Roman"/>
                <w:w w:val="105"/>
                <w:sz w:val="14"/>
                <w:lang w:eastAsia="it-IT" w:bidi="it-IT"/>
              </w:rPr>
              <w:t xml:space="preserve"> da </w:t>
            </w:r>
            <w:proofErr w:type="spellStart"/>
            <w:r w:rsidRPr="00F56356">
              <w:rPr>
                <w:rFonts w:ascii="Times New Roman" w:eastAsia="Times New Roman" w:hAnsi="Times New Roman" w:cs="Times New Roman"/>
                <w:w w:val="105"/>
                <w:sz w:val="14"/>
                <w:lang w:eastAsia="it-IT" w:bidi="it-IT"/>
              </w:rPr>
              <w:t>pagare</w:t>
            </w:r>
            <w:proofErr w:type="spellEnd"/>
            <w:r w:rsidRPr="00F56356">
              <w:rPr>
                <w:rFonts w:ascii="Times New Roman" w:eastAsia="Times New Roman" w:hAnsi="Times New Roman" w:cs="Times New Roman"/>
                <w:w w:val="105"/>
                <w:sz w:val="14"/>
                <w:lang w:eastAsia="it-IT" w:bidi="it-IT"/>
              </w:rPr>
              <w:t xml:space="preserve"> in c/</w:t>
            </w:r>
            <w:proofErr w:type="spellStart"/>
            <w:r w:rsidRPr="00F56356">
              <w:rPr>
                <w:rFonts w:ascii="Times New Roman" w:eastAsia="Times New Roman" w:hAnsi="Times New Roman" w:cs="Times New Roman"/>
                <w:w w:val="105"/>
                <w:sz w:val="14"/>
                <w:lang w:eastAsia="it-IT" w:bidi="it-IT"/>
              </w:rPr>
              <w:t>competenza</w:t>
            </w:r>
            <w:proofErr w:type="spellEnd"/>
            <w:r w:rsidRPr="00F56356">
              <w:rPr>
                <w:rFonts w:ascii="Times New Roman" w:eastAsia="Times New Roman" w:hAnsi="Times New Roman" w:cs="Times New Roman"/>
                <w:w w:val="105"/>
                <w:sz w:val="14"/>
                <w:lang w:eastAsia="it-IT" w:bidi="it-IT"/>
              </w:rPr>
              <w:t xml:space="preserve"> al </w:t>
            </w:r>
            <w:proofErr w:type="spellStart"/>
            <w:r w:rsidRPr="00F56356">
              <w:rPr>
                <w:rFonts w:ascii="Times New Roman" w:eastAsia="Times New Roman" w:hAnsi="Times New Roman" w:cs="Times New Roman"/>
                <w:w w:val="105"/>
                <w:sz w:val="14"/>
                <w:lang w:eastAsia="it-IT" w:bidi="it-IT"/>
              </w:rPr>
              <w:t>termine</w:t>
            </w:r>
            <w:proofErr w:type="spellEnd"/>
            <w:r w:rsidRPr="00F56356">
              <w:rPr>
                <w:rFonts w:ascii="Times New Roman" w:eastAsia="Times New Roman" w:hAnsi="Times New Roman" w:cs="Times New Roman"/>
                <w:w w:val="105"/>
                <w:sz w:val="14"/>
                <w:lang w:eastAsia="it-IT" w:bidi="it-IT"/>
              </w:rPr>
              <w:t xml:space="preserve"> </w:t>
            </w:r>
            <w:proofErr w:type="spellStart"/>
            <w:r w:rsidRPr="00F56356">
              <w:rPr>
                <w:rFonts w:ascii="Times New Roman" w:eastAsia="Times New Roman" w:hAnsi="Times New Roman" w:cs="Times New Roman"/>
                <w:w w:val="105"/>
                <w:sz w:val="14"/>
                <w:lang w:eastAsia="it-IT" w:bidi="it-IT"/>
              </w:rPr>
              <w:t>dell’esercizio</w:t>
            </w:r>
            <w:proofErr w:type="spellEnd"/>
            <w:r w:rsidRPr="00F56356">
              <w:rPr>
                <w:rFonts w:ascii="Times New Roman" w:eastAsia="Times New Roman" w:hAnsi="Times New Roman" w:cs="Times New Roman"/>
                <w:w w:val="105"/>
                <w:sz w:val="14"/>
                <w:lang w:eastAsia="it-IT" w:bidi="it-IT"/>
              </w:rPr>
              <w:t>.</w:t>
            </w:r>
          </w:p>
        </w:tc>
      </w:tr>
      <w:tr w:rsidR="00F56356" w:rsidRPr="00F56356" w14:paraId="491BC714" w14:textId="77777777" w:rsidTr="00F56356">
        <w:trPr>
          <w:trHeight w:val="193"/>
          <w:jc w:val="right"/>
        </w:trPr>
        <w:tc>
          <w:tcPr>
            <w:tcW w:w="9244" w:type="dxa"/>
            <w:gridSpan w:val="7"/>
          </w:tcPr>
          <w:p w14:paraId="0879F0E9" w14:textId="77777777" w:rsidR="00F56356" w:rsidRPr="00F56356" w:rsidRDefault="00F56356" w:rsidP="00F56356">
            <w:pPr>
              <w:spacing w:before="8"/>
              <w:ind w:left="3383" w:right="3371"/>
              <w:jc w:val="center"/>
              <w:rPr>
                <w:rFonts w:ascii="Times New Roman" w:eastAsia="Times New Roman" w:hAnsi="Times New Roman" w:cs="Times New Roman"/>
                <w:b/>
                <w:i/>
                <w:sz w:val="14"/>
                <w:lang w:eastAsia="it-IT" w:bidi="it-IT"/>
              </w:rPr>
            </w:pPr>
            <w:r w:rsidRPr="00F56356">
              <w:rPr>
                <w:rFonts w:ascii="Times New Roman" w:eastAsia="Times New Roman" w:hAnsi="Times New Roman" w:cs="Times New Roman"/>
                <w:b/>
                <w:i/>
                <w:w w:val="105"/>
                <w:sz w:val="14"/>
                <w:lang w:eastAsia="it-IT" w:bidi="it-IT"/>
              </w:rPr>
              <w:t>INDICATORI DI RISULTATO</w:t>
            </w:r>
          </w:p>
        </w:tc>
      </w:tr>
      <w:tr w:rsidR="00F56356" w:rsidRPr="00F56356" w14:paraId="4C46FA52" w14:textId="77777777" w:rsidTr="00F56356">
        <w:trPr>
          <w:trHeight w:val="659"/>
          <w:jc w:val="right"/>
        </w:trPr>
        <w:tc>
          <w:tcPr>
            <w:tcW w:w="2179" w:type="dxa"/>
          </w:tcPr>
          <w:p w14:paraId="49B11917" w14:textId="77777777" w:rsidR="00F56356" w:rsidRPr="00F56356" w:rsidRDefault="00F56356" w:rsidP="00F56356">
            <w:pPr>
              <w:spacing w:before="9"/>
              <w:rPr>
                <w:rFonts w:ascii="Times New Roman" w:eastAsia="Times New Roman" w:hAnsi="Times New Roman" w:cs="Times New Roman"/>
                <w:sz w:val="21"/>
                <w:lang w:eastAsia="it-IT" w:bidi="it-IT"/>
              </w:rPr>
            </w:pPr>
          </w:p>
          <w:p w14:paraId="2A1C647E" w14:textId="77777777" w:rsidR="00F56356" w:rsidRPr="00F56356" w:rsidRDefault="00F56356" w:rsidP="00F56356">
            <w:pPr>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DESCRIZIONE</w:t>
            </w:r>
          </w:p>
        </w:tc>
        <w:tc>
          <w:tcPr>
            <w:tcW w:w="7065" w:type="dxa"/>
            <w:gridSpan w:val="6"/>
          </w:tcPr>
          <w:p w14:paraId="1E480726" w14:textId="77777777" w:rsidR="00F56356" w:rsidRPr="00F56356" w:rsidRDefault="00F56356" w:rsidP="00F56356">
            <w:pPr>
              <w:spacing w:before="25" w:line="266" w:lineRule="auto"/>
              <w:ind w:left="31" w:right="5" w:hanging="1"/>
              <w:jc w:val="both"/>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Tempestività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nell’emanazione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erogazione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risorse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spettante</w:t>
            </w:r>
            <w:proofErr w:type="spellEnd"/>
            <w:r w:rsidRPr="00F56356">
              <w:rPr>
                <w:rFonts w:ascii="Times New Roman" w:eastAsia="Times New Roman" w:hAnsi="Times New Roman" w:cs="Times New Roman"/>
                <w:sz w:val="16"/>
                <w:lang w:eastAsia="it-IT" w:bidi="it-IT"/>
              </w:rPr>
              <w:t xml:space="preserve"> ai </w:t>
            </w:r>
            <w:proofErr w:type="spellStart"/>
            <w:r w:rsidRPr="00F56356">
              <w:rPr>
                <w:rFonts w:ascii="Times New Roman" w:eastAsia="Times New Roman" w:hAnsi="Times New Roman" w:cs="Times New Roman"/>
                <w:sz w:val="16"/>
                <w:lang w:eastAsia="it-IT" w:bidi="it-IT"/>
              </w:rPr>
              <w:t>comuni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entro</w:t>
            </w:r>
            <w:proofErr w:type="spellEnd"/>
            <w:r w:rsidRPr="00F56356">
              <w:rPr>
                <w:rFonts w:ascii="Times New Roman" w:eastAsia="Times New Roman" w:hAnsi="Times New Roman" w:cs="Times New Roman"/>
                <w:sz w:val="16"/>
                <w:lang w:eastAsia="it-IT" w:bidi="it-IT"/>
              </w:rPr>
              <w:t xml:space="preserve"> 60 </w:t>
            </w:r>
            <w:proofErr w:type="spellStart"/>
            <w:r w:rsidRPr="00F56356">
              <w:rPr>
                <w:rFonts w:ascii="Times New Roman" w:eastAsia="Times New Roman" w:hAnsi="Times New Roman" w:cs="Times New Roman"/>
                <w:sz w:val="16"/>
                <w:lang w:eastAsia="it-IT" w:bidi="it-IT"/>
              </w:rPr>
              <w:t>giorni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pubblicazione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individua </w:t>
            </w:r>
            <w:proofErr w:type="spellStart"/>
            <w:r w:rsidRPr="00F56356">
              <w:rPr>
                <w:rFonts w:ascii="Times New Roman" w:eastAsia="Times New Roman" w:hAnsi="Times New Roman" w:cs="Times New Roman"/>
                <w:sz w:val="16"/>
                <w:lang w:eastAsia="it-IT" w:bidi="it-IT"/>
              </w:rPr>
              <w:t>gli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interventi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ammessi</w:t>
            </w:r>
            <w:proofErr w:type="spellEnd"/>
            <w:r w:rsidRPr="00F56356">
              <w:rPr>
                <w:rFonts w:ascii="Times New Roman" w:eastAsia="Times New Roman" w:hAnsi="Times New Roman" w:cs="Times New Roman"/>
                <w:sz w:val="16"/>
                <w:lang w:eastAsia="it-IT" w:bidi="it-IT"/>
              </w:rPr>
              <w:t xml:space="preserve"> al </w:t>
            </w:r>
            <w:proofErr w:type="spellStart"/>
            <w:r w:rsidRPr="00F56356">
              <w:rPr>
                <w:rFonts w:ascii="Times New Roman" w:eastAsia="Times New Roman" w:hAnsi="Times New Roman" w:cs="Times New Roman"/>
                <w:sz w:val="16"/>
                <w:lang w:eastAsia="it-IT" w:bidi="it-IT"/>
              </w:rPr>
              <w:t>finanziamento</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valere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annualità</w:t>
            </w:r>
            <w:proofErr w:type="spellEnd"/>
            <w:r w:rsidRPr="00F56356">
              <w:rPr>
                <w:rFonts w:ascii="Times New Roman" w:eastAsia="Times New Roman" w:hAnsi="Times New Roman" w:cs="Times New Roman"/>
                <w:sz w:val="16"/>
                <w:lang w:eastAsia="it-IT" w:bidi="it-IT"/>
              </w:rPr>
              <w:t xml:space="preserve"> 2022 del</w:t>
            </w:r>
            <w:r w:rsidRPr="00F56356">
              <w:rPr>
                <w:rFonts w:ascii="Times New Roman" w:eastAsia="Times New Roman" w:hAnsi="Times New Roman" w:cs="Times New Roman"/>
                <w:spacing w:val="3"/>
                <w:sz w:val="16"/>
                <w:lang w:eastAsia="it-IT" w:bidi="it-IT"/>
              </w:rPr>
              <w:t xml:space="preserve">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w:t>
            </w:r>
          </w:p>
        </w:tc>
      </w:tr>
      <w:tr w:rsidR="00F56356" w:rsidRPr="00F56356" w14:paraId="6492282D" w14:textId="77777777" w:rsidTr="00F56356">
        <w:trPr>
          <w:trHeight w:val="239"/>
          <w:jc w:val="right"/>
        </w:trPr>
        <w:tc>
          <w:tcPr>
            <w:tcW w:w="2179" w:type="dxa"/>
          </w:tcPr>
          <w:p w14:paraId="59FDFA7F" w14:textId="77777777" w:rsidR="00F56356" w:rsidRPr="00F56356" w:rsidRDefault="00F56356" w:rsidP="00F56356">
            <w:pPr>
              <w:spacing w:before="39"/>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FONTE DEL DATO</w:t>
            </w:r>
          </w:p>
        </w:tc>
        <w:tc>
          <w:tcPr>
            <w:tcW w:w="7065" w:type="dxa"/>
            <w:gridSpan w:val="6"/>
          </w:tcPr>
          <w:p w14:paraId="7F7FCAC0" w14:textId="77777777" w:rsidR="00F56356" w:rsidRPr="00F56356" w:rsidRDefault="00F56356" w:rsidP="00F56356">
            <w:pPr>
              <w:spacing w:before="18"/>
              <w:ind w:left="71"/>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 xml:space="preserve">Sistema di </w:t>
            </w:r>
            <w:proofErr w:type="spellStart"/>
            <w:r w:rsidRPr="00F56356">
              <w:rPr>
                <w:rFonts w:ascii="Times New Roman" w:eastAsia="Times New Roman" w:hAnsi="Times New Roman" w:cs="Times New Roman"/>
                <w:sz w:val="16"/>
                <w:lang w:eastAsia="it-IT" w:bidi="it-IT"/>
              </w:rPr>
              <w:t>posta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elettronica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Protocollo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informatico</w:t>
            </w:r>
            <w:proofErr w:type="spellEnd"/>
          </w:p>
        </w:tc>
      </w:tr>
      <w:tr w:rsidR="00F56356" w:rsidRPr="00F56356" w14:paraId="63D118CB" w14:textId="77777777" w:rsidTr="00F56356">
        <w:trPr>
          <w:trHeight w:val="1669"/>
          <w:jc w:val="right"/>
        </w:trPr>
        <w:tc>
          <w:tcPr>
            <w:tcW w:w="2179" w:type="dxa"/>
          </w:tcPr>
          <w:p w14:paraId="561C2D13" w14:textId="77777777" w:rsidR="00F56356" w:rsidRPr="00F56356" w:rsidRDefault="00F56356" w:rsidP="00F56356">
            <w:pPr>
              <w:rPr>
                <w:rFonts w:ascii="Times New Roman" w:eastAsia="Times New Roman" w:hAnsi="Times New Roman" w:cs="Times New Roman"/>
                <w:sz w:val="16"/>
                <w:lang w:eastAsia="it-IT" w:bidi="it-IT"/>
              </w:rPr>
            </w:pPr>
          </w:p>
          <w:p w14:paraId="11FA0CDE" w14:textId="77777777" w:rsidR="00F56356" w:rsidRPr="00F56356" w:rsidRDefault="00F56356" w:rsidP="00F56356">
            <w:pPr>
              <w:rPr>
                <w:rFonts w:ascii="Times New Roman" w:eastAsia="Times New Roman" w:hAnsi="Times New Roman" w:cs="Times New Roman"/>
                <w:sz w:val="16"/>
                <w:lang w:eastAsia="it-IT" w:bidi="it-IT"/>
              </w:rPr>
            </w:pPr>
          </w:p>
          <w:p w14:paraId="40CC67C1" w14:textId="77777777" w:rsidR="00F56356" w:rsidRPr="00F56356" w:rsidRDefault="00F56356" w:rsidP="00F56356">
            <w:pPr>
              <w:rPr>
                <w:rFonts w:ascii="Times New Roman" w:eastAsia="Times New Roman" w:hAnsi="Times New Roman" w:cs="Times New Roman"/>
                <w:sz w:val="16"/>
                <w:lang w:eastAsia="it-IT" w:bidi="it-IT"/>
              </w:rPr>
            </w:pPr>
          </w:p>
          <w:p w14:paraId="7CB53F69" w14:textId="77777777" w:rsidR="00F56356" w:rsidRPr="00F56356" w:rsidRDefault="00F56356" w:rsidP="00F56356">
            <w:pPr>
              <w:spacing w:before="7"/>
              <w:rPr>
                <w:rFonts w:ascii="Times New Roman" w:eastAsia="Times New Roman" w:hAnsi="Times New Roman" w:cs="Times New Roman"/>
                <w:sz w:val="17"/>
                <w:lang w:eastAsia="it-IT" w:bidi="it-IT"/>
              </w:rPr>
            </w:pPr>
          </w:p>
          <w:p w14:paraId="504E995A" w14:textId="77777777" w:rsidR="00F56356" w:rsidRPr="00F56356" w:rsidRDefault="00F56356" w:rsidP="00F56356">
            <w:pPr>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METODO DI CALCOLO</w:t>
            </w:r>
          </w:p>
        </w:tc>
        <w:tc>
          <w:tcPr>
            <w:tcW w:w="3208" w:type="dxa"/>
            <w:gridSpan w:val="3"/>
          </w:tcPr>
          <w:p w14:paraId="725DF56C" w14:textId="77777777" w:rsidR="00F56356" w:rsidRPr="00F56356" w:rsidRDefault="00F56356" w:rsidP="00F56356">
            <w:pPr>
              <w:spacing w:before="121" w:line="266" w:lineRule="auto"/>
              <w:ind w:left="30" w:right="6"/>
              <w:jc w:val="both"/>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Trasmissione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all’Ufficio</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bilancio</w:t>
            </w:r>
            <w:proofErr w:type="spellEnd"/>
            <w:r w:rsidRPr="00F56356">
              <w:rPr>
                <w:rFonts w:ascii="Times New Roman" w:eastAsia="Times New Roman" w:hAnsi="Times New Roman" w:cs="Times New Roman"/>
                <w:sz w:val="16"/>
                <w:lang w:eastAsia="it-IT" w:bidi="it-IT"/>
              </w:rPr>
              <w:t xml:space="preserve"> e per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riscontro</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regolarità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amministrativo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contabile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dipartimentale</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erogazione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risorse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spettante</w:t>
            </w:r>
            <w:proofErr w:type="spellEnd"/>
            <w:r w:rsidRPr="00F56356">
              <w:rPr>
                <w:rFonts w:ascii="Times New Roman" w:eastAsia="Times New Roman" w:hAnsi="Times New Roman" w:cs="Times New Roman"/>
                <w:sz w:val="16"/>
                <w:lang w:eastAsia="it-IT" w:bidi="it-IT"/>
              </w:rPr>
              <w:t xml:space="preserve"> ai </w:t>
            </w:r>
            <w:proofErr w:type="spellStart"/>
            <w:r w:rsidRPr="00F56356">
              <w:rPr>
                <w:rFonts w:ascii="Times New Roman" w:eastAsia="Times New Roman" w:hAnsi="Times New Roman" w:cs="Times New Roman"/>
                <w:sz w:val="16"/>
                <w:lang w:eastAsia="it-IT" w:bidi="it-IT"/>
              </w:rPr>
              <w:t>comuni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entro</w:t>
            </w:r>
            <w:proofErr w:type="spellEnd"/>
            <w:r w:rsidRPr="00F56356">
              <w:rPr>
                <w:rFonts w:ascii="Times New Roman" w:eastAsia="Times New Roman" w:hAnsi="Times New Roman" w:cs="Times New Roman"/>
                <w:sz w:val="16"/>
                <w:lang w:eastAsia="it-IT" w:bidi="it-IT"/>
              </w:rPr>
              <w:t xml:space="preserve"> </w:t>
            </w:r>
            <w:proofErr w:type="gramStart"/>
            <w:r w:rsidRPr="00F56356">
              <w:rPr>
                <w:rFonts w:ascii="Times New Roman" w:eastAsia="Times New Roman" w:hAnsi="Times New Roman" w:cs="Times New Roman"/>
                <w:sz w:val="16"/>
                <w:lang w:eastAsia="it-IT" w:bidi="it-IT"/>
              </w:rPr>
              <w:t xml:space="preserve">60  </w:t>
            </w:r>
            <w:proofErr w:type="spellStart"/>
            <w:r w:rsidRPr="00F56356">
              <w:rPr>
                <w:rFonts w:ascii="Times New Roman" w:eastAsia="Times New Roman" w:hAnsi="Times New Roman" w:cs="Times New Roman"/>
                <w:sz w:val="16"/>
                <w:lang w:eastAsia="it-IT" w:bidi="it-IT"/>
              </w:rPr>
              <w:t>giorni</w:t>
            </w:r>
            <w:proofErr w:type="spellEnd"/>
            <w:proofErr w:type="gram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pubblicazione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decreto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individua </w:t>
            </w:r>
            <w:proofErr w:type="spellStart"/>
            <w:r w:rsidRPr="00F56356">
              <w:rPr>
                <w:rFonts w:ascii="Times New Roman" w:eastAsia="Times New Roman" w:hAnsi="Times New Roman" w:cs="Times New Roman"/>
                <w:spacing w:val="-2"/>
                <w:sz w:val="16"/>
                <w:lang w:eastAsia="it-IT" w:bidi="it-IT"/>
              </w:rPr>
              <w:t>gli</w:t>
            </w:r>
            <w:proofErr w:type="spellEnd"/>
            <w:r w:rsidRPr="00F56356">
              <w:rPr>
                <w:rFonts w:ascii="Times New Roman" w:eastAsia="Times New Roman" w:hAnsi="Times New Roman" w:cs="Times New Roman"/>
                <w:spacing w:val="-2"/>
                <w:sz w:val="16"/>
                <w:lang w:eastAsia="it-IT" w:bidi="it-IT"/>
              </w:rPr>
              <w:t xml:space="preserve"> </w:t>
            </w:r>
            <w:proofErr w:type="spellStart"/>
            <w:r w:rsidRPr="00F56356">
              <w:rPr>
                <w:rFonts w:ascii="Times New Roman" w:eastAsia="Times New Roman" w:hAnsi="Times New Roman" w:cs="Times New Roman"/>
                <w:sz w:val="16"/>
                <w:lang w:eastAsia="it-IT" w:bidi="it-IT"/>
              </w:rPr>
              <w:t>interventi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ammessi</w:t>
            </w:r>
            <w:proofErr w:type="spellEnd"/>
            <w:r w:rsidRPr="00F56356">
              <w:rPr>
                <w:rFonts w:ascii="Times New Roman" w:eastAsia="Times New Roman" w:hAnsi="Times New Roman" w:cs="Times New Roman"/>
                <w:sz w:val="16"/>
                <w:lang w:eastAsia="it-IT" w:bidi="it-IT"/>
              </w:rPr>
              <w:t xml:space="preserve"> al </w:t>
            </w:r>
            <w:proofErr w:type="spellStart"/>
            <w:r w:rsidRPr="00F56356">
              <w:rPr>
                <w:rFonts w:ascii="Times New Roman" w:eastAsia="Times New Roman" w:hAnsi="Times New Roman" w:cs="Times New Roman"/>
                <w:sz w:val="16"/>
                <w:lang w:eastAsia="it-IT" w:bidi="it-IT"/>
              </w:rPr>
              <w:t>finanziamento</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valere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annualità</w:t>
            </w:r>
            <w:proofErr w:type="spellEnd"/>
            <w:r w:rsidRPr="00F56356">
              <w:rPr>
                <w:rFonts w:ascii="Times New Roman" w:eastAsia="Times New Roman" w:hAnsi="Times New Roman" w:cs="Times New Roman"/>
                <w:sz w:val="16"/>
                <w:lang w:eastAsia="it-IT" w:bidi="it-IT"/>
              </w:rPr>
              <w:t xml:space="preserve"> 2022 del</w:t>
            </w:r>
            <w:r w:rsidRPr="00F56356">
              <w:rPr>
                <w:rFonts w:ascii="Times New Roman" w:eastAsia="Times New Roman" w:hAnsi="Times New Roman" w:cs="Times New Roman"/>
                <w:spacing w:val="3"/>
                <w:sz w:val="16"/>
                <w:lang w:eastAsia="it-IT" w:bidi="it-IT"/>
              </w:rPr>
              <w:t xml:space="preserve">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w:t>
            </w:r>
          </w:p>
        </w:tc>
        <w:tc>
          <w:tcPr>
            <w:tcW w:w="1250" w:type="dxa"/>
          </w:tcPr>
          <w:p w14:paraId="199D275F" w14:textId="77777777" w:rsidR="00F56356" w:rsidRPr="00F56356" w:rsidRDefault="00F56356" w:rsidP="00F56356">
            <w:pPr>
              <w:rPr>
                <w:rFonts w:ascii="Times New Roman" w:eastAsia="Times New Roman" w:hAnsi="Times New Roman" w:cs="Times New Roman"/>
                <w:sz w:val="16"/>
                <w:lang w:eastAsia="it-IT" w:bidi="it-IT"/>
              </w:rPr>
            </w:pPr>
          </w:p>
          <w:p w14:paraId="3CFC3A28" w14:textId="77777777" w:rsidR="00F56356" w:rsidRPr="00F56356" w:rsidRDefault="00F56356" w:rsidP="00F56356">
            <w:pPr>
              <w:rPr>
                <w:rFonts w:ascii="Times New Roman" w:eastAsia="Times New Roman" w:hAnsi="Times New Roman" w:cs="Times New Roman"/>
                <w:sz w:val="16"/>
                <w:lang w:eastAsia="it-IT" w:bidi="it-IT"/>
              </w:rPr>
            </w:pPr>
          </w:p>
          <w:p w14:paraId="334FF7C9" w14:textId="77777777" w:rsidR="00F56356" w:rsidRPr="00F56356" w:rsidRDefault="00F56356" w:rsidP="00F56356">
            <w:pPr>
              <w:rPr>
                <w:rFonts w:ascii="Times New Roman" w:eastAsia="Times New Roman" w:hAnsi="Times New Roman" w:cs="Times New Roman"/>
                <w:sz w:val="16"/>
                <w:lang w:eastAsia="it-IT" w:bidi="it-IT"/>
              </w:rPr>
            </w:pPr>
          </w:p>
          <w:p w14:paraId="1DE19909" w14:textId="77777777" w:rsidR="00F56356" w:rsidRPr="00F56356" w:rsidRDefault="00F56356" w:rsidP="00F56356">
            <w:pPr>
              <w:spacing w:before="111" w:line="276" w:lineRule="auto"/>
              <w:ind w:left="319" w:hanging="111"/>
              <w:rPr>
                <w:rFonts w:ascii="Times New Roman" w:eastAsia="Times New Roman" w:hAnsi="Times New Roman" w:cs="Times New Roman"/>
                <w:sz w:val="14"/>
                <w:lang w:eastAsia="it-IT" w:bidi="it-IT"/>
              </w:rPr>
            </w:pPr>
            <w:proofErr w:type="spellStart"/>
            <w:r w:rsidRPr="00F56356">
              <w:rPr>
                <w:rFonts w:ascii="Times New Roman" w:eastAsia="Times New Roman" w:hAnsi="Times New Roman" w:cs="Times New Roman"/>
                <w:w w:val="105"/>
                <w:sz w:val="14"/>
                <w:lang w:eastAsia="it-IT" w:bidi="it-IT"/>
              </w:rPr>
              <w:t>Valori</w:t>
            </w:r>
            <w:proofErr w:type="spellEnd"/>
            <w:r w:rsidRPr="00F56356">
              <w:rPr>
                <w:rFonts w:ascii="Times New Roman" w:eastAsia="Times New Roman" w:hAnsi="Times New Roman" w:cs="Times New Roman"/>
                <w:w w:val="105"/>
                <w:sz w:val="14"/>
                <w:lang w:eastAsia="it-IT" w:bidi="it-IT"/>
              </w:rPr>
              <w:t xml:space="preserve"> target a </w:t>
            </w:r>
            <w:proofErr w:type="spellStart"/>
            <w:r w:rsidRPr="00F56356">
              <w:rPr>
                <w:rFonts w:ascii="Times New Roman" w:eastAsia="Times New Roman" w:hAnsi="Times New Roman" w:cs="Times New Roman"/>
                <w:w w:val="105"/>
                <w:sz w:val="14"/>
                <w:lang w:eastAsia="it-IT" w:bidi="it-IT"/>
              </w:rPr>
              <w:t>preventivo</w:t>
            </w:r>
            <w:proofErr w:type="spellEnd"/>
          </w:p>
        </w:tc>
        <w:tc>
          <w:tcPr>
            <w:tcW w:w="1250" w:type="dxa"/>
          </w:tcPr>
          <w:p w14:paraId="72B8BEE4" w14:textId="77777777" w:rsidR="00F56356" w:rsidRPr="00F56356" w:rsidRDefault="00F56356" w:rsidP="00F56356">
            <w:pPr>
              <w:rPr>
                <w:rFonts w:ascii="Times New Roman" w:eastAsia="Times New Roman" w:hAnsi="Times New Roman" w:cs="Times New Roman"/>
                <w:sz w:val="16"/>
                <w:lang w:eastAsia="it-IT" w:bidi="it-IT"/>
              </w:rPr>
            </w:pPr>
          </w:p>
          <w:p w14:paraId="34801BC0" w14:textId="77777777" w:rsidR="00F56356" w:rsidRPr="00F56356" w:rsidRDefault="00F56356" w:rsidP="00F56356">
            <w:pPr>
              <w:rPr>
                <w:rFonts w:ascii="Times New Roman" w:eastAsia="Times New Roman" w:hAnsi="Times New Roman" w:cs="Times New Roman"/>
                <w:sz w:val="16"/>
                <w:lang w:eastAsia="it-IT" w:bidi="it-IT"/>
              </w:rPr>
            </w:pPr>
          </w:p>
          <w:p w14:paraId="31B57662" w14:textId="77777777" w:rsidR="00F56356" w:rsidRPr="00F56356" w:rsidRDefault="00F56356" w:rsidP="00F56356">
            <w:pPr>
              <w:rPr>
                <w:rFonts w:ascii="Times New Roman" w:eastAsia="Times New Roman" w:hAnsi="Times New Roman" w:cs="Times New Roman"/>
                <w:sz w:val="16"/>
                <w:lang w:eastAsia="it-IT" w:bidi="it-IT"/>
              </w:rPr>
            </w:pPr>
          </w:p>
          <w:p w14:paraId="198B5B15" w14:textId="77777777" w:rsidR="00F56356" w:rsidRPr="00F56356" w:rsidRDefault="00F56356" w:rsidP="00F56356">
            <w:pPr>
              <w:spacing w:before="111" w:line="276" w:lineRule="auto"/>
              <w:ind w:left="313" w:hanging="104"/>
              <w:rPr>
                <w:rFonts w:ascii="Times New Roman" w:eastAsia="Times New Roman" w:hAnsi="Times New Roman" w:cs="Times New Roman"/>
                <w:sz w:val="14"/>
                <w:lang w:eastAsia="it-IT" w:bidi="it-IT"/>
              </w:rPr>
            </w:pPr>
            <w:proofErr w:type="spellStart"/>
            <w:r w:rsidRPr="00F56356">
              <w:rPr>
                <w:rFonts w:ascii="Times New Roman" w:eastAsia="Times New Roman" w:hAnsi="Times New Roman" w:cs="Times New Roman"/>
                <w:w w:val="105"/>
                <w:sz w:val="14"/>
                <w:lang w:eastAsia="it-IT" w:bidi="it-IT"/>
              </w:rPr>
              <w:t>Valori</w:t>
            </w:r>
            <w:proofErr w:type="spellEnd"/>
            <w:r w:rsidRPr="00F56356">
              <w:rPr>
                <w:rFonts w:ascii="Times New Roman" w:eastAsia="Times New Roman" w:hAnsi="Times New Roman" w:cs="Times New Roman"/>
                <w:w w:val="105"/>
                <w:sz w:val="14"/>
                <w:lang w:eastAsia="it-IT" w:bidi="it-IT"/>
              </w:rPr>
              <w:t xml:space="preserve"> target a </w:t>
            </w:r>
            <w:proofErr w:type="spellStart"/>
            <w:r w:rsidRPr="00F56356">
              <w:rPr>
                <w:rFonts w:ascii="Times New Roman" w:eastAsia="Times New Roman" w:hAnsi="Times New Roman" w:cs="Times New Roman"/>
                <w:w w:val="105"/>
                <w:sz w:val="14"/>
                <w:lang w:eastAsia="it-IT" w:bidi="it-IT"/>
              </w:rPr>
              <w:t>consuntivo</w:t>
            </w:r>
            <w:proofErr w:type="spellEnd"/>
          </w:p>
        </w:tc>
        <w:tc>
          <w:tcPr>
            <w:tcW w:w="1357" w:type="dxa"/>
          </w:tcPr>
          <w:p w14:paraId="1231E111" w14:textId="77777777" w:rsidR="00F56356" w:rsidRPr="00F56356" w:rsidRDefault="00F56356" w:rsidP="00F56356">
            <w:pPr>
              <w:rPr>
                <w:rFonts w:ascii="Times New Roman" w:eastAsia="Times New Roman" w:hAnsi="Times New Roman" w:cs="Times New Roman"/>
                <w:sz w:val="16"/>
                <w:lang w:eastAsia="it-IT" w:bidi="it-IT"/>
              </w:rPr>
            </w:pPr>
          </w:p>
          <w:p w14:paraId="1E93F1A4" w14:textId="77777777" w:rsidR="00F56356" w:rsidRPr="00F56356" w:rsidRDefault="00F56356" w:rsidP="00F56356">
            <w:pPr>
              <w:rPr>
                <w:rFonts w:ascii="Times New Roman" w:eastAsia="Times New Roman" w:hAnsi="Times New Roman" w:cs="Times New Roman"/>
                <w:sz w:val="16"/>
                <w:lang w:eastAsia="it-IT" w:bidi="it-IT"/>
              </w:rPr>
            </w:pPr>
          </w:p>
          <w:p w14:paraId="2CA9D75A" w14:textId="77777777" w:rsidR="00F56356" w:rsidRPr="00F56356" w:rsidRDefault="00F56356" w:rsidP="00F56356">
            <w:pPr>
              <w:rPr>
                <w:rFonts w:ascii="Times New Roman" w:eastAsia="Times New Roman" w:hAnsi="Times New Roman" w:cs="Times New Roman"/>
                <w:sz w:val="16"/>
                <w:lang w:eastAsia="it-IT" w:bidi="it-IT"/>
              </w:rPr>
            </w:pPr>
          </w:p>
          <w:p w14:paraId="0AB76912" w14:textId="77777777" w:rsidR="00F56356" w:rsidRPr="00F56356" w:rsidRDefault="00F56356" w:rsidP="00F56356">
            <w:pPr>
              <w:spacing w:before="7"/>
              <w:rPr>
                <w:rFonts w:ascii="Times New Roman" w:eastAsia="Times New Roman" w:hAnsi="Times New Roman" w:cs="Times New Roman"/>
                <w:sz w:val="17"/>
                <w:lang w:eastAsia="it-IT" w:bidi="it-IT"/>
              </w:rPr>
            </w:pPr>
          </w:p>
          <w:p w14:paraId="3946950E" w14:textId="77777777" w:rsidR="00F56356" w:rsidRPr="00F56356" w:rsidRDefault="00F56356" w:rsidP="00F56356">
            <w:pPr>
              <w:ind w:left="174"/>
              <w:rPr>
                <w:rFonts w:ascii="Times New Roman" w:eastAsia="Times New Roman" w:hAnsi="Times New Roman" w:cs="Times New Roman"/>
                <w:sz w:val="14"/>
                <w:lang w:eastAsia="it-IT" w:bidi="it-IT"/>
              </w:rPr>
            </w:pPr>
            <w:proofErr w:type="spellStart"/>
            <w:r w:rsidRPr="00F56356">
              <w:rPr>
                <w:rFonts w:ascii="Times New Roman" w:eastAsia="Times New Roman" w:hAnsi="Times New Roman" w:cs="Times New Roman"/>
                <w:w w:val="105"/>
                <w:sz w:val="14"/>
                <w:lang w:eastAsia="it-IT" w:bidi="it-IT"/>
              </w:rPr>
              <w:t>Scostamento</w:t>
            </w:r>
            <w:proofErr w:type="spellEnd"/>
          </w:p>
        </w:tc>
      </w:tr>
      <w:tr w:rsidR="00F56356" w:rsidRPr="00F56356" w14:paraId="41D4546E" w14:textId="77777777" w:rsidTr="00F56356">
        <w:trPr>
          <w:trHeight w:val="275"/>
          <w:jc w:val="right"/>
        </w:trPr>
        <w:tc>
          <w:tcPr>
            <w:tcW w:w="2179" w:type="dxa"/>
          </w:tcPr>
          <w:p w14:paraId="67B1145C" w14:textId="77777777" w:rsidR="00F56356" w:rsidRPr="00F56356" w:rsidRDefault="00F56356" w:rsidP="00F56356">
            <w:pPr>
              <w:spacing w:before="58"/>
              <w:ind w:left="28"/>
              <w:rPr>
                <w:rFonts w:ascii="Times New Roman" w:eastAsia="Times New Roman" w:hAnsi="Times New Roman" w:cs="Times New Roman"/>
                <w:sz w:val="14"/>
                <w:lang w:eastAsia="it-IT" w:bidi="it-IT"/>
              </w:rPr>
            </w:pPr>
            <w:r w:rsidRPr="00F56356">
              <w:rPr>
                <w:rFonts w:ascii="Times New Roman" w:eastAsia="Times New Roman" w:hAnsi="Times New Roman" w:cs="Times New Roman"/>
                <w:w w:val="105"/>
                <w:sz w:val="14"/>
                <w:lang w:eastAsia="it-IT" w:bidi="it-IT"/>
              </w:rPr>
              <w:t>UNITA’ DI MISURA (</w:t>
            </w:r>
            <w:proofErr w:type="spellStart"/>
            <w:r w:rsidRPr="00F56356">
              <w:rPr>
                <w:rFonts w:ascii="Times New Roman" w:eastAsia="Times New Roman" w:hAnsi="Times New Roman" w:cs="Times New Roman"/>
                <w:w w:val="105"/>
                <w:sz w:val="14"/>
                <w:lang w:eastAsia="it-IT" w:bidi="it-IT"/>
              </w:rPr>
              <w:t>valore</w:t>
            </w:r>
            <w:proofErr w:type="spellEnd"/>
            <w:r w:rsidRPr="00F56356">
              <w:rPr>
                <w:rFonts w:ascii="Times New Roman" w:eastAsia="Times New Roman" w:hAnsi="Times New Roman" w:cs="Times New Roman"/>
                <w:w w:val="105"/>
                <w:sz w:val="14"/>
                <w:lang w:eastAsia="it-IT" w:bidi="it-IT"/>
              </w:rPr>
              <w:t xml:space="preserve"> in)</w:t>
            </w:r>
          </w:p>
        </w:tc>
        <w:tc>
          <w:tcPr>
            <w:tcW w:w="3208" w:type="dxa"/>
            <w:gridSpan w:val="3"/>
          </w:tcPr>
          <w:p w14:paraId="0F670DDA" w14:textId="77777777" w:rsidR="00F56356" w:rsidRPr="00F56356" w:rsidRDefault="00F56356" w:rsidP="00F56356">
            <w:pPr>
              <w:spacing w:before="35"/>
              <w:ind w:left="1084"/>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Giorni</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ritardo</w:t>
            </w:r>
            <w:proofErr w:type="spellEnd"/>
          </w:p>
        </w:tc>
        <w:tc>
          <w:tcPr>
            <w:tcW w:w="1250" w:type="dxa"/>
          </w:tcPr>
          <w:p w14:paraId="7F8B2468" w14:textId="77777777" w:rsidR="00F56356" w:rsidRPr="00F56356" w:rsidRDefault="00F56356" w:rsidP="00F56356">
            <w:pPr>
              <w:spacing w:before="44"/>
              <w:ind w:left="32"/>
              <w:jc w:val="center"/>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0</w:t>
            </w:r>
          </w:p>
        </w:tc>
        <w:tc>
          <w:tcPr>
            <w:tcW w:w="1250" w:type="dxa"/>
          </w:tcPr>
          <w:p w14:paraId="18009D2C" w14:textId="77777777" w:rsidR="00F56356" w:rsidRPr="00F56356" w:rsidRDefault="00F56356" w:rsidP="00F56356">
            <w:pPr>
              <w:spacing w:before="47"/>
              <w:ind w:left="18"/>
              <w:jc w:val="center"/>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0</w:t>
            </w:r>
          </w:p>
        </w:tc>
        <w:tc>
          <w:tcPr>
            <w:tcW w:w="1357" w:type="dxa"/>
          </w:tcPr>
          <w:p w14:paraId="6A9A7055" w14:textId="77777777" w:rsidR="00F56356" w:rsidRPr="00F56356" w:rsidRDefault="00F56356" w:rsidP="00F56356">
            <w:pPr>
              <w:spacing w:before="47"/>
              <w:ind w:left="19"/>
              <w:jc w:val="center"/>
              <w:rPr>
                <w:rFonts w:ascii="Times New Roman" w:eastAsia="Times New Roman" w:hAnsi="Times New Roman" w:cs="Times New Roman"/>
                <w:sz w:val="16"/>
                <w:lang w:eastAsia="it-IT" w:bidi="it-IT"/>
              </w:rPr>
            </w:pPr>
            <w:r w:rsidRPr="00F56356">
              <w:rPr>
                <w:rFonts w:ascii="Times New Roman" w:eastAsia="Times New Roman" w:hAnsi="Times New Roman" w:cs="Times New Roman"/>
                <w:sz w:val="16"/>
                <w:lang w:eastAsia="it-IT" w:bidi="it-IT"/>
              </w:rPr>
              <w:t>0</w:t>
            </w:r>
          </w:p>
        </w:tc>
      </w:tr>
      <w:tr w:rsidR="00F56356" w:rsidRPr="00F56356" w14:paraId="6D539D55" w14:textId="77777777" w:rsidTr="00F56356">
        <w:trPr>
          <w:trHeight w:val="1483"/>
          <w:jc w:val="right"/>
        </w:trPr>
        <w:tc>
          <w:tcPr>
            <w:tcW w:w="9244" w:type="dxa"/>
            <w:gridSpan w:val="7"/>
          </w:tcPr>
          <w:p w14:paraId="09B7DADA" w14:textId="77777777" w:rsidR="00F56356" w:rsidRPr="00F56356" w:rsidRDefault="00F56356" w:rsidP="00F56356">
            <w:pPr>
              <w:spacing w:before="4" w:line="266" w:lineRule="auto"/>
              <w:ind w:left="30" w:right="3"/>
              <w:jc w:val="both"/>
              <w:rPr>
                <w:rFonts w:ascii="Times New Roman" w:eastAsia="Times New Roman" w:hAnsi="Times New Roman" w:cs="Times New Roman"/>
                <w:sz w:val="16"/>
                <w:lang w:eastAsia="it-IT" w:bidi="it-IT"/>
              </w:rPr>
            </w:pPr>
            <w:proofErr w:type="spellStart"/>
            <w:r w:rsidRPr="00F56356">
              <w:rPr>
                <w:rFonts w:ascii="Times New Roman" w:eastAsia="Times New Roman" w:hAnsi="Times New Roman" w:cs="Times New Roman"/>
                <w:sz w:val="16"/>
                <w:lang w:eastAsia="it-IT" w:bidi="it-IT"/>
              </w:rPr>
              <w:t>Considerata</w:t>
            </w:r>
            <w:proofErr w:type="spellEnd"/>
            <w:r w:rsidRPr="00F56356">
              <w:rPr>
                <w:rFonts w:ascii="Times New Roman" w:eastAsia="Times New Roman" w:hAnsi="Times New Roman" w:cs="Times New Roman"/>
                <w:sz w:val="16"/>
                <w:lang w:eastAsia="it-IT" w:bidi="it-IT"/>
              </w:rPr>
              <w:t xml:space="preserve"> la </w:t>
            </w:r>
            <w:proofErr w:type="spellStart"/>
            <w:r w:rsidRPr="00F56356">
              <w:rPr>
                <w:rFonts w:ascii="Times New Roman" w:eastAsia="Times New Roman" w:hAnsi="Times New Roman" w:cs="Times New Roman"/>
                <w:sz w:val="16"/>
                <w:lang w:eastAsia="it-IT" w:bidi="it-IT"/>
              </w:rPr>
              <w:t>complessità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procedurale</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giungere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erogazione</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 xml:space="preserve"> e la </w:t>
            </w:r>
            <w:proofErr w:type="spellStart"/>
            <w:r w:rsidRPr="00F56356">
              <w:rPr>
                <w:rFonts w:ascii="Times New Roman" w:eastAsia="Times New Roman" w:hAnsi="Times New Roman" w:cs="Times New Roman"/>
                <w:sz w:val="16"/>
                <w:lang w:eastAsia="it-IT" w:bidi="it-IT"/>
              </w:rPr>
              <w:t>necessità</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avviare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procedimento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dell’annualità</w:t>
            </w:r>
            <w:proofErr w:type="spellEnd"/>
            <w:r w:rsidRPr="00F56356">
              <w:rPr>
                <w:rFonts w:ascii="Times New Roman" w:eastAsia="Times New Roman" w:hAnsi="Times New Roman" w:cs="Times New Roman"/>
                <w:sz w:val="16"/>
                <w:lang w:eastAsia="it-IT" w:bidi="it-IT"/>
              </w:rPr>
              <w:t xml:space="preserve"> 2022 solo </w:t>
            </w:r>
            <w:proofErr w:type="spellStart"/>
            <w:r w:rsidRPr="00F56356">
              <w:rPr>
                <w:rFonts w:ascii="Times New Roman" w:eastAsia="Times New Roman" w:hAnsi="Times New Roman" w:cs="Times New Roman"/>
                <w:sz w:val="16"/>
                <w:lang w:eastAsia="it-IT" w:bidi="it-IT"/>
              </w:rPr>
              <w:t>alla</w:t>
            </w:r>
            <w:proofErr w:type="spellEnd"/>
            <w:r w:rsidRPr="00F56356">
              <w:rPr>
                <w:rFonts w:ascii="Times New Roman" w:eastAsia="Times New Roman" w:hAnsi="Times New Roman" w:cs="Times New Roman"/>
                <w:sz w:val="16"/>
                <w:lang w:eastAsia="it-IT" w:bidi="it-IT"/>
              </w:rPr>
              <w:t xml:space="preserve"> fine </w:t>
            </w:r>
            <w:proofErr w:type="spellStart"/>
            <w:r w:rsidRPr="00F56356">
              <w:rPr>
                <w:rFonts w:ascii="Times New Roman" w:eastAsia="Times New Roman" w:hAnsi="Times New Roman" w:cs="Times New Roman"/>
                <w:sz w:val="16"/>
                <w:lang w:eastAsia="it-IT" w:bidi="it-IT"/>
              </w:rPr>
              <w:t>dell’approvazione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annualità</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precedenti</w:t>
            </w:r>
            <w:proofErr w:type="spellEnd"/>
            <w:r w:rsidRPr="00F56356">
              <w:rPr>
                <w:rFonts w:ascii="Times New Roman" w:eastAsia="Times New Roman" w:hAnsi="Times New Roman" w:cs="Times New Roman"/>
                <w:sz w:val="16"/>
                <w:lang w:eastAsia="it-IT" w:bidi="it-IT"/>
              </w:rPr>
              <w:t xml:space="preserve">, in </w:t>
            </w:r>
            <w:proofErr w:type="spellStart"/>
            <w:r w:rsidRPr="00F56356">
              <w:rPr>
                <w:rFonts w:ascii="Times New Roman" w:eastAsia="Times New Roman" w:hAnsi="Times New Roman" w:cs="Times New Roman"/>
                <w:sz w:val="16"/>
                <w:lang w:eastAsia="it-IT" w:bidi="it-IT"/>
              </w:rPr>
              <w:t>quanto</w:t>
            </w:r>
            <w:proofErr w:type="spellEnd"/>
            <w:r w:rsidRPr="00F56356">
              <w:rPr>
                <w:rFonts w:ascii="Times New Roman" w:eastAsia="Times New Roman" w:hAnsi="Times New Roman" w:cs="Times New Roman"/>
                <w:sz w:val="16"/>
                <w:lang w:eastAsia="it-IT" w:bidi="it-IT"/>
              </w:rPr>
              <w:t xml:space="preserve"> è </w:t>
            </w:r>
            <w:proofErr w:type="spellStart"/>
            <w:r w:rsidRPr="00F56356">
              <w:rPr>
                <w:rFonts w:ascii="Times New Roman" w:eastAsia="Times New Roman" w:hAnsi="Times New Roman" w:cs="Times New Roman"/>
                <w:sz w:val="16"/>
                <w:lang w:eastAsia="it-IT" w:bidi="it-IT"/>
              </w:rPr>
              <w:t>previsto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che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gli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interventi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possano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essere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fatti</w:t>
            </w:r>
            <w:proofErr w:type="spellEnd"/>
            <w:r w:rsidRPr="00F56356">
              <w:rPr>
                <w:rFonts w:ascii="Times New Roman" w:eastAsia="Times New Roman" w:hAnsi="Times New Roman" w:cs="Times New Roman"/>
                <w:sz w:val="16"/>
                <w:lang w:eastAsia="it-IT" w:bidi="it-IT"/>
              </w:rPr>
              <w:t xml:space="preserve"> in </w:t>
            </w:r>
            <w:proofErr w:type="spellStart"/>
            <w:r w:rsidRPr="00F56356">
              <w:rPr>
                <w:rFonts w:ascii="Times New Roman" w:eastAsia="Times New Roman" w:hAnsi="Times New Roman" w:cs="Times New Roman"/>
                <w:sz w:val="16"/>
                <w:lang w:eastAsia="it-IT" w:bidi="it-IT"/>
              </w:rPr>
              <w:t>lotti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funzionali</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valere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su</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più</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annualità</w:t>
            </w:r>
            <w:proofErr w:type="spellEnd"/>
            <w:r w:rsidRPr="00F56356">
              <w:rPr>
                <w:rFonts w:ascii="Times New Roman" w:eastAsia="Times New Roman" w:hAnsi="Times New Roman" w:cs="Times New Roman"/>
                <w:sz w:val="16"/>
                <w:lang w:eastAsia="it-IT" w:bidi="it-IT"/>
              </w:rPr>
              <w:t xml:space="preserve"> successive, non </w:t>
            </w:r>
            <w:proofErr w:type="spellStart"/>
            <w:r w:rsidRPr="00F56356">
              <w:rPr>
                <w:rFonts w:ascii="Times New Roman" w:eastAsia="Times New Roman" w:hAnsi="Times New Roman" w:cs="Times New Roman"/>
                <w:sz w:val="16"/>
                <w:lang w:eastAsia="it-IT" w:bidi="it-IT"/>
              </w:rPr>
              <w:t>si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sono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raggiunti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nel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corso</w:t>
            </w:r>
            <w:proofErr w:type="spellEnd"/>
            <w:r w:rsidRPr="00F56356">
              <w:rPr>
                <w:rFonts w:ascii="Times New Roman" w:eastAsia="Times New Roman" w:hAnsi="Times New Roman" w:cs="Times New Roman"/>
                <w:sz w:val="16"/>
                <w:lang w:eastAsia="it-IT" w:bidi="it-IT"/>
              </w:rPr>
              <w:t xml:space="preserve"> del 2022 </w:t>
            </w:r>
            <w:proofErr w:type="spellStart"/>
            <w:r w:rsidRPr="00F56356">
              <w:rPr>
                <w:rFonts w:ascii="Times New Roman" w:eastAsia="Times New Roman" w:hAnsi="Times New Roman" w:cs="Times New Roman"/>
                <w:sz w:val="16"/>
                <w:lang w:eastAsia="it-IT" w:bidi="it-IT"/>
              </w:rPr>
              <w: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presupposti</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l’impegno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risorse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stanziate</w:t>
            </w:r>
            <w:proofErr w:type="spellEnd"/>
            <w:r w:rsidRPr="00F56356">
              <w:rPr>
                <w:rFonts w:ascii="Times New Roman" w:eastAsia="Times New Roman" w:hAnsi="Times New Roman" w:cs="Times New Roman"/>
                <w:sz w:val="16"/>
                <w:lang w:eastAsia="it-IT" w:bidi="it-IT"/>
              </w:rPr>
              <w:t xml:space="preserve"> per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medesimo</w:t>
            </w:r>
            <w:proofErr w:type="spellEnd"/>
            <w:r w:rsidRPr="00F56356">
              <w:rPr>
                <w:rFonts w:ascii="Times New Roman" w:eastAsia="Times New Roman" w:hAnsi="Times New Roman" w:cs="Times New Roman"/>
                <w:sz w:val="16"/>
                <w:lang w:eastAsia="it-IT" w:bidi="it-IT"/>
              </w:rPr>
              <w:t xml:space="preserve"> anno. </w:t>
            </w:r>
            <w:r w:rsidRPr="00F56356">
              <w:rPr>
                <w:rFonts w:ascii="Times New Roman" w:eastAsia="Times New Roman" w:hAnsi="Times New Roman" w:cs="Times New Roman"/>
                <w:spacing w:val="-3"/>
                <w:sz w:val="16"/>
                <w:lang w:eastAsia="it-IT" w:bidi="it-IT"/>
              </w:rPr>
              <w:t xml:space="preserve">In </w:t>
            </w:r>
            <w:proofErr w:type="spellStart"/>
            <w:r w:rsidRPr="00F56356">
              <w:rPr>
                <w:rFonts w:ascii="Times New Roman" w:eastAsia="Times New Roman" w:hAnsi="Times New Roman" w:cs="Times New Roman"/>
                <w:sz w:val="16"/>
                <w:lang w:eastAsia="it-IT" w:bidi="it-IT"/>
              </w:rPr>
              <w:t>particolare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il</w:t>
            </w:r>
            <w:proofErr w:type="spellEnd"/>
            <w:r w:rsidRPr="00F56356">
              <w:rPr>
                <w:rFonts w:ascii="Times New Roman" w:eastAsia="Times New Roman" w:hAnsi="Times New Roman" w:cs="Times New Roman"/>
                <w:sz w:val="16"/>
                <w:lang w:eastAsia="it-IT" w:bidi="it-IT"/>
              </w:rPr>
              <w:t xml:space="preserve"> bando </w:t>
            </w:r>
            <w:proofErr w:type="spellStart"/>
            <w:r w:rsidRPr="00F56356">
              <w:rPr>
                <w:rFonts w:ascii="Times New Roman" w:eastAsia="Times New Roman" w:hAnsi="Times New Roman" w:cs="Times New Roman"/>
                <w:sz w:val="16"/>
                <w:lang w:eastAsia="it-IT" w:bidi="it-IT"/>
              </w:rPr>
              <w:t>dell’annualità</w:t>
            </w:r>
            <w:proofErr w:type="spellEnd"/>
            <w:r w:rsidRPr="00F56356">
              <w:rPr>
                <w:rFonts w:ascii="Times New Roman" w:eastAsia="Times New Roman" w:hAnsi="Times New Roman" w:cs="Times New Roman"/>
                <w:sz w:val="16"/>
                <w:lang w:eastAsia="it-IT" w:bidi="it-IT"/>
              </w:rPr>
              <w:t xml:space="preserve"> 2022 del </w:t>
            </w:r>
            <w:proofErr w:type="spellStart"/>
            <w:r w:rsidRPr="00F56356">
              <w:rPr>
                <w:rFonts w:ascii="Times New Roman" w:eastAsia="Times New Roman" w:hAnsi="Times New Roman" w:cs="Times New Roman"/>
                <w:sz w:val="16"/>
                <w:lang w:eastAsia="it-IT" w:bidi="it-IT"/>
              </w:rPr>
              <w:t>Fondo</w:t>
            </w:r>
            <w:proofErr w:type="spellEnd"/>
            <w:r w:rsidRPr="00F56356">
              <w:rPr>
                <w:rFonts w:ascii="Times New Roman" w:eastAsia="Times New Roman" w:hAnsi="Times New Roman" w:cs="Times New Roman"/>
                <w:sz w:val="16"/>
                <w:lang w:eastAsia="it-IT" w:bidi="it-IT"/>
              </w:rPr>
              <w:t xml:space="preserve"> è </w:t>
            </w:r>
            <w:proofErr w:type="spellStart"/>
            <w:r w:rsidRPr="00F56356">
              <w:rPr>
                <w:rFonts w:ascii="Times New Roman" w:eastAsia="Times New Roman" w:hAnsi="Times New Roman" w:cs="Times New Roman"/>
                <w:sz w:val="16"/>
                <w:lang w:eastAsia="it-IT" w:bidi="it-IT"/>
              </w:rPr>
              <w:t>stato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adottato</w:t>
            </w:r>
            <w:proofErr w:type="spellEnd"/>
            <w:r w:rsidRPr="00F56356">
              <w:rPr>
                <w:rFonts w:ascii="Times New Roman" w:eastAsia="Times New Roman" w:hAnsi="Times New Roman" w:cs="Times New Roman"/>
                <w:sz w:val="16"/>
                <w:lang w:eastAsia="it-IT" w:bidi="it-IT"/>
              </w:rPr>
              <w:t xml:space="preserve"> in data 19 </w:t>
            </w:r>
            <w:proofErr w:type="spellStart"/>
            <w:r w:rsidRPr="00F56356">
              <w:rPr>
                <w:rFonts w:ascii="Times New Roman" w:eastAsia="Times New Roman" w:hAnsi="Times New Roman" w:cs="Times New Roman"/>
                <w:sz w:val="16"/>
                <w:lang w:eastAsia="it-IT" w:bidi="it-IT"/>
              </w:rPr>
              <w:t>luglio</w:t>
            </w:r>
            <w:proofErr w:type="spellEnd"/>
            <w:r w:rsidRPr="00F56356">
              <w:rPr>
                <w:rFonts w:ascii="Times New Roman" w:eastAsia="Times New Roman" w:hAnsi="Times New Roman" w:cs="Times New Roman"/>
                <w:sz w:val="16"/>
                <w:lang w:eastAsia="it-IT" w:bidi="it-IT"/>
              </w:rPr>
              <w:t xml:space="preserve"> 2022 e </w:t>
            </w:r>
            <w:proofErr w:type="spellStart"/>
            <w:r w:rsidRPr="00F56356">
              <w:rPr>
                <w:rFonts w:ascii="Times New Roman" w:eastAsia="Times New Roman" w:hAnsi="Times New Roman" w:cs="Times New Roman"/>
                <w:sz w:val="16"/>
                <w:lang w:eastAsia="it-IT" w:bidi="it-IT"/>
              </w:rPr>
              <w: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lavori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Commissione</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valutazione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progetti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nominata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anche</w:t>
            </w:r>
            <w:proofErr w:type="spellEnd"/>
            <w:r w:rsidRPr="00F56356">
              <w:rPr>
                <w:rFonts w:ascii="Times New Roman" w:eastAsia="Times New Roman" w:hAnsi="Times New Roman" w:cs="Times New Roman"/>
                <w:sz w:val="16"/>
                <w:lang w:eastAsia="it-IT" w:bidi="it-IT"/>
              </w:rPr>
              <w:t xml:space="preserve"> a </w:t>
            </w:r>
            <w:proofErr w:type="spellStart"/>
            <w:r w:rsidRPr="00F56356">
              <w:rPr>
                <w:rFonts w:ascii="Times New Roman" w:eastAsia="Times New Roman" w:hAnsi="Times New Roman" w:cs="Times New Roman"/>
                <w:sz w:val="16"/>
                <w:lang w:eastAsia="it-IT" w:bidi="it-IT"/>
              </w:rPr>
              <w:t>seguito</w:t>
            </w:r>
            <w:proofErr w:type="spellEnd"/>
            <w:r w:rsidRPr="00F56356">
              <w:rPr>
                <w:rFonts w:ascii="Times New Roman" w:eastAsia="Times New Roman" w:hAnsi="Times New Roman" w:cs="Times New Roman"/>
                <w:sz w:val="16"/>
                <w:lang w:eastAsia="it-IT" w:bidi="it-IT"/>
              </w:rPr>
              <w:t xml:space="preserve"> del </w:t>
            </w:r>
            <w:proofErr w:type="spellStart"/>
            <w:r w:rsidRPr="00F56356">
              <w:rPr>
                <w:rFonts w:ascii="Times New Roman" w:eastAsia="Times New Roman" w:hAnsi="Times New Roman" w:cs="Times New Roman"/>
                <w:sz w:val="16"/>
                <w:lang w:eastAsia="it-IT" w:bidi="it-IT"/>
              </w:rPr>
              <w:t>cambiamento</w:t>
            </w:r>
            <w:proofErr w:type="spellEnd"/>
            <w:r w:rsidRPr="00F56356">
              <w:rPr>
                <w:rFonts w:ascii="Times New Roman" w:eastAsia="Times New Roman" w:hAnsi="Times New Roman" w:cs="Times New Roman"/>
                <w:sz w:val="16"/>
                <w:lang w:eastAsia="it-IT" w:bidi="it-IT"/>
              </w:rPr>
              <w:t xml:space="preserve"> di </w:t>
            </w:r>
            <w:proofErr w:type="spellStart"/>
            <w:r w:rsidRPr="00F56356">
              <w:rPr>
                <w:rFonts w:ascii="Times New Roman" w:eastAsia="Times New Roman" w:hAnsi="Times New Roman" w:cs="Times New Roman"/>
                <w:sz w:val="16"/>
                <w:lang w:eastAsia="it-IT" w:bidi="it-IT"/>
              </w:rPr>
              <w:t>compagine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governativa</w:t>
            </w:r>
            <w:proofErr w:type="spellEnd"/>
            <w:r w:rsidRPr="00F56356">
              <w:rPr>
                <w:rFonts w:ascii="Times New Roman" w:eastAsia="Times New Roman" w:hAnsi="Times New Roman" w:cs="Times New Roman"/>
                <w:sz w:val="16"/>
                <w:lang w:eastAsia="it-IT" w:bidi="it-IT"/>
              </w:rPr>
              <w:t xml:space="preserve">, in data 29 </w:t>
            </w:r>
            <w:proofErr w:type="spellStart"/>
            <w:r w:rsidRPr="00F56356">
              <w:rPr>
                <w:rFonts w:ascii="Times New Roman" w:eastAsia="Times New Roman" w:hAnsi="Times New Roman" w:cs="Times New Roman"/>
                <w:sz w:val="16"/>
                <w:lang w:eastAsia="it-IT" w:bidi="it-IT"/>
              </w:rPr>
              <w:t>novembre</w:t>
            </w:r>
            <w:proofErr w:type="spellEnd"/>
            <w:r w:rsidRPr="00F56356">
              <w:rPr>
                <w:rFonts w:ascii="Times New Roman" w:eastAsia="Times New Roman" w:hAnsi="Times New Roman" w:cs="Times New Roman"/>
                <w:sz w:val="16"/>
                <w:lang w:eastAsia="it-IT" w:bidi="it-IT"/>
              </w:rPr>
              <w:t xml:space="preserve"> 2022, </w:t>
            </w:r>
            <w:proofErr w:type="spellStart"/>
            <w:r w:rsidRPr="00F56356">
              <w:rPr>
                <w:rFonts w:ascii="Times New Roman" w:eastAsia="Times New Roman" w:hAnsi="Times New Roman" w:cs="Times New Roman"/>
                <w:sz w:val="16"/>
                <w:lang w:eastAsia="it-IT" w:bidi="it-IT"/>
              </w:rPr>
              <w:t>sono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stati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conclusi</w:t>
            </w:r>
            <w:proofErr w:type="spellEnd"/>
            <w:r w:rsidRPr="00F56356">
              <w:rPr>
                <w:rFonts w:ascii="Times New Roman" w:eastAsia="Times New Roman" w:hAnsi="Times New Roman" w:cs="Times New Roman"/>
                <w:sz w:val="16"/>
                <w:lang w:eastAsia="it-IT" w:bidi="it-IT"/>
              </w:rPr>
              <w:t xml:space="preserve"> in data 21 </w:t>
            </w:r>
            <w:proofErr w:type="spellStart"/>
            <w:r w:rsidRPr="00F56356">
              <w:rPr>
                <w:rFonts w:ascii="Times New Roman" w:eastAsia="Times New Roman" w:hAnsi="Times New Roman" w:cs="Times New Roman"/>
                <w:sz w:val="16"/>
                <w:lang w:eastAsia="it-IT" w:bidi="it-IT"/>
              </w:rPr>
              <w:t>febbraio</w:t>
            </w:r>
            <w:proofErr w:type="spellEnd"/>
            <w:r w:rsidRPr="00F56356">
              <w:rPr>
                <w:rFonts w:ascii="Times New Roman" w:eastAsia="Times New Roman" w:hAnsi="Times New Roman" w:cs="Times New Roman"/>
                <w:sz w:val="16"/>
                <w:lang w:eastAsia="it-IT" w:bidi="it-IT"/>
              </w:rPr>
              <w:t xml:space="preserve"> 2023. </w:t>
            </w:r>
            <w:proofErr w:type="spellStart"/>
            <w:r w:rsidRPr="00F56356">
              <w:rPr>
                <w:rFonts w:ascii="Times New Roman" w:eastAsia="Times New Roman" w:hAnsi="Times New Roman" w:cs="Times New Roman"/>
                <w:sz w:val="16"/>
                <w:lang w:eastAsia="it-IT" w:bidi="it-IT"/>
              </w:rPr>
              <w:t>Pertanto</w:t>
            </w:r>
            <w:proofErr w:type="spellEnd"/>
            <w:r w:rsidRPr="00F56356">
              <w:rPr>
                <w:rFonts w:ascii="Times New Roman" w:eastAsia="Times New Roman" w:hAnsi="Times New Roman" w:cs="Times New Roman"/>
                <w:sz w:val="16"/>
                <w:lang w:eastAsia="it-IT" w:bidi="it-IT"/>
              </w:rPr>
              <w:t xml:space="preserve">, non </w:t>
            </w:r>
            <w:proofErr w:type="spellStart"/>
            <w:r w:rsidRPr="00F56356">
              <w:rPr>
                <w:rFonts w:ascii="Times New Roman" w:eastAsia="Times New Roman" w:hAnsi="Times New Roman" w:cs="Times New Roman"/>
                <w:sz w:val="16"/>
                <w:lang w:eastAsia="it-IT" w:bidi="it-IT"/>
              </w:rPr>
              <w:t>essendo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stati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ancora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individuati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nell’anno</w:t>
            </w:r>
            <w:proofErr w:type="spellEnd"/>
            <w:r w:rsidRPr="00F56356">
              <w:rPr>
                <w:rFonts w:ascii="Times New Roman" w:eastAsia="Times New Roman" w:hAnsi="Times New Roman" w:cs="Times New Roman"/>
                <w:sz w:val="16"/>
                <w:lang w:eastAsia="it-IT" w:bidi="it-IT"/>
              </w:rPr>
              <w:t xml:space="preserve"> 2022 </w:t>
            </w:r>
            <w:proofErr w:type="spellStart"/>
            <w:r w:rsidRPr="00F56356">
              <w:rPr>
                <w:rFonts w:ascii="Times New Roman" w:eastAsia="Times New Roman" w:hAnsi="Times New Roman" w:cs="Times New Roman"/>
                <w:sz w:val="16"/>
                <w:lang w:eastAsia="it-IT" w:bidi="it-IT"/>
              </w:rPr>
              <w:t>gli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interventi</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ammessi</w:t>
            </w:r>
            <w:proofErr w:type="spellEnd"/>
            <w:r w:rsidRPr="00F56356">
              <w:rPr>
                <w:rFonts w:ascii="Times New Roman" w:eastAsia="Times New Roman" w:hAnsi="Times New Roman" w:cs="Times New Roman"/>
                <w:sz w:val="16"/>
                <w:lang w:eastAsia="it-IT" w:bidi="it-IT"/>
              </w:rPr>
              <w:t xml:space="preserve"> al </w:t>
            </w:r>
            <w:proofErr w:type="spellStart"/>
            <w:r w:rsidRPr="00F56356">
              <w:rPr>
                <w:rFonts w:ascii="Times New Roman" w:eastAsia="Times New Roman" w:hAnsi="Times New Roman" w:cs="Times New Roman"/>
                <w:sz w:val="16"/>
                <w:lang w:eastAsia="it-IT" w:bidi="it-IT"/>
              </w:rPr>
              <w:t>finanziamento</w:t>
            </w:r>
            <w:proofErr w:type="spellEnd"/>
            <w:r w:rsidRPr="00F56356">
              <w:rPr>
                <w:rFonts w:ascii="Times New Roman" w:eastAsia="Times New Roman" w:hAnsi="Times New Roman" w:cs="Times New Roman"/>
                <w:sz w:val="16"/>
                <w:lang w:eastAsia="it-IT" w:bidi="it-IT"/>
              </w:rPr>
              <w:t xml:space="preserve"> da </w:t>
            </w:r>
            <w:proofErr w:type="spellStart"/>
            <w:r w:rsidRPr="00F56356">
              <w:rPr>
                <w:rFonts w:ascii="Times New Roman" w:eastAsia="Times New Roman" w:hAnsi="Times New Roman" w:cs="Times New Roman"/>
                <w:sz w:val="16"/>
                <w:lang w:eastAsia="it-IT" w:bidi="it-IT"/>
              </w:rPr>
              <w:t>parte</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della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predetta</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Commissione</w:t>
            </w:r>
            <w:proofErr w:type="spellEnd"/>
            <w:r w:rsidRPr="00F56356">
              <w:rPr>
                <w:rFonts w:ascii="Times New Roman" w:eastAsia="Times New Roman" w:hAnsi="Times New Roman" w:cs="Times New Roman"/>
                <w:sz w:val="16"/>
                <w:lang w:eastAsia="it-IT" w:bidi="it-IT"/>
              </w:rPr>
              <w:t xml:space="preserve">, non </w:t>
            </w:r>
            <w:proofErr w:type="spellStart"/>
            <w:r w:rsidRPr="00F56356">
              <w:rPr>
                <w:rFonts w:ascii="Times New Roman" w:eastAsia="Times New Roman" w:hAnsi="Times New Roman" w:cs="Times New Roman"/>
                <w:sz w:val="16"/>
                <w:lang w:eastAsia="it-IT" w:bidi="it-IT"/>
              </w:rPr>
              <w:t>si</w:t>
            </w:r>
            <w:proofErr w:type="spellEnd"/>
            <w:r w:rsidRPr="00F56356">
              <w:rPr>
                <w:rFonts w:ascii="Times New Roman" w:eastAsia="Times New Roman" w:hAnsi="Times New Roman" w:cs="Times New Roman"/>
                <w:sz w:val="16"/>
                <w:lang w:eastAsia="it-IT" w:bidi="it-IT"/>
              </w:rPr>
              <w:t xml:space="preserve"> è </w:t>
            </w:r>
            <w:proofErr w:type="spellStart"/>
            <w:r w:rsidRPr="00F56356">
              <w:rPr>
                <w:rFonts w:ascii="Times New Roman" w:eastAsia="Times New Roman" w:hAnsi="Times New Roman" w:cs="Times New Roman"/>
                <w:sz w:val="16"/>
                <w:lang w:eastAsia="it-IT" w:bidi="it-IT"/>
              </w:rPr>
              <w:t>verificato</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alcun</w:t>
            </w:r>
            <w:proofErr w:type="spellEnd"/>
            <w:r w:rsidRPr="00F56356">
              <w:rPr>
                <w:rFonts w:ascii="Times New Roman" w:eastAsia="Times New Roman" w:hAnsi="Times New Roman" w:cs="Times New Roman"/>
                <w:sz w:val="16"/>
                <w:lang w:eastAsia="it-IT" w:bidi="it-IT"/>
              </w:rPr>
              <w:t xml:space="preserve"> </w:t>
            </w:r>
            <w:proofErr w:type="spellStart"/>
            <w:r w:rsidRPr="00F56356">
              <w:rPr>
                <w:rFonts w:ascii="Times New Roman" w:eastAsia="Times New Roman" w:hAnsi="Times New Roman" w:cs="Times New Roman"/>
                <w:sz w:val="16"/>
                <w:lang w:eastAsia="it-IT" w:bidi="it-IT"/>
              </w:rPr>
              <w:t>ritardo</w:t>
            </w:r>
            <w:proofErr w:type="spellEnd"/>
            <w:r w:rsidRPr="00F56356">
              <w:rPr>
                <w:rFonts w:ascii="Times New Roman" w:eastAsia="Times New Roman" w:hAnsi="Times New Roman" w:cs="Times New Roman"/>
                <w:sz w:val="16"/>
                <w:lang w:eastAsia="it-IT" w:bidi="it-IT"/>
              </w:rPr>
              <w:t xml:space="preserve"> rispetto al </w:t>
            </w:r>
            <w:proofErr w:type="spellStart"/>
            <w:r w:rsidRPr="00F56356">
              <w:rPr>
                <w:rFonts w:ascii="Times New Roman" w:eastAsia="Times New Roman" w:hAnsi="Times New Roman" w:cs="Times New Roman"/>
                <w:sz w:val="16"/>
                <w:lang w:eastAsia="it-IT" w:bidi="it-IT"/>
              </w:rPr>
              <w:t>valore</w:t>
            </w:r>
            <w:proofErr w:type="spellEnd"/>
            <w:r w:rsidRPr="00F56356">
              <w:rPr>
                <w:rFonts w:ascii="Times New Roman" w:eastAsia="Times New Roman" w:hAnsi="Times New Roman" w:cs="Times New Roman"/>
                <w:sz w:val="16"/>
                <w:lang w:eastAsia="it-IT" w:bidi="it-IT"/>
              </w:rPr>
              <w:t xml:space="preserve"> target a</w:t>
            </w:r>
            <w:r w:rsidRPr="00F56356">
              <w:rPr>
                <w:rFonts w:ascii="Times New Roman" w:eastAsia="Times New Roman" w:hAnsi="Times New Roman" w:cs="Times New Roman"/>
                <w:spacing w:val="5"/>
                <w:sz w:val="16"/>
                <w:lang w:eastAsia="it-IT" w:bidi="it-IT"/>
              </w:rPr>
              <w:t xml:space="preserve"> </w:t>
            </w:r>
            <w:proofErr w:type="spellStart"/>
            <w:r w:rsidRPr="00F56356">
              <w:rPr>
                <w:rFonts w:ascii="Times New Roman" w:eastAsia="Times New Roman" w:hAnsi="Times New Roman" w:cs="Times New Roman"/>
                <w:sz w:val="16"/>
                <w:lang w:eastAsia="it-IT" w:bidi="it-IT"/>
              </w:rPr>
              <w:t>consuntivo</w:t>
            </w:r>
            <w:proofErr w:type="spellEnd"/>
            <w:r w:rsidRPr="00F56356">
              <w:rPr>
                <w:rFonts w:ascii="Times New Roman" w:eastAsia="Times New Roman" w:hAnsi="Times New Roman" w:cs="Times New Roman"/>
                <w:sz w:val="16"/>
                <w:lang w:eastAsia="it-IT" w:bidi="it-IT"/>
              </w:rPr>
              <w:t>.</w:t>
            </w:r>
          </w:p>
        </w:tc>
      </w:tr>
    </w:tbl>
    <w:p w14:paraId="3BC7B24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77100784"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tbl>
      <w:tblPr>
        <w:tblW w:w="9900" w:type="dxa"/>
        <w:tblCellMar>
          <w:left w:w="70" w:type="dxa"/>
          <w:right w:w="70" w:type="dxa"/>
        </w:tblCellMar>
        <w:tblLook w:val="04A0" w:firstRow="1" w:lastRow="0" w:firstColumn="1" w:lastColumn="0" w:noHBand="0" w:noVBand="1"/>
      </w:tblPr>
      <w:tblGrid>
        <w:gridCol w:w="2620"/>
        <w:gridCol w:w="700"/>
        <w:gridCol w:w="1240"/>
        <w:gridCol w:w="1220"/>
        <w:gridCol w:w="1420"/>
        <w:gridCol w:w="1420"/>
        <w:gridCol w:w="1280"/>
      </w:tblGrid>
      <w:tr w:rsidR="00F56356" w:rsidRPr="00F56356" w14:paraId="5AB73685" w14:textId="77777777" w:rsidTr="00F56356">
        <w:trPr>
          <w:trHeight w:val="510"/>
        </w:trPr>
        <w:tc>
          <w:tcPr>
            <w:tcW w:w="99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D411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59C82AD5" w14:textId="77777777" w:rsidTr="00F56356">
        <w:trPr>
          <w:trHeight w:val="5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1B36F5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1BC46E4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4FC90DAD" w14:textId="77777777" w:rsidTr="00F56356">
        <w:trPr>
          <w:trHeight w:val="5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F20035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2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A2C47B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3532CD32" w14:textId="77777777" w:rsidTr="00F56356">
        <w:trPr>
          <w:trHeight w:val="5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F1E94E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2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342D00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7 - Affari regionali e autonomie </w:t>
            </w:r>
          </w:p>
        </w:tc>
      </w:tr>
      <w:tr w:rsidR="00F56356" w:rsidRPr="00F56356" w14:paraId="2BC82A1E" w14:textId="77777777" w:rsidTr="00F56356">
        <w:trPr>
          <w:trHeight w:val="5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8F6C34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2DAEF3B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Svolgimento delle attività del trasferito EIM</w:t>
            </w:r>
          </w:p>
        </w:tc>
      </w:tr>
      <w:tr w:rsidR="00F56356" w:rsidRPr="00F56356" w14:paraId="236741BE" w14:textId="77777777" w:rsidTr="00F56356">
        <w:trPr>
          <w:trHeight w:val="186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39047FB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7CA3650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È prevista la stipula di 4 convenzioni con gli enti e le istituzioni di ricerca, nonché con le Università per lo svolgimento delle funzioni dell’Ente Italiano Montagna trasferite al Dipartimento per gli affari regionali, le autonomie e lo sport (art. 4 del </w:t>
            </w:r>
            <w:proofErr w:type="spellStart"/>
            <w:r w:rsidRPr="00F56356">
              <w:rPr>
                <w:rFonts w:ascii="Times New Roman" w:eastAsia="Times New Roman" w:hAnsi="Times New Roman" w:cs="Times New Roman"/>
                <w:color w:val="000000"/>
                <w:sz w:val="20"/>
                <w:szCs w:val="20"/>
                <w:lang w:eastAsia="it-IT"/>
              </w:rPr>
              <w:t>dPCM</w:t>
            </w:r>
            <w:proofErr w:type="spellEnd"/>
            <w:r w:rsidRPr="00F56356">
              <w:rPr>
                <w:rFonts w:ascii="Times New Roman" w:eastAsia="Times New Roman" w:hAnsi="Times New Roman" w:cs="Times New Roman"/>
                <w:color w:val="000000"/>
                <w:sz w:val="20"/>
                <w:szCs w:val="20"/>
                <w:lang w:eastAsia="it-IT"/>
              </w:rPr>
              <w:t xml:space="preserve"> del 30 novembre 2010), ora Dipartimento per gli affari regionali e le autonomie. È inoltre prevista la partecipazione alle attività dell’ISCAR (International </w:t>
            </w:r>
            <w:proofErr w:type="spellStart"/>
            <w:r w:rsidRPr="00F56356">
              <w:rPr>
                <w:rFonts w:ascii="Times New Roman" w:eastAsia="Times New Roman" w:hAnsi="Times New Roman" w:cs="Times New Roman"/>
                <w:color w:val="000000"/>
                <w:sz w:val="20"/>
                <w:szCs w:val="20"/>
                <w:lang w:eastAsia="it-IT"/>
              </w:rPr>
              <w:t>Scientific</w:t>
            </w:r>
            <w:proofErr w:type="spellEnd"/>
            <w:r w:rsidRPr="00F56356">
              <w:rPr>
                <w:rFonts w:ascii="Times New Roman" w:eastAsia="Times New Roman" w:hAnsi="Times New Roman" w:cs="Times New Roman"/>
                <w:color w:val="000000"/>
                <w:sz w:val="20"/>
                <w:szCs w:val="20"/>
                <w:lang w:eastAsia="it-IT"/>
              </w:rPr>
              <w:t xml:space="preserve"> Commette on Research in the </w:t>
            </w:r>
            <w:proofErr w:type="spellStart"/>
            <w:r w:rsidRPr="00F56356">
              <w:rPr>
                <w:rFonts w:ascii="Times New Roman" w:eastAsia="Times New Roman" w:hAnsi="Times New Roman" w:cs="Times New Roman"/>
                <w:color w:val="000000"/>
                <w:sz w:val="20"/>
                <w:szCs w:val="20"/>
                <w:lang w:eastAsia="it-IT"/>
              </w:rPr>
              <w:t>Alps</w:t>
            </w:r>
            <w:proofErr w:type="spellEnd"/>
            <w:r w:rsidRPr="00F56356">
              <w:rPr>
                <w:rFonts w:ascii="Times New Roman" w:eastAsia="Times New Roman" w:hAnsi="Times New Roman" w:cs="Times New Roman"/>
                <w:color w:val="000000"/>
                <w:sz w:val="20"/>
                <w:szCs w:val="20"/>
                <w:lang w:eastAsia="it-IT"/>
              </w:rPr>
              <w:t xml:space="preserve">), ai sensi dell’art. 11, comma 2, del </w:t>
            </w:r>
            <w:proofErr w:type="spellStart"/>
            <w:r w:rsidRPr="00F56356">
              <w:rPr>
                <w:rFonts w:ascii="Times New Roman" w:eastAsia="Times New Roman" w:hAnsi="Times New Roman" w:cs="Times New Roman"/>
                <w:color w:val="000000"/>
                <w:sz w:val="20"/>
                <w:szCs w:val="20"/>
                <w:lang w:eastAsia="it-IT"/>
              </w:rPr>
              <w:t>dPCM</w:t>
            </w:r>
            <w:proofErr w:type="spellEnd"/>
            <w:r w:rsidRPr="00F56356">
              <w:rPr>
                <w:rFonts w:ascii="Times New Roman" w:eastAsia="Times New Roman" w:hAnsi="Times New Roman" w:cs="Times New Roman"/>
                <w:color w:val="000000"/>
                <w:sz w:val="20"/>
                <w:szCs w:val="20"/>
                <w:lang w:eastAsia="it-IT"/>
              </w:rPr>
              <w:t xml:space="preserve"> 30 novembre 2010.</w:t>
            </w:r>
          </w:p>
        </w:tc>
      </w:tr>
      <w:tr w:rsidR="00F56356" w:rsidRPr="00F56356" w14:paraId="1983A8C1" w14:textId="77777777" w:rsidTr="00F56356">
        <w:trPr>
          <w:trHeight w:val="34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B51D01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1CA8F9C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034805A" w14:textId="77777777" w:rsidTr="00F56356">
        <w:trPr>
          <w:trHeight w:val="34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AEDBCF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3D7658A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C9620AE" w14:textId="77777777" w:rsidTr="00F56356">
        <w:trPr>
          <w:trHeight w:val="795"/>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92CA33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407E100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451</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F39DAC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1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98BA06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4D42987A" w14:textId="77777777" w:rsidTr="00F56356">
        <w:trPr>
          <w:trHeight w:val="1278"/>
        </w:trPr>
        <w:tc>
          <w:tcPr>
            <w:tcW w:w="2620" w:type="dxa"/>
            <w:vMerge/>
            <w:tcBorders>
              <w:top w:val="nil"/>
              <w:left w:val="single" w:sz="4" w:space="0" w:color="auto"/>
              <w:bottom w:val="single" w:sz="4" w:space="0" w:color="000000"/>
              <w:right w:val="single" w:sz="4" w:space="0" w:color="auto"/>
            </w:tcBorders>
            <w:vAlign w:val="center"/>
            <w:hideMark/>
          </w:tcPr>
          <w:p w14:paraId="56709E0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00" w:type="dxa"/>
            <w:vMerge/>
            <w:tcBorders>
              <w:top w:val="nil"/>
              <w:left w:val="single" w:sz="4" w:space="0" w:color="auto"/>
              <w:bottom w:val="single" w:sz="4" w:space="0" w:color="000000"/>
              <w:right w:val="single" w:sz="4" w:space="0" w:color="auto"/>
            </w:tcBorders>
            <w:vAlign w:val="center"/>
            <w:hideMark/>
          </w:tcPr>
          <w:p w14:paraId="396C803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27E8A0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1B8116A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420" w:type="dxa"/>
            <w:tcBorders>
              <w:top w:val="nil"/>
              <w:left w:val="nil"/>
              <w:bottom w:val="single" w:sz="4" w:space="0" w:color="auto"/>
              <w:right w:val="single" w:sz="4" w:space="0" w:color="auto"/>
            </w:tcBorders>
            <w:shd w:val="clear" w:color="auto" w:fill="auto"/>
            <w:vAlign w:val="center"/>
            <w:hideMark/>
          </w:tcPr>
          <w:p w14:paraId="424F4A7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420" w:type="dxa"/>
            <w:tcBorders>
              <w:top w:val="nil"/>
              <w:left w:val="nil"/>
              <w:bottom w:val="single" w:sz="4" w:space="0" w:color="auto"/>
              <w:right w:val="single" w:sz="4" w:space="0" w:color="auto"/>
            </w:tcBorders>
            <w:shd w:val="clear" w:color="auto" w:fill="auto"/>
            <w:vAlign w:val="center"/>
            <w:hideMark/>
          </w:tcPr>
          <w:p w14:paraId="76E918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280" w:type="dxa"/>
            <w:tcBorders>
              <w:top w:val="nil"/>
              <w:left w:val="nil"/>
              <w:bottom w:val="single" w:sz="4" w:space="0" w:color="auto"/>
              <w:right w:val="single" w:sz="4" w:space="0" w:color="auto"/>
            </w:tcBorders>
            <w:shd w:val="clear" w:color="auto" w:fill="auto"/>
            <w:vAlign w:val="center"/>
            <w:hideMark/>
          </w:tcPr>
          <w:p w14:paraId="675F476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FCC27CA" w14:textId="77777777" w:rsidTr="00F56356">
        <w:trPr>
          <w:trHeight w:val="536"/>
        </w:trPr>
        <w:tc>
          <w:tcPr>
            <w:tcW w:w="2620" w:type="dxa"/>
            <w:vMerge/>
            <w:tcBorders>
              <w:top w:val="nil"/>
              <w:left w:val="single" w:sz="4" w:space="0" w:color="auto"/>
              <w:bottom w:val="single" w:sz="4" w:space="0" w:color="000000"/>
              <w:right w:val="single" w:sz="4" w:space="0" w:color="auto"/>
            </w:tcBorders>
            <w:vAlign w:val="center"/>
            <w:hideMark/>
          </w:tcPr>
          <w:p w14:paraId="0EE04F4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00" w:type="dxa"/>
            <w:vMerge/>
            <w:tcBorders>
              <w:top w:val="nil"/>
              <w:left w:val="single" w:sz="4" w:space="0" w:color="auto"/>
              <w:bottom w:val="single" w:sz="4" w:space="0" w:color="000000"/>
              <w:right w:val="single" w:sz="4" w:space="0" w:color="auto"/>
            </w:tcBorders>
            <w:vAlign w:val="center"/>
            <w:hideMark/>
          </w:tcPr>
          <w:p w14:paraId="4E4EDB5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240A1E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166.160,00</w:t>
            </w:r>
          </w:p>
        </w:tc>
        <w:tc>
          <w:tcPr>
            <w:tcW w:w="1220" w:type="dxa"/>
            <w:tcBorders>
              <w:top w:val="nil"/>
              <w:left w:val="nil"/>
              <w:bottom w:val="single" w:sz="4" w:space="0" w:color="auto"/>
              <w:right w:val="single" w:sz="4" w:space="0" w:color="auto"/>
            </w:tcBorders>
            <w:shd w:val="clear" w:color="auto" w:fill="auto"/>
            <w:noWrap/>
            <w:vAlign w:val="center"/>
            <w:hideMark/>
          </w:tcPr>
          <w:p w14:paraId="4490990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332.140,67</w:t>
            </w:r>
          </w:p>
        </w:tc>
        <w:tc>
          <w:tcPr>
            <w:tcW w:w="1420" w:type="dxa"/>
            <w:tcBorders>
              <w:top w:val="nil"/>
              <w:left w:val="nil"/>
              <w:bottom w:val="single" w:sz="4" w:space="0" w:color="auto"/>
              <w:right w:val="single" w:sz="4" w:space="0" w:color="auto"/>
            </w:tcBorders>
            <w:shd w:val="clear" w:color="auto" w:fill="auto"/>
            <w:noWrap/>
            <w:vAlign w:val="center"/>
            <w:hideMark/>
          </w:tcPr>
          <w:p w14:paraId="7A4A6CA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183.464,44</w:t>
            </w:r>
          </w:p>
        </w:tc>
        <w:tc>
          <w:tcPr>
            <w:tcW w:w="1420" w:type="dxa"/>
            <w:tcBorders>
              <w:top w:val="nil"/>
              <w:left w:val="nil"/>
              <w:bottom w:val="single" w:sz="4" w:space="0" w:color="auto"/>
              <w:right w:val="single" w:sz="4" w:space="0" w:color="auto"/>
            </w:tcBorders>
            <w:shd w:val="clear" w:color="auto" w:fill="auto"/>
            <w:noWrap/>
            <w:vAlign w:val="center"/>
            <w:hideMark/>
          </w:tcPr>
          <w:p w14:paraId="1437A38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142.000,00</w:t>
            </w:r>
          </w:p>
        </w:tc>
        <w:tc>
          <w:tcPr>
            <w:tcW w:w="1280" w:type="dxa"/>
            <w:tcBorders>
              <w:top w:val="nil"/>
              <w:left w:val="nil"/>
              <w:bottom w:val="single" w:sz="4" w:space="0" w:color="auto"/>
              <w:right w:val="single" w:sz="4" w:space="0" w:color="auto"/>
            </w:tcBorders>
            <w:shd w:val="clear" w:color="auto" w:fill="auto"/>
            <w:noWrap/>
            <w:vAlign w:val="center"/>
            <w:hideMark/>
          </w:tcPr>
          <w:p w14:paraId="35894FE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325.464,44</w:t>
            </w:r>
          </w:p>
        </w:tc>
      </w:tr>
      <w:tr w:rsidR="00F56356" w:rsidRPr="00F56356" w14:paraId="6E230289" w14:textId="77777777" w:rsidTr="00F56356">
        <w:trPr>
          <w:trHeight w:val="330"/>
        </w:trPr>
        <w:tc>
          <w:tcPr>
            <w:tcW w:w="2620" w:type="dxa"/>
            <w:tcBorders>
              <w:top w:val="nil"/>
              <w:left w:val="single" w:sz="4" w:space="0" w:color="auto"/>
              <w:bottom w:val="nil"/>
              <w:right w:val="nil"/>
            </w:tcBorders>
            <w:shd w:val="clear" w:color="auto" w:fill="auto"/>
            <w:noWrap/>
            <w:vAlign w:val="center"/>
            <w:hideMark/>
          </w:tcPr>
          <w:p w14:paraId="061F516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00" w:type="dxa"/>
            <w:tcBorders>
              <w:top w:val="nil"/>
              <w:left w:val="nil"/>
              <w:bottom w:val="nil"/>
              <w:right w:val="nil"/>
            </w:tcBorders>
            <w:shd w:val="clear" w:color="auto" w:fill="auto"/>
            <w:noWrap/>
            <w:vAlign w:val="bottom"/>
            <w:hideMark/>
          </w:tcPr>
          <w:p w14:paraId="7A833209"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6237E0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6AA5B43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71FFA99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781A49F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80" w:type="dxa"/>
            <w:tcBorders>
              <w:top w:val="nil"/>
              <w:left w:val="nil"/>
              <w:bottom w:val="nil"/>
              <w:right w:val="single" w:sz="4" w:space="0" w:color="auto"/>
            </w:tcBorders>
            <w:shd w:val="clear" w:color="auto" w:fill="auto"/>
            <w:noWrap/>
            <w:vAlign w:val="bottom"/>
            <w:hideMark/>
          </w:tcPr>
          <w:p w14:paraId="23938A0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E303859" w14:textId="77777777" w:rsidTr="00F56356">
        <w:trPr>
          <w:trHeight w:val="375"/>
        </w:trPr>
        <w:tc>
          <w:tcPr>
            <w:tcW w:w="9900" w:type="dxa"/>
            <w:gridSpan w:val="7"/>
            <w:tcBorders>
              <w:top w:val="nil"/>
              <w:left w:val="single" w:sz="4" w:space="0" w:color="auto"/>
              <w:bottom w:val="nil"/>
              <w:right w:val="single" w:sz="4" w:space="0" w:color="000000"/>
            </w:tcBorders>
            <w:shd w:val="clear" w:color="auto" w:fill="auto"/>
            <w:vAlign w:val="center"/>
            <w:hideMark/>
          </w:tcPr>
          <w:p w14:paraId="5025335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0B8BF5ED" w14:textId="77777777" w:rsidTr="00F56356">
        <w:trPr>
          <w:trHeight w:val="375"/>
        </w:trPr>
        <w:tc>
          <w:tcPr>
            <w:tcW w:w="9900" w:type="dxa"/>
            <w:gridSpan w:val="7"/>
            <w:tcBorders>
              <w:top w:val="nil"/>
              <w:left w:val="single" w:sz="4" w:space="0" w:color="auto"/>
              <w:bottom w:val="nil"/>
              <w:right w:val="single" w:sz="4" w:space="0" w:color="000000"/>
            </w:tcBorders>
            <w:shd w:val="clear" w:color="auto" w:fill="auto"/>
            <w:vAlign w:val="center"/>
            <w:hideMark/>
          </w:tcPr>
          <w:p w14:paraId="5AEE85B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56A5EDC4" w14:textId="77777777" w:rsidTr="00F56356">
        <w:trPr>
          <w:trHeight w:val="375"/>
        </w:trPr>
        <w:tc>
          <w:tcPr>
            <w:tcW w:w="9900" w:type="dxa"/>
            <w:gridSpan w:val="7"/>
            <w:tcBorders>
              <w:top w:val="nil"/>
              <w:left w:val="single" w:sz="4" w:space="0" w:color="auto"/>
              <w:bottom w:val="single" w:sz="4" w:space="0" w:color="auto"/>
              <w:right w:val="single" w:sz="4" w:space="0" w:color="000000"/>
            </w:tcBorders>
            <w:shd w:val="clear" w:color="auto" w:fill="auto"/>
            <w:vAlign w:val="center"/>
            <w:hideMark/>
          </w:tcPr>
          <w:p w14:paraId="13664D08"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1CE9B5D4" w14:textId="77777777" w:rsidTr="00F56356">
        <w:trPr>
          <w:trHeight w:val="525"/>
        </w:trPr>
        <w:tc>
          <w:tcPr>
            <w:tcW w:w="99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9F6B7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6845E8C4" w14:textId="77777777" w:rsidTr="00F56356">
        <w:trPr>
          <w:trHeight w:val="8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4CF14F7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6081A28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stipulare convenzioni nell’ambito di politiche di settore rispetto al totale delle convenzioni previste.</w:t>
            </w:r>
          </w:p>
        </w:tc>
      </w:tr>
      <w:tr w:rsidR="00F56356" w:rsidRPr="00F56356" w14:paraId="2D954A3E" w14:textId="77777777" w:rsidTr="00F56356">
        <w:trPr>
          <w:trHeight w:val="52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CFF967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280" w:type="dxa"/>
            <w:gridSpan w:val="6"/>
            <w:tcBorders>
              <w:top w:val="single" w:sz="4" w:space="0" w:color="auto"/>
              <w:left w:val="nil"/>
              <w:bottom w:val="single" w:sz="4" w:space="0" w:color="auto"/>
              <w:right w:val="single" w:sz="4" w:space="0" w:color="000000"/>
            </w:tcBorders>
            <w:shd w:val="clear" w:color="auto" w:fill="auto"/>
            <w:vAlign w:val="center"/>
            <w:hideMark/>
          </w:tcPr>
          <w:p w14:paraId="543C6FA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Pubblicazione sul sito web dipartimentale</w:t>
            </w:r>
          </w:p>
        </w:tc>
      </w:tr>
      <w:tr w:rsidR="00F56356" w:rsidRPr="00F56356" w14:paraId="693ACE64" w14:textId="77777777" w:rsidTr="00F56356">
        <w:trPr>
          <w:trHeight w:val="821"/>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34DF2C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60" w:type="dxa"/>
            <w:gridSpan w:val="3"/>
            <w:tcBorders>
              <w:top w:val="single" w:sz="4" w:space="0" w:color="auto"/>
              <w:left w:val="nil"/>
              <w:bottom w:val="single" w:sz="4" w:space="0" w:color="auto"/>
              <w:right w:val="single" w:sz="4" w:space="0" w:color="000000"/>
            </w:tcBorders>
            <w:shd w:val="clear" w:color="auto" w:fill="auto"/>
            <w:vAlign w:val="center"/>
            <w:hideMark/>
          </w:tcPr>
          <w:p w14:paraId="7068B13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Convenzioni stipulate</w:t>
            </w:r>
          </w:p>
        </w:tc>
        <w:tc>
          <w:tcPr>
            <w:tcW w:w="1420" w:type="dxa"/>
            <w:tcBorders>
              <w:top w:val="nil"/>
              <w:left w:val="nil"/>
              <w:bottom w:val="single" w:sz="4" w:space="0" w:color="auto"/>
              <w:right w:val="nil"/>
            </w:tcBorders>
            <w:shd w:val="clear" w:color="auto" w:fill="auto"/>
            <w:vAlign w:val="center"/>
            <w:hideMark/>
          </w:tcPr>
          <w:p w14:paraId="7B633F6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20" w:type="dxa"/>
            <w:tcBorders>
              <w:top w:val="nil"/>
              <w:left w:val="single" w:sz="4" w:space="0" w:color="auto"/>
              <w:bottom w:val="single" w:sz="4" w:space="0" w:color="auto"/>
              <w:right w:val="nil"/>
            </w:tcBorders>
            <w:shd w:val="clear" w:color="auto" w:fill="auto"/>
            <w:vAlign w:val="center"/>
            <w:hideMark/>
          </w:tcPr>
          <w:p w14:paraId="29853E7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80" w:type="dxa"/>
            <w:tcBorders>
              <w:top w:val="nil"/>
              <w:left w:val="single" w:sz="4" w:space="0" w:color="auto"/>
              <w:bottom w:val="single" w:sz="4" w:space="0" w:color="auto"/>
              <w:right w:val="single" w:sz="4" w:space="0" w:color="auto"/>
            </w:tcBorders>
            <w:shd w:val="clear" w:color="auto" w:fill="auto"/>
            <w:vAlign w:val="center"/>
            <w:hideMark/>
          </w:tcPr>
          <w:p w14:paraId="77BB586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C75E0B9" w14:textId="77777777" w:rsidTr="00F56356">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00CB90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24290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Valore in N</w:t>
            </w:r>
          </w:p>
        </w:tc>
        <w:tc>
          <w:tcPr>
            <w:tcW w:w="1420" w:type="dxa"/>
            <w:tcBorders>
              <w:top w:val="nil"/>
              <w:left w:val="nil"/>
              <w:bottom w:val="single" w:sz="4" w:space="0" w:color="auto"/>
              <w:right w:val="single" w:sz="4" w:space="0" w:color="auto"/>
            </w:tcBorders>
            <w:shd w:val="clear" w:color="auto" w:fill="auto"/>
            <w:noWrap/>
            <w:vAlign w:val="center"/>
            <w:hideMark/>
          </w:tcPr>
          <w:p w14:paraId="2D479ED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almeno 2</w:t>
            </w:r>
          </w:p>
        </w:tc>
        <w:tc>
          <w:tcPr>
            <w:tcW w:w="1420" w:type="dxa"/>
            <w:tcBorders>
              <w:top w:val="nil"/>
              <w:left w:val="nil"/>
              <w:bottom w:val="single" w:sz="4" w:space="0" w:color="auto"/>
              <w:right w:val="nil"/>
            </w:tcBorders>
            <w:shd w:val="clear" w:color="auto" w:fill="auto"/>
            <w:vAlign w:val="center"/>
            <w:hideMark/>
          </w:tcPr>
          <w:p w14:paraId="2FA5135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w:t>
            </w:r>
          </w:p>
        </w:tc>
        <w:tc>
          <w:tcPr>
            <w:tcW w:w="1280" w:type="dxa"/>
            <w:tcBorders>
              <w:top w:val="nil"/>
              <w:left w:val="single" w:sz="4" w:space="0" w:color="auto"/>
              <w:bottom w:val="single" w:sz="4" w:space="0" w:color="auto"/>
              <w:right w:val="single" w:sz="4" w:space="0" w:color="auto"/>
            </w:tcBorders>
            <w:shd w:val="clear" w:color="000000" w:fill="FFFFFF"/>
            <w:vAlign w:val="center"/>
            <w:hideMark/>
          </w:tcPr>
          <w:p w14:paraId="6AE2DE4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w:t>
            </w:r>
          </w:p>
        </w:tc>
      </w:tr>
    </w:tbl>
    <w:p w14:paraId="713AE329"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7B298072"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02318CA1"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tbl>
      <w:tblPr>
        <w:tblW w:w="9918" w:type="dxa"/>
        <w:tblCellMar>
          <w:left w:w="70" w:type="dxa"/>
          <w:right w:w="70" w:type="dxa"/>
        </w:tblCellMar>
        <w:tblLook w:val="04A0" w:firstRow="1" w:lastRow="0" w:firstColumn="1" w:lastColumn="0" w:noHBand="0" w:noVBand="1"/>
      </w:tblPr>
      <w:tblGrid>
        <w:gridCol w:w="2620"/>
        <w:gridCol w:w="700"/>
        <w:gridCol w:w="1240"/>
        <w:gridCol w:w="1220"/>
        <w:gridCol w:w="1420"/>
        <w:gridCol w:w="1420"/>
        <w:gridCol w:w="1298"/>
      </w:tblGrid>
      <w:tr w:rsidR="00F56356" w:rsidRPr="00F56356" w14:paraId="301BE8EC" w14:textId="77777777" w:rsidTr="00F56356">
        <w:trPr>
          <w:trHeight w:val="51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ECAFA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bookmarkStart w:id="50" w:name="RANGE!B1:H21"/>
            <w:r w:rsidRPr="00F56356">
              <w:rPr>
                <w:rFonts w:ascii="Times New Roman" w:eastAsia="Times New Roman" w:hAnsi="Times New Roman" w:cs="Times New Roman"/>
                <w:b/>
                <w:bCs/>
                <w:i/>
                <w:iCs/>
                <w:color w:val="000000"/>
                <w:sz w:val="28"/>
                <w:szCs w:val="28"/>
                <w:lang w:eastAsia="it-IT"/>
              </w:rPr>
              <w:lastRenderedPageBreak/>
              <w:t>SCHEDA OBIETTIVO</w:t>
            </w:r>
            <w:bookmarkEnd w:id="50"/>
          </w:p>
        </w:tc>
      </w:tr>
      <w:tr w:rsidR="00F56356" w:rsidRPr="00F56356" w14:paraId="73A9F74E" w14:textId="77777777" w:rsidTr="00F56356">
        <w:trPr>
          <w:trHeight w:val="30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39C3804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1C1BDAE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7D8E3E1F" w14:textId="77777777" w:rsidTr="00F56356">
        <w:trPr>
          <w:trHeight w:val="281"/>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A81634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29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CB2D1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3EA4D34B" w14:textId="77777777" w:rsidTr="00F56356">
        <w:trPr>
          <w:trHeight w:val="5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4F218E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29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6B1660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7 - Affari regionali e autonomie </w:t>
            </w:r>
          </w:p>
        </w:tc>
      </w:tr>
      <w:tr w:rsidR="00F56356" w:rsidRPr="00F56356" w14:paraId="7EEB9CBE" w14:textId="77777777" w:rsidTr="00F56356">
        <w:trPr>
          <w:trHeight w:val="264"/>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544AC48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5362588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Tutela delle minoranze linguistiche - Attuazione artt. 9 e 15 della Legge 15.12,1999, n. 482</w:t>
            </w:r>
          </w:p>
        </w:tc>
      </w:tr>
      <w:tr w:rsidR="00F56356" w:rsidRPr="00F56356" w14:paraId="657A5111" w14:textId="77777777" w:rsidTr="00F56356">
        <w:trPr>
          <w:trHeight w:val="2654"/>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FE9137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1B9CB28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La Legge 482/99 recante "Norme in materia di tutela delle minoranze linguistiche storiche" riconosce ed ammette a tutela dodici minoranze linguistiche, definite storiche. In particolare gli artt. 9 e 15 (la cui applicazione è di competenza del Dipartimento per gli affari regionali e le autonomie) prevedono lo stanziamento, a cadenza annuale, di specifiche risorse mirate a promuovere l’uso parlato e scritto della lingua minoritaria. I finanziamenti vengono erogati alle amministrazioni pubbliche sul territorio in base a specifici bandi annuali conformi al Regolamento di attuazione della legge (d.P.R. 345/2001) e ad un decreto, emesso a cadenza triennale ai sensi dell’art. 8 del precitato d.P.R. contenente i criteri per l’attribuzione e la ripartizione dei fondi. Il Dipartimento provvede alla predisposizione della proposta di decreto di ripartizione dei fondi relativi al Bando annuale per le minoranze linguistiche.</w:t>
            </w:r>
          </w:p>
        </w:tc>
      </w:tr>
      <w:tr w:rsidR="00F56356" w:rsidRPr="00F56356" w14:paraId="7D8BC19C" w14:textId="77777777" w:rsidTr="00F56356">
        <w:trPr>
          <w:trHeight w:val="34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084D97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2397470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662797A" w14:textId="77777777" w:rsidTr="00F56356">
        <w:trPr>
          <w:trHeight w:val="34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58F6C1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1A338AD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79A4D38" w14:textId="77777777" w:rsidTr="00F56356">
        <w:trPr>
          <w:trHeight w:val="360"/>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4ADB249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00" w:type="dxa"/>
            <w:tcBorders>
              <w:top w:val="nil"/>
              <w:left w:val="nil"/>
              <w:bottom w:val="nil"/>
              <w:right w:val="single" w:sz="4" w:space="0" w:color="auto"/>
            </w:tcBorders>
            <w:shd w:val="clear" w:color="auto" w:fill="auto"/>
            <w:vAlign w:val="center"/>
            <w:hideMark/>
          </w:tcPr>
          <w:p w14:paraId="5416DA6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24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C60B7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13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B3CBB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46EEC7CE" w14:textId="77777777" w:rsidTr="00F56356">
        <w:trPr>
          <w:trHeight w:val="989"/>
        </w:trPr>
        <w:tc>
          <w:tcPr>
            <w:tcW w:w="2620" w:type="dxa"/>
            <w:vMerge/>
            <w:tcBorders>
              <w:top w:val="nil"/>
              <w:left w:val="single" w:sz="4" w:space="0" w:color="auto"/>
              <w:bottom w:val="single" w:sz="4" w:space="0" w:color="000000"/>
              <w:right w:val="single" w:sz="4" w:space="0" w:color="auto"/>
            </w:tcBorders>
            <w:vAlign w:val="center"/>
            <w:hideMark/>
          </w:tcPr>
          <w:p w14:paraId="55914A3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00" w:type="dxa"/>
            <w:tcBorders>
              <w:top w:val="nil"/>
              <w:left w:val="nil"/>
              <w:bottom w:val="nil"/>
              <w:right w:val="single" w:sz="4" w:space="0" w:color="auto"/>
            </w:tcBorders>
            <w:shd w:val="clear" w:color="auto" w:fill="auto"/>
            <w:vAlign w:val="center"/>
            <w:hideMark/>
          </w:tcPr>
          <w:p w14:paraId="41D8F6E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w:t>
            </w:r>
          </w:p>
        </w:tc>
        <w:tc>
          <w:tcPr>
            <w:tcW w:w="1240" w:type="dxa"/>
            <w:tcBorders>
              <w:top w:val="nil"/>
              <w:left w:val="nil"/>
              <w:bottom w:val="single" w:sz="4" w:space="0" w:color="auto"/>
              <w:right w:val="single" w:sz="4" w:space="0" w:color="auto"/>
            </w:tcBorders>
            <w:shd w:val="clear" w:color="auto" w:fill="auto"/>
            <w:vAlign w:val="center"/>
            <w:hideMark/>
          </w:tcPr>
          <w:p w14:paraId="3B84A40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220" w:type="dxa"/>
            <w:tcBorders>
              <w:top w:val="nil"/>
              <w:left w:val="nil"/>
              <w:bottom w:val="single" w:sz="4" w:space="0" w:color="auto"/>
              <w:right w:val="single" w:sz="4" w:space="0" w:color="auto"/>
            </w:tcBorders>
            <w:shd w:val="clear" w:color="auto" w:fill="auto"/>
            <w:vAlign w:val="center"/>
            <w:hideMark/>
          </w:tcPr>
          <w:p w14:paraId="6A949B0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420" w:type="dxa"/>
            <w:tcBorders>
              <w:top w:val="nil"/>
              <w:left w:val="nil"/>
              <w:bottom w:val="single" w:sz="4" w:space="0" w:color="auto"/>
              <w:right w:val="single" w:sz="4" w:space="0" w:color="auto"/>
            </w:tcBorders>
            <w:shd w:val="clear" w:color="auto" w:fill="auto"/>
            <w:vAlign w:val="center"/>
            <w:hideMark/>
          </w:tcPr>
          <w:p w14:paraId="620BF4C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420" w:type="dxa"/>
            <w:tcBorders>
              <w:top w:val="nil"/>
              <w:left w:val="nil"/>
              <w:bottom w:val="single" w:sz="4" w:space="0" w:color="auto"/>
              <w:right w:val="single" w:sz="4" w:space="0" w:color="auto"/>
            </w:tcBorders>
            <w:shd w:val="clear" w:color="auto" w:fill="auto"/>
            <w:vAlign w:val="center"/>
            <w:hideMark/>
          </w:tcPr>
          <w:p w14:paraId="7FBAF1C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298" w:type="dxa"/>
            <w:tcBorders>
              <w:top w:val="nil"/>
              <w:left w:val="nil"/>
              <w:bottom w:val="single" w:sz="4" w:space="0" w:color="auto"/>
              <w:right w:val="single" w:sz="4" w:space="0" w:color="auto"/>
            </w:tcBorders>
            <w:shd w:val="clear" w:color="auto" w:fill="auto"/>
            <w:vAlign w:val="center"/>
            <w:hideMark/>
          </w:tcPr>
          <w:p w14:paraId="41D9431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05046D3" w14:textId="77777777" w:rsidTr="00F56356">
        <w:trPr>
          <w:trHeight w:val="690"/>
        </w:trPr>
        <w:tc>
          <w:tcPr>
            <w:tcW w:w="2620" w:type="dxa"/>
            <w:vMerge/>
            <w:tcBorders>
              <w:top w:val="nil"/>
              <w:left w:val="single" w:sz="4" w:space="0" w:color="auto"/>
              <w:bottom w:val="single" w:sz="4" w:space="0" w:color="000000"/>
              <w:right w:val="single" w:sz="4" w:space="0" w:color="auto"/>
            </w:tcBorders>
            <w:vAlign w:val="center"/>
            <w:hideMark/>
          </w:tcPr>
          <w:p w14:paraId="5174018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A6A794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484</w:t>
            </w:r>
          </w:p>
        </w:tc>
        <w:tc>
          <w:tcPr>
            <w:tcW w:w="1240" w:type="dxa"/>
            <w:tcBorders>
              <w:top w:val="nil"/>
              <w:left w:val="nil"/>
              <w:bottom w:val="single" w:sz="4" w:space="0" w:color="auto"/>
              <w:right w:val="single" w:sz="4" w:space="0" w:color="auto"/>
            </w:tcBorders>
            <w:shd w:val="clear" w:color="auto" w:fill="auto"/>
            <w:noWrap/>
            <w:vAlign w:val="center"/>
            <w:hideMark/>
          </w:tcPr>
          <w:p w14:paraId="11BB29E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3.139.275,00</w:t>
            </w:r>
          </w:p>
        </w:tc>
        <w:tc>
          <w:tcPr>
            <w:tcW w:w="1220" w:type="dxa"/>
            <w:tcBorders>
              <w:top w:val="nil"/>
              <w:left w:val="nil"/>
              <w:bottom w:val="single" w:sz="4" w:space="0" w:color="auto"/>
              <w:right w:val="single" w:sz="4" w:space="0" w:color="auto"/>
            </w:tcBorders>
            <w:shd w:val="clear" w:color="auto" w:fill="auto"/>
            <w:noWrap/>
            <w:vAlign w:val="center"/>
            <w:hideMark/>
          </w:tcPr>
          <w:p w14:paraId="5442601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3.139.275,00</w:t>
            </w:r>
          </w:p>
        </w:tc>
        <w:tc>
          <w:tcPr>
            <w:tcW w:w="1420" w:type="dxa"/>
            <w:tcBorders>
              <w:top w:val="nil"/>
              <w:left w:val="nil"/>
              <w:bottom w:val="single" w:sz="4" w:space="0" w:color="auto"/>
              <w:right w:val="single" w:sz="4" w:space="0" w:color="auto"/>
            </w:tcBorders>
            <w:shd w:val="clear" w:color="auto" w:fill="auto"/>
            <w:noWrap/>
            <w:vAlign w:val="center"/>
            <w:hideMark/>
          </w:tcPr>
          <w:p w14:paraId="116D843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1.997.701,11</w:t>
            </w:r>
          </w:p>
        </w:tc>
        <w:tc>
          <w:tcPr>
            <w:tcW w:w="1420" w:type="dxa"/>
            <w:tcBorders>
              <w:top w:val="nil"/>
              <w:left w:val="nil"/>
              <w:bottom w:val="single" w:sz="4" w:space="0" w:color="auto"/>
              <w:right w:val="single" w:sz="4" w:space="0" w:color="auto"/>
            </w:tcBorders>
            <w:shd w:val="clear" w:color="auto" w:fill="auto"/>
            <w:noWrap/>
            <w:vAlign w:val="center"/>
            <w:hideMark/>
          </w:tcPr>
          <w:p w14:paraId="3176D3E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298" w:type="dxa"/>
            <w:tcBorders>
              <w:top w:val="nil"/>
              <w:left w:val="nil"/>
              <w:bottom w:val="single" w:sz="4" w:space="0" w:color="auto"/>
              <w:right w:val="single" w:sz="4" w:space="0" w:color="auto"/>
            </w:tcBorders>
            <w:shd w:val="clear" w:color="auto" w:fill="auto"/>
            <w:noWrap/>
            <w:vAlign w:val="center"/>
            <w:hideMark/>
          </w:tcPr>
          <w:p w14:paraId="36AB2FA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1.997.701,11</w:t>
            </w:r>
          </w:p>
        </w:tc>
      </w:tr>
      <w:tr w:rsidR="00F56356" w:rsidRPr="00F56356" w14:paraId="22630EA7" w14:textId="77777777" w:rsidTr="00F56356">
        <w:trPr>
          <w:trHeight w:val="615"/>
        </w:trPr>
        <w:tc>
          <w:tcPr>
            <w:tcW w:w="2620" w:type="dxa"/>
            <w:vMerge/>
            <w:tcBorders>
              <w:top w:val="nil"/>
              <w:left w:val="single" w:sz="4" w:space="0" w:color="auto"/>
              <w:bottom w:val="single" w:sz="4" w:space="0" w:color="000000"/>
              <w:right w:val="single" w:sz="4" w:space="0" w:color="auto"/>
            </w:tcBorders>
            <w:vAlign w:val="center"/>
            <w:hideMark/>
          </w:tcPr>
          <w:p w14:paraId="02BA041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00" w:type="dxa"/>
            <w:tcBorders>
              <w:top w:val="nil"/>
              <w:left w:val="nil"/>
              <w:bottom w:val="single" w:sz="4" w:space="0" w:color="auto"/>
              <w:right w:val="single" w:sz="4" w:space="0" w:color="auto"/>
            </w:tcBorders>
            <w:shd w:val="clear" w:color="auto" w:fill="auto"/>
            <w:vAlign w:val="center"/>
            <w:hideMark/>
          </w:tcPr>
          <w:p w14:paraId="353BAE5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486</w:t>
            </w:r>
          </w:p>
        </w:tc>
        <w:tc>
          <w:tcPr>
            <w:tcW w:w="1240" w:type="dxa"/>
            <w:tcBorders>
              <w:top w:val="nil"/>
              <w:left w:val="nil"/>
              <w:bottom w:val="single" w:sz="4" w:space="0" w:color="auto"/>
              <w:right w:val="single" w:sz="4" w:space="0" w:color="auto"/>
            </w:tcBorders>
            <w:shd w:val="clear" w:color="auto" w:fill="auto"/>
            <w:noWrap/>
            <w:vAlign w:val="center"/>
            <w:hideMark/>
          </w:tcPr>
          <w:p w14:paraId="4D9CEE9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1.919.485,00</w:t>
            </w:r>
          </w:p>
        </w:tc>
        <w:tc>
          <w:tcPr>
            <w:tcW w:w="1220" w:type="dxa"/>
            <w:tcBorders>
              <w:top w:val="nil"/>
              <w:left w:val="nil"/>
              <w:bottom w:val="single" w:sz="4" w:space="0" w:color="auto"/>
              <w:right w:val="single" w:sz="4" w:space="0" w:color="auto"/>
            </w:tcBorders>
            <w:shd w:val="clear" w:color="auto" w:fill="auto"/>
            <w:noWrap/>
            <w:vAlign w:val="center"/>
            <w:hideMark/>
          </w:tcPr>
          <w:p w14:paraId="187B032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2.915.418,00</w:t>
            </w:r>
          </w:p>
        </w:tc>
        <w:tc>
          <w:tcPr>
            <w:tcW w:w="1420" w:type="dxa"/>
            <w:tcBorders>
              <w:top w:val="nil"/>
              <w:left w:val="nil"/>
              <w:bottom w:val="single" w:sz="4" w:space="0" w:color="auto"/>
              <w:right w:val="single" w:sz="4" w:space="0" w:color="auto"/>
            </w:tcBorders>
            <w:shd w:val="clear" w:color="auto" w:fill="auto"/>
            <w:noWrap/>
            <w:vAlign w:val="center"/>
            <w:hideMark/>
          </w:tcPr>
          <w:p w14:paraId="4234F49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2.908.450,00</w:t>
            </w:r>
          </w:p>
        </w:tc>
        <w:tc>
          <w:tcPr>
            <w:tcW w:w="1420" w:type="dxa"/>
            <w:tcBorders>
              <w:top w:val="nil"/>
              <w:left w:val="nil"/>
              <w:bottom w:val="single" w:sz="4" w:space="0" w:color="auto"/>
              <w:right w:val="single" w:sz="4" w:space="0" w:color="auto"/>
            </w:tcBorders>
            <w:shd w:val="clear" w:color="auto" w:fill="auto"/>
            <w:noWrap/>
            <w:vAlign w:val="center"/>
            <w:hideMark/>
          </w:tcPr>
          <w:p w14:paraId="0499182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6.968,00</w:t>
            </w:r>
          </w:p>
        </w:tc>
        <w:tc>
          <w:tcPr>
            <w:tcW w:w="1298" w:type="dxa"/>
            <w:tcBorders>
              <w:top w:val="nil"/>
              <w:left w:val="nil"/>
              <w:bottom w:val="single" w:sz="4" w:space="0" w:color="auto"/>
              <w:right w:val="single" w:sz="4" w:space="0" w:color="auto"/>
            </w:tcBorders>
            <w:shd w:val="clear" w:color="auto" w:fill="auto"/>
            <w:noWrap/>
            <w:vAlign w:val="center"/>
            <w:hideMark/>
          </w:tcPr>
          <w:p w14:paraId="003F95D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2.915.418,00</w:t>
            </w:r>
          </w:p>
        </w:tc>
      </w:tr>
      <w:tr w:rsidR="00F56356" w:rsidRPr="00F56356" w14:paraId="2E2362F2" w14:textId="77777777" w:rsidTr="00F56356">
        <w:trPr>
          <w:trHeight w:val="330"/>
        </w:trPr>
        <w:tc>
          <w:tcPr>
            <w:tcW w:w="2620" w:type="dxa"/>
            <w:tcBorders>
              <w:top w:val="nil"/>
              <w:left w:val="single" w:sz="4" w:space="0" w:color="auto"/>
              <w:bottom w:val="nil"/>
              <w:right w:val="nil"/>
            </w:tcBorders>
            <w:shd w:val="clear" w:color="auto" w:fill="auto"/>
            <w:noWrap/>
            <w:vAlign w:val="center"/>
            <w:hideMark/>
          </w:tcPr>
          <w:p w14:paraId="4D35D816"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00" w:type="dxa"/>
            <w:tcBorders>
              <w:top w:val="nil"/>
              <w:left w:val="nil"/>
              <w:bottom w:val="nil"/>
              <w:right w:val="nil"/>
            </w:tcBorders>
            <w:shd w:val="clear" w:color="auto" w:fill="auto"/>
            <w:noWrap/>
            <w:vAlign w:val="bottom"/>
            <w:hideMark/>
          </w:tcPr>
          <w:p w14:paraId="25AFADC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FAB0A8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20" w:type="dxa"/>
            <w:tcBorders>
              <w:top w:val="nil"/>
              <w:left w:val="nil"/>
              <w:bottom w:val="nil"/>
              <w:right w:val="nil"/>
            </w:tcBorders>
            <w:shd w:val="clear" w:color="auto" w:fill="auto"/>
            <w:noWrap/>
            <w:vAlign w:val="bottom"/>
            <w:hideMark/>
          </w:tcPr>
          <w:p w14:paraId="3FBED4D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16F773F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2E280E3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98" w:type="dxa"/>
            <w:tcBorders>
              <w:top w:val="nil"/>
              <w:left w:val="nil"/>
              <w:bottom w:val="nil"/>
              <w:right w:val="single" w:sz="4" w:space="0" w:color="auto"/>
            </w:tcBorders>
            <w:shd w:val="clear" w:color="auto" w:fill="auto"/>
            <w:noWrap/>
            <w:vAlign w:val="bottom"/>
            <w:hideMark/>
          </w:tcPr>
          <w:p w14:paraId="51B52A4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E00F252" w14:textId="77777777" w:rsidTr="00F56356">
        <w:trPr>
          <w:trHeight w:val="375"/>
        </w:trPr>
        <w:tc>
          <w:tcPr>
            <w:tcW w:w="9918" w:type="dxa"/>
            <w:gridSpan w:val="7"/>
            <w:tcBorders>
              <w:top w:val="nil"/>
              <w:left w:val="single" w:sz="4" w:space="0" w:color="auto"/>
              <w:bottom w:val="nil"/>
              <w:right w:val="single" w:sz="4" w:space="0" w:color="000000"/>
            </w:tcBorders>
            <w:shd w:val="clear" w:color="auto" w:fill="auto"/>
            <w:vAlign w:val="center"/>
            <w:hideMark/>
          </w:tcPr>
          <w:p w14:paraId="1E97BB8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1BAD4483" w14:textId="77777777" w:rsidTr="00F56356">
        <w:trPr>
          <w:trHeight w:val="375"/>
        </w:trPr>
        <w:tc>
          <w:tcPr>
            <w:tcW w:w="9918" w:type="dxa"/>
            <w:gridSpan w:val="7"/>
            <w:tcBorders>
              <w:top w:val="nil"/>
              <w:left w:val="single" w:sz="4" w:space="0" w:color="auto"/>
              <w:bottom w:val="nil"/>
              <w:right w:val="single" w:sz="4" w:space="0" w:color="000000"/>
            </w:tcBorders>
            <w:shd w:val="clear" w:color="auto" w:fill="auto"/>
            <w:vAlign w:val="center"/>
            <w:hideMark/>
          </w:tcPr>
          <w:p w14:paraId="455CFEF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24E9E001" w14:textId="77777777" w:rsidTr="00F56356">
        <w:trPr>
          <w:trHeight w:val="375"/>
        </w:trPr>
        <w:tc>
          <w:tcPr>
            <w:tcW w:w="9918" w:type="dxa"/>
            <w:gridSpan w:val="7"/>
            <w:tcBorders>
              <w:top w:val="nil"/>
              <w:left w:val="single" w:sz="4" w:space="0" w:color="auto"/>
              <w:bottom w:val="single" w:sz="4" w:space="0" w:color="auto"/>
              <w:right w:val="single" w:sz="4" w:space="0" w:color="000000"/>
            </w:tcBorders>
            <w:shd w:val="clear" w:color="auto" w:fill="auto"/>
            <w:vAlign w:val="center"/>
            <w:hideMark/>
          </w:tcPr>
          <w:p w14:paraId="612A0AB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20A69565" w14:textId="77777777" w:rsidTr="00F56356">
        <w:trPr>
          <w:trHeight w:val="364"/>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4351D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25E93E4E" w14:textId="77777777" w:rsidTr="00F56356">
        <w:trPr>
          <w:trHeight w:val="87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31BE0EB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634695A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Tempestività nella predisposizione della documentazione e nell’invio all’Autorità politica della proposta di decreto di ripartizione dei fondi relativi al Bando annuale per le minoranze linguistiche, ai sensi degli artt. 9 e 15 della legge 482/99, entro il 15 ottobre 2022.</w:t>
            </w:r>
          </w:p>
        </w:tc>
      </w:tr>
      <w:tr w:rsidR="00F56356" w:rsidRPr="00F56356" w14:paraId="23656C70" w14:textId="77777777" w:rsidTr="00F56356">
        <w:trPr>
          <w:trHeight w:val="525"/>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0008071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298" w:type="dxa"/>
            <w:gridSpan w:val="6"/>
            <w:tcBorders>
              <w:top w:val="single" w:sz="4" w:space="0" w:color="auto"/>
              <w:left w:val="nil"/>
              <w:bottom w:val="single" w:sz="4" w:space="0" w:color="auto"/>
              <w:right w:val="single" w:sz="4" w:space="0" w:color="000000"/>
            </w:tcBorders>
            <w:shd w:val="clear" w:color="auto" w:fill="auto"/>
            <w:vAlign w:val="center"/>
            <w:hideMark/>
          </w:tcPr>
          <w:p w14:paraId="4F058FA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Sistema di posta elettronica. Protocollo informatico.</w:t>
            </w:r>
          </w:p>
        </w:tc>
      </w:tr>
      <w:tr w:rsidR="00F56356" w:rsidRPr="00F56356" w14:paraId="4832DC29" w14:textId="77777777" w:rsidTr="00F56356">
        <w:trPr>
          <w:trHeight w:val="1620"/>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04FDD99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60" w:type="dxa"/>
            <w:gridSpan w:val="3"/>
            <w:tcBorders>
              <w:top w:val="single" w:sz="4" w:space="0" w:color="auto"/>
              <w:left w:val="nil"/>
              <w:bottom w:val="single" w:sz="4" w:space="0" w:color="auto"/>
              <w:right w:val="single" w:sz="4" w:space="0" w:color="000000"/>
            </w:tcBorders>
            <w:shd w:val="clear" w:color="auto" w:fill="auto"/>
            <w:vAlign w:val="center"/>
            <w:hideMark/>
          </w:tcPr>
          <w:p w14:paraId="1990FB4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Trasmissione al Ministro per gli affari regionali e le autonomie, entro il 15 ottobre 2022, della proposta di decreto di ripartizione dei fondi relativi al Bando annuale per le minoranze linguistiche.</w:t>
            </w:r>
          </w:p>
        </w:tc>
        <w:tc>
          <w:tcPr>
            <w:tcW w:w="1420" w:type="dxa"/>
            <w:tcBorders>
              <w:top w:val="nil"/>
              <w:left w:val="nil"/>
              <w:bottom w:val="single" w:sz="4" w:space="0" w:color="auto"/>
              <w:right w:val="nil"/>
            </w:tcBorders>
            <w:shd w:val="clear" w:color="auto" w:fill="auto"/>
            <w:vAlign w:val="center"/>
            <w:hideMark/>
          </w:tcPr>
          <w:p w14:paraId="6A03A31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20" w:type="dxa"/>
            <w:tcBorders>
              <w:top w:val="nil"/>
              <w:left w:val="single" w:sz="4" w:space="0" w:color="auto"/>
              <w:bottom w:val="single" w:sz="4" w:space="0" w:color="auto"/>
              <w:right w:val="nil"/>
            </w:tcBorders>
            <w:shd w:val="clear" w:color="auto" w:fill="auto"/>
            <w:vAlign w:val="center"/>
            <w:hideMark/>
          </w:tcPr>
          <w:p w14:paraId="28945ED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98" w:type="dxa"/>
            <w:tcBorders>
              <w:top w:val="nil"/>
              <w:left w:val="single" w:sz="4" w:space="0" w:color="auto"/>
              <w:bottom w:val="single" w:sz="4" w:space="0" w:color="auto"/>
              <w:right w:val="single" w:sz="4" w:space="0" w:color="auto"/>
            </w:tcBorders>
            <w:shd w:val="clear" w:color="auto" w:fill="auto"/>
            <w:vAlign w:val="center"/>
            <w:hideMark/>
          </w:tcPr>
          <w:p w14:paraId="5F07C58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44861AEC" w14:textId="77777777" w:rsidTr="00F56356">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234E93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E4828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giorni di ritardo</w:t>
            </w:r>
          </w:p>
        </w:tc>
        <w:tc>
          <w:tcPr>
            <w:tcW w:w="1420" w:type="dxa"/>
            <w:tcBorders>
              <w:top w:val="nil"/>
              <w:left w:val="nil"/>
              <w:bottom w:val="single" w:sz="4" w:space="0" w:color="auto"/>
              <w:right w:val="single" w:sz="4" w:space="0" w:color="auto"/>
            </w:tcBorders>
            <w:shd w:val="clear" w:color="auto" w:fill="auto"/>
            <w:noWrap/>
            <w:vAlign w:val="center"/>
            <w:hideMark/>
          </w:tcPr>
          <w:p w14:paraId="337160A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420" w:type="dxa"/>
            <w:tcBorders>
              <w:top w:val="nil"/>
              <w:left w:val="nil"/>
              <w:bottom w:val="single" w:sz="4" w:space="0" w:color="auto"/>
              <w:right w:val="nil"/>
            </w:tcBorders>
            <w:shd w:val="clear" w:color="auto" w:fill="auto"/>
            <w:vAlign w:val="center"/>
            <w:hideMark/>
          </w:tcPr>
          <w:p w14:paraId="1F966D3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298" w:type="dxa"/>
            <w:tcBorders>
              <w:top w:val="nil"/>
              <w:left w:val="single" w:sz="4" w:space="0" w:color="auto"/>
              <w:bottom w:val="single" w:sz="4" w:space="0" w:color="auto"/>
              <w:right w:val="single" w:sz="4" w:space="0" w:color="auto"/>
            </w:tcBorders>
            <w:shd w:val="clear" w:color="000000" w:fill="FFFFFF"/>
            <w:vAlign w:val="center"/>
            <w:hideMark/>
          </w:tcPr>
          <w:p w14:paraId="68E8C2C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67C3B184"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tbl>
      <w:tblPr>
        <w:tblW w:w="9918" w:type="dxa"/>
        <w:tblCellMar>
          <w:left w:w="70" w:type="dxa"/>
          <w:right w:w="70" w:type="dxa"/>
        </w:tblCellMar>
        <w:tblLook w:val="04A0" w:firstRow="1" w:lastRow="0" w:firstColumn="1" w:lastColumn="0" w:noHBand="0" w:noVBand="1"/>
      </w:tblPr>
      <w:tblGrid>
        <w:gridCol w:w="2315"/>
        <w:gridCol w:w="778"/>
        <w:gridCol w:w="1460"/>
        <w:gridCol w:w="1320"/>
        <w:gridCol w:w="1360"/>
        <w:gridCol w:w="1420"/>
        <w:gridCol w:w="1265"/>
      </w:tblGrid>
      <w:tr w:rsidR="00F56356" w:rsidRPr="00F56356" w14:paraId="4F7B10B4" w14:textId="77777777" w:rsidTr="00F56356">
        <w:trPr>
          <w:trHeight w:val="411"/>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7DF05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2D499A2E" w14:textId="77777777" w:rsidTr="00F56356">
        <w:trPr>
          <w:trHeight w:val="305"/>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3F3C98F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12C511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1EBE9898" w14:textId="77777777" w:rsidTr="00F56356">
        <w:trPr>
          <w:trHeight w:val="255"/>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7BAC97F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60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74F0D5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3E4BDAA2" w14:textId="77777777" w:rsidTr="00F56356">
        <w:trPr>
          <w:trHeight w:val="465"/>
        </w:trPr>
        <w:tc>
          <w:tcPr>
            <w:tcW w:w="2315" w:type="dxa"/>
            <w:tcBorders>
              <w:top w:val="nil"/>
              <w:left w:val="single" w:sz="4" w:space="0" w:color="auto"/>
              <w:bottom w:val="single" w:sz="4" w:space="0" w:color="auto"/>
              <w:right w:val="single" w:sz="4" w:space="0" w:color="auto"/>
            </w:tcBorders>
            <w:shd w:val="clear" w:color="auto" w:fill="auto"/>
            <w:vAlign w:val="center"/>
            <w:hideMark/>
          </w:tcPr>
          <w:p w14:paraId="10F0D39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603"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1F20F9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7 - Affari regionali e autonomie </w:t>
            </w:r>
          </w:p>
        </w:tc>
      </w:tr>
      <w:tr w:rsidR="00F56356" w:rsidRPr="00F56356" w14:paraId="21375018" w14:textId="77777777" w:rsidTr="00F56356">
        <w:trPr>
          <w:trHeight w:val="735"/>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7F0F521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09CD3A0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finalizzate alla realizzazione di quanto di competenza del Dipartimento per gli affari regionali e le autonomie ai fini dell’erogazione del Fondo per gli investimenti nelle isole minori istituito con la legge di Bilancio 2020</w:t>
            </w:r>
          </w:p>
        </w:tc>
      </w:tr>
      <w:tr w:rsidR="00F56356" w:rsidRPr="00F56356" w14:paraId="178FFE1B" w14:textId="77777777" w:rsidTr="00F56356">
        <w:trPr>
          <w:trHeight w:val="3554"/>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62087BB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7A7FE56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Il Fondo per gli investimenti nelle isole minori è stato istituito dall’articolo 1, comma 553, della legge 27 dicembre 2019, n. 160 (legge di bilancio 2020). I criteri e le modalità di erogazione del fondo sono stati disposti con decreto del Presidente del Consiglio dei Ministri 4 febbraio 2021 e con successivo decreto ministeriale del 13 agosto 2021 sono stati definiti i coefficienti di riparto del Fondo tra i 40 comuni delle isole minori. Il </w:t>
            </w:r>
            <w:proofErr w:type="spellStart"/>
            <w:r w:rsidRPr="00F56356">
              <w:rPr>
                <w:rFonts w:ascii="Times New Roman" w:eastAsia="Times New Roman" w:hAnsi="Times New Roman" w:cs="Times New Roman"/>
                <w:color w:val="000000"/>
                <w:sz w:val="20"/>
                <w:szCs w:val="20"/>
                <w:lang w:eastAsia="it-IT"/>
              </w:rPr>
              <w:t>dPCM</w:t>
            </w:r>
            <w:proofErr w:type="spellEnd"/>
            <w:r w:rsidRPr="00F56356">
              <w:rPr>
                <w:rFonts w:ascii="Times New Roman" w:eastAsia="Times New Roman" w:hAnsi="Times New Roman" w:cs="Times New Roman"/>
                <w:color w:val="000000"/>
                <w:sz w:val="20"/>
                <w:szCs w:val="20"/>
                <w:lang w:eastAsia="it-IT"/>
              </w:rPr>
              <w:t xml:space="preserve"> dispone che i comuni presentino la richiesta di finanziamento a valere sulle annualità 2020-2022 entro 30 giorni dalla pubblicazione del decreto ministeriale di riparto avvenuta il 27 settembre 2021 e quindi entro il 27 ottobre 2021. Entro i successivi 60 giorni, il Dipartimento provvede alla valutazione della ammissibilità delle richieste, nei 15 giorni successivi pubblica l’elenco dei progetti ammessi a finanziamento e, entro i seguenti 15 giorni, provvede alla emanazione del decreto dipartimentale di prima erogazione, ai comuni, delle somme dovute. La prima erogazione sarà effettuata a valere sulle annualità 2020, 2021 e 2022 del Fondo. Il Dipartimento provvede ai successivi decreti di erogazione che riguarderanno l’annualità 2022 entro 30 giorni dalla trasmissione, da parte dei comuni, della completata progettazione o della documentazione attestante il raggiungimento di uno stato di avanzamento della realizzazione di almeno il 50 per cento. </w:t>
            </w:r>
          </w:p>
        </w:tc>
      </w:tr>
      <w:tr w:rsidR="00F56356" w:rsidRPr="00F56356" w14:paraId="0B82E2B1" w14:textId="77777777" w:rsidTr="00F56356">
        <w:trPr>
          <w:trHeight w:val="315"/>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0A13FE1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3C079F9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00B5E91" w14:textId="77777777" w:rsidTr="00F56356">
        <w:trPr>
          <w:trHeight w:val="330"/>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373F4A9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121C3AE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EF46031" w14:textId="77777777" w:rsidTr="00F56356">
        <w:trPr>
          <w:trHeight w:val="450"/>
        </w:trPr>
        <w:tc>
          <w:tcPr>
            <w:tcW w:w="2315" w:type="dxa"/>
            <w:vMerge w:val="restart"/>
            <w:tcBorders>
              <w:top w:val="nil"/>
              <w:left w:val="single" w:sz="4" w:space="0" w:color="auto"/>
              <w:bottom w:val="single" w:sz="4" w:space="0" w:color="000000"/>
              <w:right w:val="single" w:sz="4" w:space="0" w:color="auto"/>
            </w:tcBorders>
            <w:shd w:val="clear" w:color="auto" w:fill="auto"/>
            <w:vAlign w:val="center"/>
            <w:hideMark/>
          </w:tcPr>
          <w:p w14:paraId="2F37CD8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78" w:type="dxa"/>
            <w:vMerge w:val="restart"/>
            <w:tcBorders>
              <w:top w:val="nil"/>
              <w:left w:val="single" w:sz="4" w:space="0" w:color="auto"/>
              <w:bottom w:val="single" w:sz="4" w:space="0" w:color="000000"/>
              <w:right w:val="single" w:sz="4" w:space="0" w:color="auto"/>
            </w:tcBorders>
            <w:shd w:val="clear" w:color="auto" w:fill="auto"/>
            <w:vAlign w:val="center"/>
            <w:hideMark/>
          </w:tcPr>
          <w:p w14:paraId="0AD54AC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939</w:t>
            </w: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A282B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04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C7E93A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DFCB0C6" w14:textId="77777777" w:rsidTr="00F56356">
        <w:trPr>
          <w:trHeight w:val="1215"/>
        </w:trPr>
        <w:tc>
          <w:tcPr>
            <w:tcW w:w="2315" w:type="dxa"/>
            <w:vMerge/>
            <w:tcBorders>
              <w:top w:val="nil"/>
              <w:left w:val="single" w:sz="4" w:space="0" w:color="auto"/>
              <w:bottom w:val="single" w:sz="4" w:space="0" w:color="000000"/>
              <w:right w:val="single" w:sz="4" w:space="0" w:color="auto"/>
            </w:tcBorders>
            <w:vAlign w:val="center"/>
            <w:hideMark/>
          </w:tcPr>
          <w:p w14:paraId="201AF38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78" w:type="dxa"/>
            <w:vMerge/>
            <w:tcBorders>
              <w:top w:val="nil"/>
              <w:left w:val="single" w:sz="4" w:space="0" w:color="auto"/>
              <w:bottom w:val="single" w:sz="4" w:space="0" w:color="000000"/>
              <w:right w:val="single" w:sz="4" w:space="0" w:color="auto"/>
            </w:tcBorders>
            <w:vAlign w:val="center"/>
            <w:hideMark/>
          </w:tcPr>
          <w:p w14:paraId="44FD063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460" w:type="dxa"/>
            <w:tcBorders>
              <w:top w:val="nil"/>
              <w:left w:val="nil"/>
              <w:bottom w:val="single" w:sz="4" w:space="0" w:color="auto"/>
              <w:right w:val="single" w:sz="4" w:space="0" w:color="auto"/>
            </w:tcBorders>
            <w:shd w:val="clear" w:color="auto" w:fill="auto"/>
            <w:vAlign w:val="center"/>
            <w:hideMark/>
          </w:tcPr>
          <w:p w14:paraId="39E5329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20" w:type="dxa"/>
            <w:tcBorders>
              <w:top w:val="nil"/>
              <w:left w:val="nil"/>
              <w:bottom w:val="single" w:sz="4" w:space="0" w:color="auto"/>
              <w:right w:val="single" w:sz="4" w:space="0" w:color="auto"/>
            </w:tcBorders>
            <w:shd w:val="clear" w:color="auto" w:fill="auto"/>
            <w:vAlign w:val="center"/>
            <w:hideMark/>
          </w:tcPr>
          <w:p w14:paraId="28D2C24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360" w:type="dxa"/>
            <w:tcBorders>
              <w:top w:val="nil"/>
              <w:left w:val="nil"/>
              <w:bottom w:val="single" w:sz="4" w:space="0" w:color="auto"/>
              <w:right w:val="single" w:sz="4" w:space="0" w:color="auto"/>
            </w:tcBorders>
            <w:shd w:val="clear" w:color="auto" w:fill="auto"/>
            <w:vAlign w:val="center"/>
            <w:hideMark/>
          </w:tcPr>
          <w:p w14:paraId="38747F4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420" w:type="dxa"/>
            <w:tcBorders>
              <w:top w:val="nil"/>
              <w:left w:val="nil"/>
              <w:bottom w:val="single" w:sz="4" w:space="0" w:color="auto"/>
              <w:right w:val="single" w:sz="4" w:space="0" w:color="auto"/>
            </w:tcBorders>
            <w:shd w:val="clear" w:color="auto" w:fill="auto"/>
            <w:vAlign w:val="center"/>
            <w:hideMark/>
          </w:tcPr>
          <w:p w14:paraId="6842A97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265" w:type="dxa"/>
            <w:tcBorders>
              <w:top w:val="nil"/>
              <w:left w:val="nil"/>
              <w:bottom w:val="single" w:sz="4" w:space="0" w:color="auto"/>
              <w:right w:val="single" w:sz="4" w:space="0" w:color="auto"/>
            </w:tcBorders>
            <w:shd w:val="clear" w:color="auto" w:fill="auto"/>
            <w:vAlign w:val="center"/>
            <w:hideMark/>
          </w:tcPr>
          <w:p w14:paraId="606B432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555F405" w14:textId="77777777" w:rsidTr="00F56356">
        <w:trPr>
          <w:trHeight w:val="525"/>
        </w:trPr>
        <w:tc>
          <w:tcPr>
            <w:tcW w:w="2315" w:type="dxa"/>
            <w:vMerge/>
            <w:tcBorders>
              <w:top w:val="nil"/>
              <w:left w:val="single" w:sz="4" w:space="0" w:color="auto"/>
              <w:bottom w:val="single" w:sz="4" w:space="0" w:color="000000"/>
              <w:right w:val="single" w:sz="4" w:space="0" w:color="auto"/>
            </w:tcBorders>
            <w:vAlign w:val="center"/>
            <w:hideMark/>
          </w:tcPr>
          <w:p w14:paraId="321661D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78" w:type="dxa"/>
            <w:vMerge/>
            <w:tcBorders>
              <w:top w:val="nil"/>
              <w:left w:val="single" w:sz="4" w:space="0" w:color="auto"/>
              <w:bottom w:val="single" w:sz="4" w:space="0" w:color="000000"/>
              <w:right w:val="single" w:sz="4" w:space="0" w:color="auto"/>
            </w:tcBorders>
            <w:vAlign w:val="center"/>
            <w:hideMark/>
          </w:tcPr>
          <w:p w14:paraId="1FB43AA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460" w:type="dxa"/>
            <w:tcBorders>
              <w:top w:val="nil"/>
              <w:left w:val="nil"/>
              <w:bottom w:val="single" w:sz="4" w:space="0" w:color="auto"/>
              <w:right w:val="single" w:sz="4" w:space="0" w:color="auto"/>
            </w:tcBorders>
            <w:shd w:val="clear" w:color="auto" w:fill="auto"/>
            <w:noWrap/>
            <w:vAlign w:val="center"/>
            <w:hideMark/>
          </w:tcPr>
          <w:p w14:paraId="603A6EA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33.000.000,00</w:t>
            </w:r>
          </w:p>
        </w:tc>
        <w:tc>
          <w:tcPr>
            <w:tcW w:w="1320" w:type="dxa"/>
            <w:tcBorders>
              <w:top w:val="nil"/>
              <w:left w:val="nil"/>
              <w:bottom w:val="single" w:sz="4" w:space="0" w:color="auto"/>
              <w:right w:val="single" w:sz="4" w:space="0" w:color="auto"/>
            </w:tcBorders>
            <w:shd w:val="clear" w:color="auto" w:fill="auto"/>
            <w:noWrap/>
            <w:vAlign w:val="center"/>
            <w:hideMark/>
          </w:tcPr>
          <w:p w14:paraId="3CB31A8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32.230.608,56</w:t>
            </w:r>
          </w:p>
        </w:tc>
        <w:tc>
          <w:tcPr>
            <w:tcW w:w="1360" w:type="dxa"/>
            <w:tcBorders>
              <w:top w:val="nil"/>
              <w:left w:val="nil"/>
              <w:bottom w:val="single" w:sz="4" w:space="0" w:color="auto"/>
              <w:right w:val="single" w:sz="4" w:space="0" w:color="auto"/>
            </w:tcBorders>
            <w:shd w:val="clear" w:color="auto" w:fill="auto"/>
            <w:noWrap/>
            <w:vAlign w:val="center"/>
            <w:hideMark/>
          </w:tcPr>
          <w:p w14:paraId="3E0CEF6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1.687.136,51</w:t>
            </w:r>
          </w:p>
        </w:tc>
        <w:tc>
          <w:tcPr>
            <w:tcW w:w="1420" w:type="dxa"/>
            <w:tcBorders>
              <w:top w:val="nil"/>
              <w:left w:val="nil"/>
              <w:bottom w:val="single" w:sz="4" w:space="0" w:color="auto"/>
              <w:right w:val="single" w:sz="4" w:space="0" w:color="auto"/>
            </w:tcBorders>
            <w:shd w:val="clear" w:color="auto" w:fill="auto"/>
            <w:noWrap/>
            <w:vAlign w:val="center"/>
            <w:hideMark/>
          </w:tcPr>
          <w:p w14:paraId="1148234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30.543.472,05</w:t>
            </w:r>
          </w:p>
        </w:tc>
        <w:tc>
          <w:tcPr>
            <w:tcW w:w="1265" w:type="dxa"/>
            <w:tcBorders>
              <w:top w:val="nil"/>
              <w:left w:val="nil"/>
              <w:bottom w:val="single" w:sz="4" w:space="0" w:color="auto"/>
              <w:right w:val="single" w:sz="4" w:space="0" w:color="auto"/>
            </w:tcBorders>
            <w:shd w:val="clear" w:color="auto" w:fill="auto"/>
            <w:noWrap/>
            <w:vAlign w:val="center"/>
            <w:hideMark/>
          </w:tcPr>
          <w:p w14:paraId="177DEF6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32.230.608,56</w:t>
            </w:r>
          </w:p>
        </w:tc>
      </w:tr>
      <w:tr w:rsidR="00F56356" w:rsidRPr="00F56356" w14:paraId="7DBF07DD" w14:textId="77777777" w:rsidTr="00F56356">
        <w:trPr>
          <w:trHeight w:val="330"/>
        </w:trPr>
        <w:tc>
          <w:tcPr>
            <w:tcW w:w="2315" w:type="dxa"/>
            <w:tcBorders>
              <w:top w:val="nil"/>
              <w:left w:val="single" w:sz="4" w:space="0" w:color="auto"/>
              <w:bottom w:val="nil"/>
              <w:right w:val="nil"/>
            </w:tcBorders>
            <w:shd w:val="clear" w:color="auto" w:fill="auto"/>
            <w:noWrap/>
            <w:vAlign w:val="center"/>
            <w:hideMark/>
          </w:tcPr>
          <w:p w14:paraId="5D7F471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78" w:type="dxa"/>
            <w:tcBorders>
              <w:top w:val="nil"/>
              <w:left w:val="nil"/>
              <w:bottom w:val="nil"/>
              <w:right w:val="nil"/>
            </w:tcBorders>
            <w:shd w:val="clear" w:color="auto" w:fill="auto"/>
            <w:noWrap/>
            <w:vAlign w:val="bottom"/>
            <w:hideMark/>
          </w:tcPr>
          <w:p w14:paraId="76D7576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460" w:type="dxa"/>
            <w:tcBorders>
              <w:top w:val="nil"/>
              <w:left w:val="nil"/>
              <w:bottom w:val="nil"/>
              <w:right w:val="nil"/>
            </w:tcBorders>
            <w:shd w:val="clear" w:color="auto" w:fill="auto"/>
            <w:noWrap/>
            <w:vAlign w:val="bottom"/>
            <w:hideMark/>
          </w:tcPr>
          <w:p w14:paraId="3E411C0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20" w:type="dxa"/>
            <w:tcBorders>
              <w:top w:val="nil"/>
              <w:left w:val="nil"/>
              <w:bottom w:val="nil"/>
              <w:right w:val="nil"/>
            </w:tcBorders>
            <w:shd w:val="clear" w:color="auto" w:fill="auto"/>
            <w:noWrap/>
            <w:vAlign w:val="bottom"/>
            <w:hideMark/>
          </w:tcPr>
          <w:p w14:paraId="62DC298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33311D3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7E3AC1A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65" w:type="dxa"/>
            <w:tcBorders>
              <w:top w:val="nil"/>
              <w:left w:val="nil"/>
              <w:bottom w:val="nil"/>
              <w:right w:val="single" w:sz="4" w:space="0" w:color="auto"/>
            </w:tcBorders>
            <w:shd w:val="clear" w:color="auto" w:fill="auto"/>
            <w:noWrap/>
            <w:vAlign w:val="bottom"/>
            <w:hideMark/>
          </w:tcPr>
          <w:p w14:paraId="2F23715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F5693EA" w14:textId="77777777" w:rsidTr="00F56356">
        <w:trPr>
          <w:trHeight w:val="300"/>
        </w:trPr>
        <w:tc>
          <w:tcPr>
            <w:tcW w:w="9918" w:type="dxa"/>
            <w:gridSpan w:val="7"/>
            <w:tcBorders>
              <w:top w:val="nil"/>
              <w:left w:val="single" w:sz="4" w:space="0" w:color="auto"/>
              <w:bottom w:val="nil"/>
              <w:right w:val="single" w:sz="4" w:space="0" w:color="000000"/>
            </w:tcBorders>
            <w:shd w:val="clear" w:color="auto" w:fill="auto"/>
            <w:vAlign w:val="center"/>
            <w:hideMark/>
          </w:tcPr>
          <w:p w14:paraId="249DA88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795EF42F" w14:textId="77777777" w:rsidTr="00F56356">
        <w:trPr>
          <w:trHeight w:val="300"/>
        </w:trPr>
        <w:tc>
          <w:tcPr>
            <w:tcW w:w="9918" w:type="dxa"/>
            <w:gridSpan w:val="7"/>
            <w:tcBorders>
              <w:top w:val="nil"/>
              <w:left w:val="single" w:sz="4" w:space="0" w:color="auto"/>
              <w:bottom w:val="nil"/>
              <w:right w:val="single" w:sz="4" w:space="0" w:color="000000"/>
            </w:tcBorders>
            <w:shd w:val="clear" w:color="auto" w:fill="auto"/>
            <w:vAlign w:val="center"/>
            <w:hideMark/>
          </w:tcPr>
          <w:p w14:paraId="4775482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5BCFF2AE" w14:textId="77777777" w:rsidTr="00F56356">
        <w:trPr>
          <w:trHeight w:val="300"/>
        </w:trPr>
        <w:tc>
          <w:tcPr>
            <w:tcW w:w="9918" w:type="dxa"/>
            <w:gridSpan w:val="7"/>
            <w:tcBorders>
              <w:top w:val="nil"/>
              <w:left w:val="single" w:sz="4" w:space="0" w:color="auto"/>
              <w:bottom w:val="single" w:sz="4" w:space="0" w:color="auto"/>
              <w:right w:val="single" w:sz="4" w:space="0" w:color="000000"/>
            </w:tcBorders>
            <w:shd w:val="clear" w:color="auto" w:fill="auto"/>
            <w:vAlign w:val="center"/>
            <w:hideMark/>
          </w:tcPr>
          <w:p w14:paraId="4ACAA95B"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6C0A5FF7" w14:textId="77777777" w:rsidTr="00F56356">
        <w:trPr>
          <w:trHeight w:val="33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9DE94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08389FA" w14:textId="77777777" w:rsidTr="00F56356">
        <w:trPr>
          <w:trHeight w:val="960"/>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6510828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456BB82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effettuare erogazioni ai Comuni delle somme dovute, a valere sull’annualità 2022, a seguito della trasmissione della completa progettazione o della documentazione attestante il raggiungimento di uno stato di avanzamento della realizzazione pari ad almeno il 50 per cento.</w:t>
            </w:r>
          </w:p>
        </w:tc>
      </w:tr>
      <w:tr w:rsidR="00F56356" w:rsidRPr="00F56356" w14:paraId="46A0F8C9" w14:textId="77777777" w:rsidTr="00F56356">
        <w:trPr>
          <w:trHeight w:val="435"/>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61511A4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603" w:type="dxa"/>
            <w:gridSpan w:val="6"/>
            <w:tcBorders>
              <w:top w:val="single" w:sz="4" w:space="0" w:color="auto"/>
              <w:left w:val="nil"/>
              <w:bottom w:val="single" w:sz="4" w:space="0" w:color="auto"/>
              <w:right w:val="single" w:sz="4" w:space="0" w:color="000000"/>
            </w:tcBorders>
            <w:shd w:val="clear" w:color="auto" w:fill="auto"/>
            <w:vAlign w:val="center"/>
            <w:hideMark/>
          </w:tcPr>
          <w:p w14:paraId="7F6AFE0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Sistema di posta elettronica. Protocollo informatico</w:t>
            </w:r>
          </w:p>
        </w:tc>
      </w:tr>
      <w:tr w:rsidR="00F56356" w:rsidRPr="00F56356" w14:paraId="39F6E615" w14:textId="77777777" w:rsidTr="00F56356">
        <w:trPr>
          <w:trHeight w:val="1020"/>
        </w:trPr>
        <w:tc>
          <w:tcPr>
            <w:tcW w:w="2315" w:type="dxa"/>
            <w:tcBorders>
              <w:top w:val="nil"/>
              <w:left w:val="single" w:sz="4" w:space="0" w:color="auto"/>
              <w:bottom w:val="single" w:sz="4" w:space="0" w:color="auto"/>
              <w:right w:val="single" w:sz="4" w:space="0" w:color="auto"/>
            </w:tcBorders>
            <w:shd w:val="clear" w:color="auto" w:fill="auto"/>
            <w:noWrap/>
            <w:vAlign w:val="center"/>
            <w:hideMark/>
          </w:tcPr>
          <w:p w14:paraId="28751C8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558" w:type="dxa"/>
            <w:gridSpan w:val="3"/>
            <w:tcBorders>
              <w:top w:val="single" w:sz="4" w:space="0" w:color="auto"/>
              <w:left w:val="nil"/>
              <w:bottom w:val="single" w:sz="4" w:space="0" w:color="auto"/>
              <w:right w:val="single" w:sz="4" w:space="0" w:color="000000"/>
            </w:tcBorders>
            <w:shd w:val="clear" w:color="auto" w:fill="auto"/>
            <w:vAlign w:val="center"/>
            <w:hideMark/>
          </w:tcPr>
          <w:p w14:paraId="2FD5056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erogazioni a valere sull’annualità2022 effettuate nel termine di 30 giorni/n. richieste Comuni.</w:t>
            </w:r>
          </w:p>
        </w:tc>
        <w:tc>
          <w:tcPr>
            <w:tcW w:w="1360" w:type="dxa"/>
            <w:tcBorders>
              <w:top w:val="nil"/>
              <w:left w:val="nil"/>
              <w:bottom w:val="single" w:sz="4" w:space="0" w:color="auto"/>
              <w:right w:val="nil"/>
            </w:tcBorders>
            <w:shd w:val="clear" w:color="auto" w:fill="auto"/>
            <w:vAlign w:val="center"/>
            <w:hideMark/>
          </w:tcPr>
          <w:p w14:paraId="1A3DBC8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20" w:type="dxa"/>
            <w:tcBorders>
              <w:top w:val="nil"/>
              <w:left w:val="single" w:sz="4" w:space="0" w:color="auto"/>
              <w:bottom w:val="single" w:sz="4" w:space="0" w:color="auto"/>
              <w:right w:val="nil"/>
            </w:tcBorders>
            <w:shd w:val="clear" w:color="auto" w:fill="auto"/>
            <w:vAlign w:val="center"/>
            <w:hideMark/>
          </w:tcPr>
          <w:p w14:paraId="4D774F8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7532D3D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4061EA74" w14:textId="77777777" w:rsidTr="00F56356">
        <w:trPr>
          <w:trHeight w:val="510"/>
        </w:trPr>
        <w:tc>
          <w:tcPr>
            <w:tcW w:w="2315" w:type="dxa"/>
            <w:tcBorders>
              <w:top w:val="nil"/>
              <w:left w:val="single" w:sz="4" w:space="0" w:color="auto"/>
              <w:bottom w:val="single" w:sz="4" w:space="0" w:color="auto"/>
              <w:right w:val="single" w:sz="4" w:space="0" w:color="auto"/>
            </w:tcBorders>
            <w:shd w:val="clear" w:color="auto" w:fill="auto"/>
            <w:vAlign w:val="center"/>
            <w:hideMark/>
          </w:tcPr>
          <w:p w14:paraId="4FE585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55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351933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360" w:type="dxa"/>
            <w:tcBorders>
              <w:top w:val="nil"/>
              <w:left w:val="nil"/>
              <w:bottom w:val="single" w:sz="4" w:space="0" w:color="auto"/>
              <w:right w:val="single" w:sz="4" w:space="0" w:color="auto"/>
            </w:tcBorders>
            <w:shd w:val="clear" w:color="auto" w:fill="auto"/>
            <w:noWrap/>
            <w:vAlign w:val="center"/>
            <w:hideMark/>
          </w:tcPr>
          <w:p w14:paraId="5B88DB0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20" w:type="dxa"/>
            <w:tcBorders>
              <w:top w:val="nil"/>
              <w:left w:val="nil"/>
              <w:bottom w:val="single" w:sz="4" w:space="0" w:color="auto"/>
              <w:right w:val="nil"/>
            </w:tcBorders>
            <w:shd w:val="clear" w:color="auto" w:fill="auto"/>
            <w:vAlign w:val="center"/>
            <w:hideMark/>
          </w:tcPr>
          <w:p w14:paraId="2C476AA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4AD3F4C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076C4986"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p w14:paraId="604D43F0" w14:textId="77777777" w:rsidR="00F56356" w:rsidRPr="00F56356" w:rsidRDefault="00F56356" w:rsidP="00F56356">
      <w:pPr>
        <w:tabs>
          <w:tab w:val="left" w:pos="9393"/>
        </w:tabs>
        <w:spacing w:after="0" w:line="360" w:lineRule="auto"/>
        <w:jc w:val="both"/>
        <w:rPr>
          <w:rFonts w:ascii="Times New Roman" w:eastAsia="Times New Roman" w:hAnsi="Times New Roman" w:cs="Times New Roman"/>
          <w:color w:val="000000" w:themeColor="text1"/>
          <w:sz w:val="24"/>
          <w:szCs w:val="24"/>
          <w:lang w:eastAsia="it-IT"/>
        </w:rPr>
      </w:pPr>
    </w:p>
    <w:tbl>
      <w:tblPr>
        <w:tblW w:w="9918" w:type="dxa"/>
        <w:tblLayout w:type="fixed"/>
        <w:tblCellMar>
          <w:left w:w="70" w:type="dxa"/>
          <w:right w:w="70" w:type="dxa"/>
        </w:tblCellMar>
        <w:tblLook w:val="04A0" w:firstRow="1" w:lastRow="0" w:firstColumn="1" w:lastColumn="0" w:noHBand="0" w:noVBand="1"/>
      </w:tblPr>
      <w:tblGrid>
        <w:gridCol w:w="2280"/>
        <w:gridCol w:w="820"/>
        <w:gridCol w:w="1460"/>
        <w:gridCol w:w="1320"/>
        <w:gridCol w:w="1360"/>
        <w:gridCol w:w="1420"/>
        <w:gridCol w:w="1258"/>
      </w:tblGrid>
      <w:tr w:rsidR="00F56356" w:rsidRPr="00F56356" w14:paraId="617FC8BA" w14:textId="77777777" w:rsidTr="00F56356">
        <w:trPr>
          <w:trHeight w:val="289"/>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34391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19A39D8C" w14:textId="77777777" w:rsidTr="00F56356">
        <w:trPr>
          <w:trHeight w:val="163"/>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E44747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2333E9F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2E07A173" w14:textId="77777777" w:rsidTr="00F56356">
        <w:trPr>
          <w:trHeight w:val="223"/>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4DFBE2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63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68EC42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49E9A042" w14:textId="77777777" w:rsidTr="00F56356">
        <w:trPr>
          <w:trHeight w:val="373"/>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75C982B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63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EA9247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7 - Affari regionali e autonomie </w:t>
            </w:r>
          </w:p>
        </w:tc>
      </w:tr>
      <w:tr w:rsidR="00F56356" w:rsidRPr="00F56356" w14:paraId="47F1F185" w14:textId="77777777" w:rsidTr="00F56356">
        <w:trPr>
          <w:trHeight w:val="1044"/>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22B5DD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35FD0D3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finalizzate alla realizzazione di quanto di competenza del Dipartimento per gli affari regionali e le autonomie ai fini dell’erogazione del Fondo per iniziative di promozione e attrazione degli investimenti nelle isole minori (erogazione ai comuni, dell’importo dovuto a valere sull’annualità 2022, entro 30 giorni dalla data di pubblicazione del decreto ministeriale che ne dispone le modalità).</w:t>
            </w:r>
          </w:p>
        </w:tc>
      </w:tr>
      <w:tr w:rsidR="00F56356" w:rsidRPr="00F56356" w14:paraId="79AE7CF5" w14:textId="77777777" w:rsidTr="00F56356">
        <w:trPr>
          <w:trHeight w:val="906"/>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27CB47A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3C89487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Il Fondo per iniziative di promozione e attrazione degli investimenti nelle isole minori è stato istituito dall’articolo 1, comma 754, della legge 30 dicembre 2020, legge di Bilancio 2021. La norma istitutiva non dispone le modalità di utilizzo del fondo che sono disposte con decreto ministeriale insieme con il riparto tra i comuni del finanziamento.</w:t>
            </w:r>
          </w:p>
        </w:tc>
      </w:tr>
      <w:tr w:rsidR="00F56356" w:rsidRPr="00F56356" w14:paraId="286C1FE1" w14:textId="77777777" w:rsidTr="00F56356">
        <w:trPr>
          <w:trHeight w:val="27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5FCC0E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3C807DE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65B7EF8" w14:textId="77777777" w:rsidTr="00F56356">
        <w:trPr>
          <w:trHeight w:val="27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70FBD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11DFEB8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9DAE375" w14:textId="77777777" w:rsidTr="00F56356">
        <w:trPr>
          <w:trHeight w:val="230"/>
        </w:trPr>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F22E3A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820" w:type="dxa"/>
            <w:vMerge w:val="restart"/>
            <w:tcBorders>
              <w:top w:val="nil"/>
              <w:left w:val="single" w:sz="4" w:space="0" w:color="auto"/>
              <w:bottom w:val="single" w:sz="4" w:space="0" w:color="000000"/>
              <w:right w:val="single" w:sz="4" w:space="0" w:color="auto"/>
            </w:tcBorders>
            <w:shd w:val="clear" w:color="auto" w:fill="auto"/>
            <w:vAlign w:val="center"/>
            <w:hideMark/>
          </w:tcPr>
          <w:p w14:paraId="48839B2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940</w:t>
            </w:r>
          </w:p>
        </w:tc>
        <w:tc>
          <w:tcPr>
            <w:tcW w:w="27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E36D0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03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DA5AD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42B23581" w14:textId="77777777" w:rsidTr="00F56356">
        <w:trPr>
          <w:trHeight w:val="944"/>
        </w:trPr>
        <w:tc>
          <w:tcPr>
            <w:tcW w:w="2280" w:type="dxa"/>
            <w:vMerge/>
            <w:tcBorders>
              <w:top w:val="nil"/>
              <w:left w:val="single" w:sz="4" w:space="0" w:color="auto"/>
              <w:bottom w:val="single" w:sz="4" w:space="0" w:color="000000"/>
              <w:right w:val="single" w:sz="4" w:space="0" w:color="auto"/>
            </w:tcBorders>
            <w:vAlign w:val="center"/>
            <w:hideMark/>
          </w:tcPr>
          <w:p w14:paraId="5D54F00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820" w:type="dxa"/>
            <w:vMerge/>
            <w:tcBorders>
              <w:top w:val="nil"/>
              <w:left w:val="single" w:sz="4" w:space="0" w:color="auto"/>
              <w:bottom w:val="single" w:sz="4" w:space="0" w:color="000000"/>
              <w:right w:val="single" w:sz="4" w:space="0" w:color="auto"/>
            </w:tcBorders>
            <w:vAlign w:val="center"/>
            <w:hideMark/>
          </w:tcPr>
          <w:p w14:paraId="1E89CF9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460" w:type="dxa"/>
            <w:tcBorders>
              <w:top w:val="nil"/>
              <w:left w:val="nil"/>
              <w:bottom w:val="single" w:sz="4" w:space="0" w:color="auto"/>
              <w:right w:val="single" w:sz="4" w:space="0" w:color="auto"/>
            </w:tcBorders>
            <w:shd w:val="clear" w:color="auto" w:fill="auto"/>
            <w:vAlign w:val="center"/>
            <w:hideMark/>
          </w:tcPr>
          <w:p w14:paraId="27EE3F9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20" w:type="dxa"/>
            <w:tcBorders>
              <w:top w:val="nil"/>
              <w:left w:val="nil"/>
              <w:bottom w:val="single" w:sz="4" w:space="0" w:color="auto"/>
              <w:right w:val="single" w:sz="4" w:space="0" w:color="auto"/>
            </w:tcBorders>
            <w:shd w:val="clear" w:color="auto" w:fill="auto"/>
            <w:vAlign w:val="center"/>
            <w:hideMark/>
          </w:tcPr>
          <w:p w14:paraId="7A09FB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360" w:type="dxa"/>
            <w:tcBorders>
              <w:top w:val="nil"/>
              <w:left w:val="nil"/>
              <w:bottom w:val="single" w:sz="4" w:space="0" w:color="auto"/>
              <w:right w:val="single" w:sz="4" w:space="0" w:color="auto"/>
            </w:tcBorders>
            <w:shd w:val="clear" w:color="auto" w:fill="auto"/>
            <w:vAlign w:val="center"/>
            <w:hideMark/>
          </w:tcPr>
          <w:p w14:paraId="6C03B0C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420" w:type="dxa"/>
            <w:tcBorders>
              <w:top w:val="nil"/>
              <w:left w:val="nil"/>
              <w:bottom w:val="single" w:sz="4" w:space="0" w:color="auto"/>
              <w:right w:val="single" w:sz="4" w:space="0" w:color="auto"/>
            </w:tcBorders>
            <w:shd w:val="clear" w:color="auto" w:fill="auto"/>
            <w:vAlign w:val="center"/>
            <w:hideMark/>
          </w:tcPr>
          <w:p w14:paraId="64A0AAD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258" w:type="dxa"/>
            <w:tcBorders>
              <w:top w:val="nil"/>
              <w:left w:val="nil"/>
              <w:bottom w:val="single" w:sz="4" w:space="0" w:color="auto"/>
              <w:right w:val="single" w:sz="4" w:space="0" w:color="auto"/>
            </w:tcBorders>
            <w:shd w:val="clear" w:color="auto" w:fill="auto"/>
            <w:vAlign w:val="center"/>
            <w:hideMark/>
          </w:tcPr>
          <w:p w14:paraId="02C7B68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8334EE6" w14:textId="77777777" w:rsidTr="00F56356">
        <w:trPr>
          <w:trHeight w:val="405"/>
        </w:trPr>
        <w:tc>
          <w:tcPr>
            <w:tcW w:w="2280" w:type="dxa"/>
            <w:vMerge/>
            <w:tcBorders>
              <w:top w:val="nil"/>
              <w:left w:val="single" w:sz="4" w:space="0" w:color="auto"/>
              <w:bottom w:val="single" w:sz="4" w:space="0" w:color="000000"/>
              <w:right w:val="single" w:sz="4" w:space="0" w:color="auto"/>
            </w:tcBorders>
            <w:vAlign w:val="center"/>
            <w:hideMark/>
          </w:tcPr>
          <w:p w14:paraId="49BB754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820" w:type="dxa"/>
            <w:vMerge/>
            <w:tcBorders>
              <w:top w:val="nil"/>
              <w:left w:val="single" w:sz="4" w:space="0" w:color="auto"/>
              <w:bottom w:val="single" w:sz="4" w:space="0" w:color="000000"/>
              <w:right w:val="single" w:sz="4" w:space="0" w:color="auto"/>
            </w:tcBorders>
            <w:vAlign w:val="center"/>
            <w:hideMark/>
          </w:tcPr>
          <w:p w14:paraId="378DEB7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460" w:type="dxa"/>
            <w:tcBorders>
              <w:top w:val="nil"/>
              <w:left w:val="nil"/>
              <w:bottom w:val="single" w:sz="4" w:space="0" w:color="auto"/>
              <w:right w:val="single" w:sz="4" w:space="0" w:color="auto"/>
            </w:tcBorders>
            <w:shd w:val="clear" w:color="auto" w:fill="auto"/>
            <w:noWrap/>
            <w:vAlign w:val="center"/>
            <w:hideMark/>
          </w:tcPr>
          <w:p w14:paraId="5A90396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1.500.000,00</w:t>
            </w:r>
          </w:p>
        </w:tc>
        <w:tc>
          <w:tcPr>
            <w:tcW w:w="1320" w:type="dxa"/>
            <w:tcBorders>
              <w:top w:val="nil"/>
              <w:left w:val="nil"/>
              <w:bottom w:val="single" w:sz="4" w:space="0" w:color="auto"/>
              <w:right w:val="single" w:sz="4" w:space="0" w:color="auto"/>
            </w:tcBorders>
            <w:shd w:val="clear" w:color="auto" w:fill="auto"/>
            <w:noWrap/>
            <w:vAlign w:val="center"/>
            <w:hideMark/>
          </w:tcPr>
          <w:p w14:paraId="69F7358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3.000.000,00</w:t>
            </w:r>
          </w:p>
        </w:tc>
        <w:tc>
          <w:tcPr>
            <w:tcW w:w="1360" w:type="dxa"/>
            <w:tcBorders>
              <w:top w:val="nil"/>
              <w:left w:val="nil"/>
              <w:bottom w:val="single" w:sz="4" w:space="0" w:color="auto"/>
              <w:right w:val="single" w:sz="4" w:space="0" w:color="auto"/>
            </w:tcBorders>
            <w:shd w:val="clear" w:color="auto" w:fill="auto"/>
            <w:noWrap/>
            <w:vAlign w:val="center"/>
            <w:hideMark/>
          </w:tcPr>
          <w:p w14:paraId="4BCE5C3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46B42C0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1.877.736,00</w:t>
            </w:r>
          </w:p>
        </w:tc>
        <w:tc>
          <w:tcPr>
            <w:tcW w:w="1258" w:type="dxa"/>
            <w:tcBorders>
              <w:top w:val="nil"/>
              <w:left w:val="nil"/>
              <w:bottom w:val="single" w:sz="4" w:space="0" w:color="auto"/>
              <w:right w:val="single" w:sz="4" w:space="0" w:color="auto"/>
            </w:tcBorders>
            <w:shd w:val="clear" w:color="auto" w:fill="auto"/>
            <w:noWrap/>
            <w:vAlign w:val="center"/>
            <w:hideMark/>
          </w:tcPr>
          <w:p w14:paraId="0908F88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1.877.736,00</w:t>
            </w:r>
          </w:p>
        </w:tc>
      </w:tr>
      <w:tr w:rsidR="00F56356" w:rsidRPr="00F56356" w14:paraId="216A36EC" w14:textId="77777777" w:rsidTr="00F56356">
        <w:trPr>
          <w:trHeight w:val="134"/>
        </w:trPr>
        <w:tc>
          <w:tcPr>
            <w:tcW w:w="2280" w:type="dxa"/>
            <w:tcBorders>
              <w:top w:val="nil"/>
              <w:left w:val="single" w:sz="4" w:space="0" w:color="auto"/>
              <w:bottom w:val="nil"/>
              <w:right w:val="nil"/>
            </w:tcBorders>
            <w:shd w:val="clear" w:color="auto" w:fill="auto"/>
            <w:noWrap/>
            <w:vAlign w:val="center"/>
            <w:hideMark/>
          </w:tcPr>
          <w:p w14:paraId="2366B11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820" w:type="dxa"/>
            <w:tcBorders>
              <w:top w:val="nil"/>
              <w:left w:val="nil"/>
              <w:bottom w:val="nil"/>
              <w:right w:val="nil"/>
            </w:tcBorders>
            <w:shd w:val="clear" w:color="auto" w:fill="auto"/>
            <w:noWrap/>
            <w:vAlign w:val="bottom"/>
            <w:hideMark/>
          </w:tcPr>
          <w:p w14:paraId="35A36EAE"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460" w:type="dxa"/>
            <w:tcBorders>
              <w:top w:val="nil"/>
              <w:left w:val="nil"/>
              <w:bottom w:val="nil"/>
              <w:right w:val="nil"/>
            </w:tcBorders>
            <w:shd w:val="clear" w:color="auto" w:fill="auto"/>
            <w:noWrap/>
            <w:vAlign w:val="bottom"/>
            <w:hideMark/>
          </w:tcPr>
          <w:p w14:paraId="59D9E81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20" w:type="dxa"/>
            <w:tcBorders>
              <w:top w:val="nil"/>
              <w:left w:val="nil"/>
              <w:bottom w:val="nil"/>
              <w:right w:val="nil"/>
            </w:tcBorders>
            <w:shd w:val="clear" w:color="auto" w:fill="auto"/>
            <w:noWrap/>
            <w:vAlign w:val="bottom"/>
            <w:hideMark/>
          </w:tcPr>
          <w:p w14:paraId="17A8D2B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42A921C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nil"/>
            </w:tcBorders>
            <w:shd w:val="clear" w:color="auto" w:fill="auto"/>
            <w:noWrap/>
            <w:vAlign w:val="bottom"/>
            <w:hideMark/>
          </w:tcPr>
          <w:p w14:paraId="6D80D07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58" w:type="dxa"/>
            <w:tcBorders>
              <w:top w:val="nil"/>
              <w:left w:val="nil"/>
              <w:bottom w:val="nil"/>
              <w:right w:val="single" w:sz="4" w:space="0" w:color="auto"/>
            </w:tcBorders>
            <w:shd w:val="clear" w:color="auto" w:fill="auto"/>
            <w:noWrap/>
            <w:vAlign w:val="bottom"/>
            <w:hideMark/>
          </w:tcPr>
          <w:p w14:paraId="01C9450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307FD1C" w14:textId="77777777" w:rsidTr="00F56356">
        <w:trPr>
          <w:trHeight w:val="246"/>
        </w:trPr>
        <w:tc>
          <w:tcPr>
            <w:tcW w:w="9918" w:type="dxa"/>
            <w:gridSpan w:val="7"/>
            <w:tcBorders>
              <w:top w:val="nil"/>
              <w:left w:val="single" w:sz="4" w:space="0" w:color="auto"/>
              <w:bottom w:val="nil"/>
              <w:right w:val="single" w:sz="4" w:space="0" w:color="000000"/>
            </w:tcBorders>
            <w:shd w:val="clear" w:color="auto" w:fill="auto"/>
            <w:vAlign w:val="center"/>
            <w:hideMark/>
          </w:tcPr>
          <w:p w14:paraId="02C9CE9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0ADA300E" w14:textId="77777777" w:rsidTr="00F56356">
        <w:trPr>
          <w:trHeight w:val="136"/>
        </w:trPr>
        <w:tc>
          <w:tcPr>
            <w:tcW w:w="9918" w:type="dxa"/>
            <w:gridSpan w:val="7"/>
            <w:tcBorders>
              <w:top w:val="nil"/>
              <w:left w:val="single" w:sz="4" w:space="0" w:color="auto"/>
              <w:bottom w:val="nil"/>
              <w:right w:val="single" w:sz="4" w:space="0" w:color="000000"/>
            </w:tcBorders>
            <w:shd w:val="clear" w:color="auto" w:fill="auto"/>
            <w:vAlign w:val="center"/>
            <w:hideMark/>
          </w:tcPr>
          <w:p w14:paraId="3485C4C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0C259684" w14:textId="77777777" w:rsidTr="00F56356">
        <w:trPr>
          <w:trHeight w:val="300"/>
        </w:trPr>
        <w:tc>
          <w:tcPr>
            <w:tcW w:w="9918" w:type="dxa"/>
            <w:gridSpan w:val="7"/>
            <w:tcBorders>
              <w:top w:val="nil"/>
              <w:left w:val="single" w:sz="4" w:space="0" w:color="auto"/>
              <w:bottom w:val="single" w:sz="4" w:space="0" w:color="auto"/>
              <w:right w:val="single" w:sz="4" w:space="0" w:color="000000"/>
            </w:tcBorders>
            <w:shd w:val="clear" w:color="auto" w:fill="auto"/>
            <w:vAlign w:val="center"/>
            <w:hideMark/>
          </w:tcPr>
          <w:p w14:paraId="6F7239F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79FCD32F" w14:textId="77777777" w:rsidTr="00F56356">
        <w:trPr>
          <w:trHeight w:val="33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0BEFD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8CD6437" w14:textId="77777777" w:rsidTr="00F56356">
        <w:trPr>
          <w:trHeight w:val="977"/>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33EA83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45C8F0D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Tempestività nell’emanazione e trasmissione all’Ufficio del bilancio e per il riscontro di regolarità amministrativo-contabile del decreto del Capo del Dipartimento di erogazione ai comuni delle somme dovute, entro 30 giorni dalla pubblicazione del decreto ministeriale che dispone le modalità di erogazione del Fondo. </w:t>
            </w:r>
          </w:p>
        </w:tc>
      </w:tr>
      <w:tr w:rsidR="00F56356" w:rsidRPr="00F56356" w14:paraId="70FB46D7" w14:textId="77777777" w:rsidTr="00F56356">
        <w:trPr>
          <w:trHeight w:val="282"/>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0A8A7D9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638" w:type="dxa"/>
            <w:gridSpan w:val="6"/>
            <w:tcBorders>
              <w:top w:val="single" w:sz="4" w:space="0" w:color="auto"/>
              <w:left w:val="nil"/>
              <w:bottom w:val="single" w:sz="4" w:space="0" w:color="auto"/>
              <w:right w:val="single" w:sz="4" w:space="0" w:color="000000"/>
            </w:tcBorders>
            <w:shd w:val="clear" w:color="auto" w:fill="auto"/>
            <w:vAlign w:val="center"/>
            <w:hideMark/>
          </w:tcPr>
          <w:p w14:paraId="7E006A4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Sistema di posta elettronica. Protocollo informatico</w:t>
            </w:r>
          </w:p>
        </w:tc>
      </w:tr>
      <w:tr w:rsidR="00F56356" w:rsidRPr="00F56356" w14:paraId="6CCE2F0A" w14:textId="77777777" w:rsidTr="00F56356">
        <w:trPr>
          <w:trHeight w:val="1947"/>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2D9A6E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600" w:type="dxa"/>
            <w:gridSpan w:val="3"/>
            <w:tcBorders>
              <w:top w:val="single" w:sz="4" w:space="0" w:color="auto"/>
              <w:left w:val="nil"/>
              <w:bottom w:val="single" w:sz="4" w:space="0" w:color="auto"/>
              <w:right w:val="single" w:sz="4" w:space="0" w:color="000000"/>
            </w:tcBorders>
            <w:shd w:val="clear" w:color="auto" w:fill="auto"/>
            <w:vAlign w:val="center"/>
            <w:hideMark/>
          </w:tcPr>
          <w:p w14:paraId="22E4F56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Trasmissione, all’Ufficio del bilancio e per il riscontro di regolarità amministrativo contabile, del decreto dipartimentale di erogazione delle risorse spettante </w:t>
            </w:r>
            <w:proofErr w:type="gramStart"/>
            <w:r w:rsidRPr="00F56356">
              <w:rPr>
                <w:rFonts w:ascii="Times New Roman" w:eastAsia="Times New Roman" w:hAnsi="Times New Roman" w:cs="Times New Roman"/>
                <w:color w:val="000000"/>
                <w:sz w:val="20"/>
                <w:szCs w:val="20"/>
                <w:lang w:eastAsia="it-IT"/>
              </w:rPr>
              <w:t>ai  comuni</w:t>
            </w:r>
            <w:proofErr w:type="gramEnd"/>
            <w:r w:rsidRPr="00F56356">
              <w:rPr>
                <w:rFonts w:ascii="Times New Roman" w:eastAsia="Times New Roman" w:hAnsi="Times New Roman" w:cs="Times New Roman"/>
                <w:color w:val="000000"/>
                <w:sz w:val="20"/>
                <w:szCs w:val="20"/>
                <w:lang w:eastAsia="it-IT"/>
              </w:rPr>
              <w:t>, entro 60 giorni dalla pubblicazione del decreto che individua gli interventi ammessi al finanziamento a valere sulla annualità 2022 del Fondo.</w:t>
            </w:r>
          </w:p>
        </w:tc>
        <w:tc>
          <w:tcPr>
            <w:tcW w:w="1360" w:type="dxa"/>
            <w:tcBorders>
              <w:top w:val="nil"/>
              <w:left w:val="nil"/>
              <w:bottom w:val="single" w:sz="4" w:space="0" w:color="auto"/>
              <w:right w:val="nil"/>
            </w:tcBorders>
            <w:shd w:val="clear" w:color="auto" w:fill="auto"/>
            <w:vAlign w:val="center"/>
            <w:hideMark/>
          </w:tcPr>
          <w:p w14:paraId="44A7A2F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20" w:type="dxa"/>
            <w:tcBorders>
              <w:top w:val="nil"/>
              <w:left w:val="single" w:sz="4" w:space="0" w:color="auto"/>
              <w:bottom w:val="single" w:sz="4" w:space="0" w:color="auto"/>
              <w:right w:val="nil"/>
            </w:tcBorders>
            <w:shd w:val="clear" w:color="auto" w:fill="auto"/>
            <w:vAlign w:val="center"/>
            <w:hideMark/>
          </w:tcPr>
          <w:p w14:paraId="6E23FE8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58" w:type="dxa"/>
            <w:tcBorders>
              <w:top w:val="nil"/>
              <w:left w:val="single" w:sz="4" w:space="0" w:color="auto"/>
              <w:bottom w:val="single" w:sz="4" w:space="0" w:color="auto"/>
              <w:right w:val="single" w:sz="4" w:space="0" w:color="auto"/>
            </w:tcBorders>
            <w:shd w:val="clear" w:color="auto" w:fill="auto"/>
            <w:vAlign w:val="center"/>
            <w:hideMark/>
          </w:tcPr>
          <w:p w14:paraId="75E8533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3EE8545E" w14:textId="77777777" w:rsidTr="00F56356">
        <w:trPr>
          <w:trHeight w:val="51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CEF71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6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DEE72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Giorni di ritardo</w:t>
            </w:r>
          </w:p>
        </w:tc>
        <w:tc>
          <w:tcPr>
            <w:tcW w:w="1360" w:type="dxa"/>
            <w:tcBorders>
              <w:top w:val="nil"/>
              <w:left w:val="nil"/>
              <w:bottom w:val="single" w:sz="4" w:space="0" w:color="auto"/>
              <w:right w:val="single" w:sz="4" w:space="0" w:color="auto"/>
            </w:tcBorders>
            <w:shd w:val="clear" w:color="auto" w:fill="auto"/>
            <w:noWrap/>
            <w:vAlign w:val="center"/>
            <w:hideMark/>
          </w:tcPr>
          <w:p w14:paraId="2A57398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420" w:type="dxa"/>
            <w:tcBorders>
              <w:top w:val="nil"/>
              <w:left w:val="nil"/>
              <w:bottom w:val="single" w:sz="4" w:space="0" w:color="auto"/>
              <w:right w:val="nil"/>
            </w:tcBorders>
            <w:shd w:val="clear" w:color="auto" w:fill="auto"/>
            <w:vAlign w:val="center"/>
            <w:hideMark/>
          </w:tcPr>
          <w:p w14:paraId="6F46F93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258" w:type="dxa"/>
            <w:tcBorders>
              <w:top w:val="nil"/>
              <w:left w:val="single" w:sz="4" w:space="0" w:color="auto"/>
              <w:bottom w:val="single" w:sz="4" w:space="0" w:color="auto"/>
              <w:right w:val="single" w:sz="4" w:space="0" w:color="auto"/>
            </w:tcBorders>
            <w:shd w:val="clear" w:color="000000" w:fill="FFFFFF"/>
            <w:vAlign w:val="center"/>
            <w:hideMark/>
          </w:tcPr>
          <w:p w14:paraId="10D4630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r w:rsidR="00F56356" w:rsidRPr="00F56356" w14:paraId="0B399332" w14:textId="77777777" w:rsidTr="00F56356">
        <w:trPr>
          <w:trHeight w:val="2679"/>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1F97CE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Il DM 4 agosto 2022 che ha determinato la quota dello stanziamento spettante ai comuni, in ragione dei coefficienti di riparto di cui al decreto del Ministro per gli Affari Regionali e le Autonomie del 13 agosto 2021 per il Fondo per gli investimenti nelle isole minori, è stato registrato dalla Corte dei Conti in data 21 settembre 2022. A seguito della pubblicazione sul sito web dipartimentale del decreto predetto, in data 28 settembre 2022, si è aperto il termine ordinatorio di 45 giorni dalla citata data di pubblicazione, concesso ai comuni per l’inoltro della richiesta di finanziamento. L’originario termine di scadenza del 12 novembre 2022 è stato prorogato al 14 dicembre 2022 per consentire ai comuni, visto l’esiguo numero di domande pervenute, di presentare ulteriori richieste. Il 15 dicembre 2022 è stato pubblicato il decreto del Coordinatore dell’Ufficio I con l’elenco degli importi ammessi al finanziamento per ciascun comune per le annualità 2021, 2022, 2023. In data 23 dicembre 2022 è stato assunto il relativo decreto di impegno per le tre annualità. Il decreto di impegno è stato registrato dalla Corte dei Conti il 19 gennaio 2023 al n. 246 e si è potuto procedere all’emissione del decreto di liquidazione in data 21 febbraio 2023, a seguito dell’integrazione della disponibilità di cassa del capitolo 940.</w:t>
            </w:r>
          </w:p>
        </w:tc>
      </w:tr>
    </w:tbl>
    <w:p w14:paraId="3AD0A095"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0AD4F8A" w14:textId="31557987" w:rsid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bCs/>
          <w:color w:val="000000" w:themeColor="text1"/>
          <w:spacing w:val="-1"/>
          <w:sz w:val="24"/>
          <w:szCs w:val="20"/>
          <w:lang w:eastAsia="it-IT"/>
        </w:rPr>
      </w:pPr>
    </w:p>
    <w:p w14:paraId="3724090F" w14:textId="77777777" w:rsidR="00410C3C" w:rsidRPr="00F56356" w:rsidRDefault="00410C3C" w:rsidP="00F56356">
      <w:pPr>
        <w:autoSpaceDE w:val="0"/>
        <w:autoSpaceDN w:val="0"/>
        <w:adjustRightInd w:val="0"/>
        <w:spacing w:after="0" w:line="360" w:lineRule="auto"/>
        <w:ind w:left="284"/>
        <w:jc w:val="both"/>
        <w:rPr>
          <w:rFonts w:ascii="Times New Roman" w:eastAsia="Times New Roman" w:hAnsi="Times New Roman" w:cs="Times New Roman"/>
          <w:b/>
          <w:bCs/>
          <w:color w:val="000000" w:themeColor="text1"/>
          <w:spacing w:val="-1"/>
          <w:sz w:val="24"/>
          <w:szCs w:val="20"/>
          <w:lang w:eastAsia="it-IT"/>
        </w:rPr>
      </w:pPr>
    </w:p>
    <w:p w14:paraId="43D1520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b/>
          <w:bCs/>
          <w:color w:val="000000" w:themeColor="text1"/>
          <w:spacing w:val="-1"/>
          <w:sz w:val="24"/>
          <w:szCs w:val="20"/>
          <w:lang w:eastAsia="it-IT"/>
        </w:rPr>
      </w:pPr>
      <w:r w:rsidRPr="00F56356">
        <w:rPr>
          <w:rFonts w:ascii="Times New Roman" w:eastAsia="Times New Roman" w:hAnsi="Times New Roman" w:cs="Times New Roman"/>
          <w:b/>
          <w:bCs/>
          <w:color w:val="000000" w:themeColor="text1"/>
          <w:spacing w:val="-1"/>
          <w:sz w:val="24"/>
          <w:szCs w:val="20"/>
          <w:lang w:eastAsia="it-IT"/>
        </w:rPr>
        <w:lastRenderedPageBreak/>
        <w:t>CDR 8 “Pari opportunità”</w:t>
      </w:r>
    </w:p>
    <w:p w14:paraId="50458C5F"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2"/>
          <w:szCs w:val="24"/>
          <w:lang w:eastAsia="it-IT"/>
        </w:rPr>
      </w:pPr>
      <w:r w:rsidRPr="00F56356">
        <w:rPr>
          <w:rFonts w:ascii="Times New Roman" w:eastAsia="Times New Roman" w:hAnsi="Times New Roman" w:cs="Times New Roman"/>
          <w:b/>
          <w:color w:val="000000" w:themeColor="text1"/>
          <w:sz w:val="24"/>
          <w:szCs w:val="24"/>
          <w:lang w:eastAsia="it-IT"/>
        </w:rPr>
        <w:tab/>
      </w:r>
    </w:p>
    <w:p w14:paraId="1726F59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4CA7D2C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 xml:space="preserve">Presidenza del Consiglio dei ministri </w:t>
      </w:r>
    </w:p>
    <w:p w14:paraId="5D4F10D6"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6"/>
          <w:szCs w:val="24"/>
          <w:lang w:eastAsia="it-IT"/>
        </w:rPr>
      </w:pPr>
      <w:r w:rsidRPr="00F56356">
        <w:rPr>
          <w:rFonts w:ascii="Times New Roman" w:eastAsia="Times New Roman" w:hAnsi="Times New Roman" w:cs="Times New Roman"/>
          <w:b/>
          <w:color w:val="000000" w:themeColor="text1"/>
          <w:sz w:val="24"/>
          <w:szCs w:val="24"/>
          <w:lang w:eastAsia="it-IT"/>
        </w:rPr>
        <w:t xml:space="preserve">     </w:t>
      </w:r>
    </w:p>
    <w:p w14:paraId="3D45C014"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19 – </w:t>
      </w:r>
      <w:r w:rsidRPr="00F56356">
        <w:rPr>
          <w:rFonts w:ascii="Times New Roman" w:eastAsia="Times New Roman" w:hAnsi="Times New Roman" w:cs="Times New Roman"/>
          <w:sz w:val="24"/>
          <w:szCs w:val="24"/>
          <w:lang w:eastAsia="it-IT"/>
        </w:rPr>
        <w:t>Casa e assetto urbanistico</w:t>
      </w:r>
    </w:p>
    <w:p w14:paraId="37E68D0B" w14:textId="77777777" w:rsidR="00F56356" w:rsidRPr="00F56356" w:rsidRDefault="00F56356" w:rsidP="00F56356">
      <w:pPr>
        <w:spacing w:after="0" w:line="360" w:lineRule="auto"/>
        <w:ind w:left="284"/>
        <w:jc w:val="both"/>
        <w:rPr>
          <w:rFonts w:ascii="Times New Roman" w:eastAsia="Times New Roman" w:hAnsi="Times New Roman" w:cs="Times New Roman"/>
          <w:i/>
          <w:sz w:val="16"/>
          <w:szCs w:val="24"/>
          <w:lang w:eastAsia="it-IT"/>
        </w:rPr>
      </w:pPr>
      <w:r w:rsidRPr="00F56356">
        <w:rPr>
          <w:rFonts w:ascii="Times New Roman" w:eastAsia="Times New Roman" w:hAnsi="Times New Roman" w:cs="Times New Roman"/>
          <w:b/>
          <w:sz w:val="24"/>
          <w:szCs w:val="24"/>
          <w:lang w:eastAsia="it-IT"/>
        </w:rPr>
        <w:t xml:space="preserve">Programma 19.1 </w:t>
      </w:r>
      <w:r w:rsidRPr="00F56356">
        <w:rPr>
          <w:rFonts w:ascii="Times New Roman" w:eastAsia="Times New Roman" w:hAnsi="Times New Roman" w:cs="Times New Roman"/>
          <w:sz w:val="24"/>
          <w:szCs w:val="24"/>
          <w:lang w:eastAsia="it-IT"/>
        </w:rPr>
        <w:t>- Politiche abitative e riqualificazione periferie</w:t>
      </w:r>
    </w:p>
    <w:p w14:paraId="22BDA74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6"/>
          <w:szCs w:val="24"/>
          <w:lang w:eastAsia="it-IT"/>
        </w:rPr>
      </w:pPr>
    </w:p>
    <w:p w14:paraId="60C819AD"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color w:val="000000" w:themeColor="text1"/>
          <w:sz w:val="24"/>
          <w:szCs w:val="24"/>
          <w:lang w:eastAsia="it-IT"/>
        </w:rPr>
        <w:t xml:space="preserve">Diritti sociali, politiche sociali e famiglia </w:t>
      </w:r>
    </w:p>
    <w:p w14:paraId="778DE07B"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16"/>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 </w:t>
      </w:r>
      <w:r w:rsidRPr="00F56356">
        <w:rPr>
          <w:rFonts w:ascii="Times New Roman" w:eastAsia="Times New Roman" w:hAnsi="Times New Roman" w:cs="Times New Roman"/>
          <w:color w:val="000000" w:themeColor="text1"/>
          <w:sz w:val="24"/>
          <w:szCs w:val="24"/>
          <w:lang w:eastAsia="it-IT"/>
        </w:rPr>
        <w:t xml:space="preserve">Famiglia, pari opportunità e situazioni di disagio </w:t>
      </w:r>
    </w:p>
    <w:p w14:paraId="18E9B856" w14:textId="77777777" w:rsidR="00F56356" w:rsidRPr="00F56356" w:rsidRDefault="00F56356" w:rsidP="00F56356">
      <w:pPr>
        <w:spacing w:after="0" w:line="360" w:lineRule="auto"/>
        <w:ind w:left="284"/>
        <w:jc w:val="both"/>
        <w:rPr>
          <w:rFonts w:ascii="Times New Roman" w:eastAsia="Times New Roman" w:hAnsi="Times New Roman" w:cs="Times New Roman"/>
          <w:i/>
          <w:color w:val="FF0000"/>
          <w:sz w:val="16"/>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59517336" w14:textId="77777777" w:rsidR="00F56356" w:rsidRPr="00F56356" w:rsidRDefault="00F56356"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1</w:t>
      </w:r>
      <w:r w:rsidRPr="00F56356">
        <w:rPr>
          <w:rFonts w:ascii="Times New Roman" w:eastAsia="Times New Roman" w:hAnsi="Times New Roman" w:cs="Times New Roman"/>
          <w:b/>
          <w:color w:val="000000" w:themeColor="text1"/>
          <w:sz w:val="24"/>
          <w:szCs w:val="24"/>
          <w:lang w:eastAsia="it-IT"/>
        </w:rPr>
        <w:t>.</w:t>
      </w:r>
      <w:r w:rsidRPr="00F56356">
        <w:rPr>
          <w:rFonts w:ascii="Times New Roman" w:eastAsia="Times New Roman" w:hAnsi="Times New Roman" w:cs="Times New Roman"/>
          <w:b/>
          <w:i/>
          <w:color w:val="000000" w:themeColor="text1"/>
          <w:sz w:val="24"/>
          <w:szCs w:val="24"/>
          <w:lang w:eastAsia="it-IT"/>
        </w:rPr>
        <w:t xml:space="preserve">  Mission</w:t>
      </w:r>
    </w:p>
    <w:p w14:paraId="24BDD2C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Il Centro di responsabilità 8 “Pari opportunità” opera nell’area funzionale inerente la promozione e il coordinamento delle politiche dei diritti della persona, delle pari opportunità e della parità di trattamento, nonché delle azioni di Governo volte a prevenire e rimuovere ogni forma e causa di discriminazione, di prevenzione e contrasto della violenza sessuale e di genere e degli atti persecutori, della tratta e dello sfruttamento degli esseri umani, nonché delle mutilazioni genitali femminili e delle altre pratiche dannose. In particolare, il Centro provvede all’indirizzo, al coordinamento e al monitoraggio dell’utilizzazione dei fondi nazionali ed europei destinati alle suindicate politiche; cura gli adempimenti riguardanti l’acquisizione e l’organizzazione delle informazioni e la promozione e il coordinamento delle attività conoscitive, di verifica, controllo, formazione e informazione nelle materie della parità e delle pari opportunità; provvede alla cura dei rapporti con le amministrazioni e gli organismi operanti in Italia e all’estero, adottando le iniziative necessarie ad assicurare la rappresentanza del Governo negli organismi nazionali, comunitari  e internazionali. Nell’ambito del Dipartimento opera, altresì, l’Ufficio per la promozione della parità di trattamento e la rimozione delle discriminazioni fondate sulla razza e sull’origine etnica, di cui all’articolo 29 della legge 1° marzo 2002, n. 39, e al decreto legislativo 9 luglio 2003, n. 215.</w:t>
      </w:r>
    </w:p>
    <w:p w14:paraId="214B24C9"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4"/>
          <w:szCs w:val="24"/>
          <w:lang w:eastAsia="it-IT"/>
        </w:rPr>
      </w:pPr>
    </w:p>
    <w:p w14:paraId="5ACEF15C"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500E350E"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
          <w:szCs w:val="24"/>
          <w:lang w:eastAsia="it-IT"/>
        </w:rPr>
      </w:pPr>
    </w:p>
    <w:p w14:paraId="4C1643B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b/>
          <w:color w:val="000000" w:themeColor="text1"/>
          <w:sz w:val="24"/>
          <w:szCs w:val="24"/>
          <w:lang w:eastAsia="it-IT"/>
        </w:rPr>
        <w:t>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472.670.543,75, nell’ambito delle quali euro 9.194.400,33 riferiti alla reiscrizione di residui passivi perenti ed euro 374.280.842,24 riferiti a riassegnazioni dall’avanzo di esercizio 2021.</w:t>
      </w:r>
    </w:p>
    <w:p w14:paraId="0D31617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174.269.952,25, con un’economia di bilancio di euro 298.400.591,50. Il totale dei pagamenti riferiti alla competenza è di euro 30.390.926,28, con un indice di capacità di pagamento (rapporto pagato/impegnato) che si attesta al 17,44 per cento.</w:t>
      </w:r>
    </w:p>
    <w:p w14:paraId="3A7591E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4B6A8203"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10F7E0C4" wp14:editId="1076742E">
            <wp:extent cx="3797554" cy="640279"/>
            <wp:effectExtent l="0" t="0" r="0" b="762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78414" cy="653912"/>
                    </a:xfrm>
                    <a:prstGeom prst="rect">
                      <a:avLst/>
                    </a:prstGeom>
                    <a:noFill/>
                    <a:ln>
                      <a:noFill/>
                    </a:ln>
                  </pic:spPr>
                </pic:pic>
              </a:graphicData>
            </a:graphic>
          </wp:inline>
        </w:drawing>
      </w:r>
    </w:p>
    <w:p w14:paraId="500A910B"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2B53CC4C" wp14:editId="48D1534E">
            <wp:extent cx="3926332" cy="2007019"/>
            <wp:effectExtent l="0" t="0" r="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45643" cy="2016890"/>
                    </a:xfrm>
                    <a:prstGeom prst="rect">
                      <a:avLst/>
                    </a:prstGeom>
                    <a:noFill/>
                  </pic:spPr>
                </pic:pic>
              </a:graphicData>
            </a:graphic>
          </wp:inline>
        </w:drawing>
      </w:r>
    </w:p>
    <w:p w14:paraId="406B38AD"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6C6A0AF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 residui passivi al 1° gennaio 2022 erano pari a euro 187.293.472,80. Su questi sono stati effettuati pagamenti per euro 62.642.092,56 e realizzate economie per euro 2.283.966,25. </w:t>
      </w:r>
    </w:p>
    <w:p w14:paraId="3B34199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6"/>
          <w:szCs w:val="24"/>
          <w:lang w:eastAsia="it-IT"/>
        </w:rPr>
      </w:pPr>
    </w:p>
    <w:p w14:paraId="58C7CBE4" w14:textId="77777777" w:rsidR="00F56356" w:rsidRPr="00F56356" w:rsidRDefault="00F56356" w:rsidP="00F56356">
      <w:pPr>
        <w:spacing w:after="120" w:line="480" w:lineRule="auto"/>
        <w:ind w:left="-567" w:right="-2"/>
        <w:jc w:val="center"/>
        <w:rPr>
          <w:rFonts w:ascii="Times New Roman" w:eastAsia="Times New Roman" w:hAnsi="Times New Roman" w:cs="Times New Roman"/>
          <w:szCs w:val="24"/>
          <w:lang w:eastAsia="it-IT"/>
        </w:rPr>
      </w:pPr>
      <w:r w:rsidRPr="00F56356">
        <w:rPr>
          <w:rFonts w:ascii="Times New Roman" w:eastAsia="Times New Roman" w:hAnsi="Times New Roman" w:cs="Times New Roman"/>
          <w:szCs w:val="24"/>
          <w:lang w:eastAsia="it-IT"/>
        </w:rPr>
        <w:t>Indicatori di bilancio</w:t>
      </w:r>
    </w:p>
    <w:tbl>
      <w:tblPr>
        <w:tblW w:w="6861" w:type="dxa"/>
        <w:jc w:val="center"/>
        <w:tblCellMar>
          <w:left w:w="70" w:type="dxa"/>
          <w:right w:w="70" w:type="dxa"/>
        </w:tblCellMar>
        <w:tblLook w:val="04A0" w:firstRow="1" w:lastRow="0" w:firstColumn="1" w:lastColumn="0" w:noHBand="0" w:noVBand="1"/>
      </w:tblPr>
      <w:tblGrid>
        <w:gridCol w:w="479"/>
        <w:gridCol w:w="1573"/>
        <w:gridCol w:w="1439"/>
        <w:gridCol w:w="995"/>
        <w:gridCol w:w="1218"/>
        <w:gridCol w:w="1157"/>
      </w:tblGrid>
      <w:tr w:rsidR="00F56356" w:rsidRPr="00F56356" w14:paraId="2259543B" w14:textId="77777777" w:rsidTr="00F56356">
        <w:trPr>
          <w:trHeight w:val="420"/>
          <w:jc w:val="center"/>
        </w:trPr>
        <w:tc>
          <w:tcPr>
            <w:tcW w:w="6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5CF96"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19F86C82"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31C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3" w:type="dxa"/>
            <w:vMerge w:val="restart"/>
            <w:tcBorders>
              <w:top w:val="nil"/>
              <w:left w:val="single" w:sz="4" w:space="0" w:color="auto"/>
              <w:bottom w:val="single" w:sz="4" w:space="0" w:color="auto"/>
              <w:right w:val="single" w:sz="4" w:space="0" w:color="auto"/>
            </w:tcBorders>
            <w:shd w:val="clear" w:color="auto" w:fill="auto"/>
            <w:vAlign w:val="center"/>
            <w:hideMark/>
          </w:tcPr>
          <w:p w14:paraId="40DE762E"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39" w:type="dxa"/>
            <w:vMerge w:val="restart"/>
            <w:tcBorders>
              <w:top w:val="nil"/>
              <w:left w:val="single" w:sz="4" w:space="0" w:color="auto"/>
              <w:bottom w:val="single" w:sz="4" w:space="0" w:color="auto"/>
              <w:right w:val="single" w:sz="4" w:space="0" w:color="auto"/>
            </w:tcBorders>
            <w:shd w:val="clear" w:color="auto" w:fill="auto"/>
            <w:vAlign w:val="center"/>
            <w:hideMark/>
          </w:tcPr>
          <w:p w14:paraId="31689DFA"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70" w:type="dxa"/>
            <w:gridSpan w:val="3"/>
            <w:tcBorders>
              <w:top w:val="single" w:sz="4" w:space="0" w:color="auto"/>
              <w:left w:val="nil"/>
              <w:bottom w:val="single" w:sz="4" w:space="0" w:color="auto"/>
              <w:right w:val="single" w:sz="4" w:space="0" w:color="000000"/>
            </w:tcBorders>
            <w:shd w:val="clear" w:color="auto" w:fill="auto"/>
            <w:vAlign w:val="center"/>
            <w:hideMark/>
          </w:tcPr>
          <w:p w14:paraId="15813C7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20B822DB"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6A676634"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3" w:type="dxa"/>
            <w:vMerge/>
            <w:tcBorders>
              <w:top w:val="nil"/>
              <w:left w:val="single" w:sz="4" w:space="0" w:color="auto"/>
              <w:bottom w:val="single" w:sz="4" w:space="0" w:color="auto"/>
              <w:right w:val="single" w:sz="4" w:space="0" w:color="auto"/>
            </w:tcBorders>
            <w:vAlign w:val="center"/>
            <w:hideMark/>
          </w:tcPr>
          <w:p w14:paraId="1BC8D4D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39" w:type="dxa"/>
            <w:vMerge/>
            <w:tcBorders>
              <w:top w:val="nil"/>
              <w:left w:val="single" w:sz="4" w:space="0" w:color="auto"/>
              <w:bottom w:val="single" w:sz="4" w:space="0" w:color="auto"/>
              <w:right w:val="single" w:sz="4" w:space="0" w:color="auto"/>
            </w:tcBorders>
            <w:vAlign w:val="center"/>
            <w:hideMark/>
          </w:tcPr>
          <w:p w14:paraId="029966C4"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5" w:type="dxa"/>
            <w:tcBorders>
              <w:top w:val="nil"/>
              <w:left w:val="nil"/>
              <w:bottom w:val="single" w:sz="4" w:space="0" w:color="auto"/>
              <w:right w:val="single" w:sz="4" w:space="0" w:color="auto"/>
            </w:tcBorders>
            <w:shd w:val="clear" w:color="auto" w:fill="auto"/>
            <w:vAlign w:val="center"/>
            <w:hideMark/>
          </w:tcPr>
          <w:p w14:paraId="520824F3"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8" w:type="dxa"/>
            <w:tcBorders>
              <w:top w:val="nil"/>
              <w:left w:val="nil"/>
              <w:bottom w:val="single" w:sz="4" w:space="0" w:color="auto"/>
              <w:right w:val="single" w:sz="4" w:space="0" w:color="auto"/>
            </w:tcBorders>
            <w:shd w:val="clear" w:color="auto" w:fill="auto"/>
            <w:vAlign w:val="center"/>
            <w:hideMark/>
          </w:tcPr>
          <w:p w14:paraId="1D7E5D84"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7" w:type="dxa"/>
            <w:tcBorders>
              <w:top w:val="nil"/>
              <w:left w:val="nil"/>
              <w:bottom w:val="single" w:sz="4" w:space="0" w:color="auto"/>
              <w:right w:val="single" w:sz="4" w:space="0" w:color="auto"/>
            </w:tcBorders>
            <w:shd w:val="clear" w:color="auto" w:fill="auto"/>
            <w:vAlign w:val="center"/>
            <w:hideMark/>
          </w:tcPr>
          <w:p w14:paraId="13D65644"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424417C"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531DEF3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490</w:t>
            </w:r>
          </w:p>
        </w:tc>
        <w:tc>
          <w:tcPr>
            <w:tcW w:w="1573" w:type="dxa"/>
            <w:tcBorders>
              <w:top w:val="nil"/>
              <w:left w:val="nil"/>
              <w:bottom w:val="single" w:sz="4" w:space="0" w:color="auto"/>
              <w:right w:val="single" w:sz="4" w:space="0" w:color="auto"/>
            </w:tcBorders>
            <w:shd w:val="clear" w:color="auto" w:fill="auto"/>
            <w:noWrap/>
            <w:vAlign w:val="center"/>
            <w:hideMark/>
          </w:tcPr>
          <w:p w14:paraId="3E6F120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13.415,05</w:t>
            </w:r>
          </w:p>
        </w:tc>
        <w:tc>
          <w:tcPr>
            <w:tcW w:w="1439" w:type="dxa"/>
            <w:tcBorders>
              <w:top w:val="nil"/>
              <w:left w:val="nil"/>
              <w:bottom w:val="single" w:sz="4" w:space="0" w:color="auto"/>
              <w:right w:val="single" w:sz="4" w:space="0" w:color="auto"/>
            </w:tcBorders>
            <w:shd w:val="clear" w:color="auto" w:fill="auto"/>
            <w:noWrap/>
            <w:vAlign w:val="center"/>
            <w:hideMark/>
          </w:tcPr>
          <w:p w14:paraId="4612A85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9.172,94</w:t>
            </w:r>
          </w:p>
        </w:tc>
        <w:tc>
          <w:tcPr>
            <w:tcW w:w="995" w:type="dxa"/>
            <w:tcBorders>
              <w:top w:val="nil"/>
              <w:left w:val="nil"/>
              <w:bottom w:val="single" w:sz="4" w:space="0" w:color="auto"/>
              <w:right w:val="single" w:sz="4" w:space="0" w:color="auto"/>
            </w:tcBorders>
            <w:shd w:val="clear" w:color="auto" w:fill="auto"/>
            <w:noWrap/>
            <w:vAlign w:val="center"/>
            <w:hideMark/>
          </w:tcPr>
          <w:p w14:paraId="54D04A9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218" w:type="dxa"/>
            <w:tcBorders>
              <w:top w:val="nil"/>
              <w:left w:val="nil"/>
              <w:bottom w:val="single" w:sz="4" w:space="0" w:color="auto"/>
              <w:right w:val="single" w:sz="4" w:space="0" w:color="auto"/>
            </w:tcBorders>
            <w:shd w:val="clear" w:color="auto" w:fill="auto"/>
            <w:noWrap/>
            <w:vAlign w:val="center"/>
            <w:hideMark/>
          </w:tcPr>
          <w:p w14:paraId="55C9BB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31,62</w:t>
            </w:r>
          </w:p>
        </w:tc>
        <w:tc>
          <w:tcPr>
            <w:tcW w:w="1157" w:type="dxa"/>
            <w:tcBorders>
              <w:top w:val="nil"/>
              <w:left w:val="nil"/>
              <w:bottom w:val="single" w:sz="4" w:space="0" w:color="auto"/>
              <w:right w:val="single" w:sz="4" w:space="0" w:color="auto"/>
            </w:tcBorders>
            <w:shd w:val="clear" w:color="auto" w:fill="auto"/>
            <w:noWrap/>
            <w:vAlign w:val="center"/>
            <w:hideMark/>
          </w:tcPr>
          <w:p w14:paraId="3734802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-28,38</w:t>
            </w:r>
          </w:p>
        </w:tc>
      </w:tr>
      <w:tr w:rsidR="00F56356" w:rsidRPr="00F56356" w14:paraId="7BDD9A68"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DF1278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3" w:type="dxa"/>
            <w:tcBorders>
              <w:top w:val="nil"/>
              <w:left w:val="nil"/>
              <w:bottom w:val="single" w:sz="4" w:space="0" w:color="auto"/>
              <w:right w:val="single" w:sz="4" w:space="0" w:color="auto"/>
            </w:tcBorders>
            <w:shd w:val="clear" w:color="auto" w:fill="auto"/>
            <w:noWrap/>
            <w:vAlign w:val="center"/>
            <w:hideMark/>
          </w:tcPr>
          <w:p w14:paraId="1786856B"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13.415,05</w:t>
            </w:r>
          </w:p>
        </w:tc>
        <w:tc>
          <w:tcPr>
            <w:tcW w:w="1439" w:type="dxa"/>
            <w:tcBorders>
              <w:top w:val="nil"/>
              <w:left w:val="nil"/>
              <w:bottom w:val="single" w:sz="4" w:space="0" w:color="auto"/>
              <w:right w:val="single" w:sz="4" w:space="0" w:color="auto"/>
            </w:tcBorders>
            <w:shd w:val="clear" w:color="auto" w:fill="auto"/>
            <w:noWrap/>
            <w:vAlign w:val="center"/>
            <w:hideMark/>
          </w:tcPr>
          <w:p w14:paraId="1EB91AC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9.172,94</w:t>
            </w:r>
          </w:p>
        </w:tc>
        <w:tc>
          <w:tcPr>
            <w:tcW w:w="995" w:type="dxa"/>
            <w:tcBorders>
              <w:top w:val="nil"/>
              <w:left w:val="nil"/>
              <w:bottom w:val="nil"/>
              <w:right w:val="nil"/>
            </w:tcBorders>
            <w:shd w:val="clear" w:color="auto" w:fill="auto"/>
            <w:noWrap/>
            <w:vAlign w:val="center"/>
            <w:hideMark/>
          </w:tcPr>
          <w:p w14:paraId="3E4469D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8" w:type="dxa"/>
            <w:tcBorders>
              <w:top w:val="nil"/>
              <w:left w:val="nil"/>
              <w:bottom w:val="nil"/>
              <w:right w:val="nil"/>
            </w:tcBorders>
            <w:shd w:val="clear" w:color="auto" w:fill="auto"/>
            <w:noWrap/>
            <w:vAlign w:val="center"/>
            <w:hideMark/>
          </w:tcPr>
          <w:p w14:paraId="619DC72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7" w:type="dxa"/>
            <w:tcBorders>
              <w:top w:val="nil"/>
              <w:left w:val="nil"/>
              <w:bottom w:val="nil"/>
              <w:right w:val="nil"/>
            </w:tcBorders>
            <w:shd w:val="clear" w:color="auto" w:fill="auto"/>
            <w:noWrap/>
            <w:vAlign w:val="center"/>
            <w:hideMark/>
          </w:tcPr>
          <w:p w14:paraId="7CEF1AA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F7974CC" w14:textId="77777777" w:rsidR="00F56356" w:rsidRPr="00F56356" w:rsidRDefault="00F56356" w:rsidP="00F56356">
      <w:pPr>
        <w:spacing w:after="120" w:line="480" w:lineRule="auto"/>
        <w:ind w:left="-567" w:right="-2"/>
        <w:jc w:val="center"/>
        <w:rPr>
          <w:rFonts w:ascii="Times New Roman" w:eastAsia="Times New Roman" w:hAnsi="Times New Roman" w:cs="Times New Roman"/>
          <w:sz w:val="8"/>
          <w:szCs w:val="24"/>
          <w:lang w:eastAsia="it-IT"/>
        </w:rPr>
      </w:pPr>
    </w:p>
    <w:tbl>
      <w:tblPr>
        <w:tblW w:w="6860" w:type="dxa"/>
        <w:jc w:val="center"/>
        <w:tblCellMar>
          <w:left w:w="70" w:type="dxa"/>
          <w:right w:w="70" w:type="dxa"/>
        </w:tblCellMar>
        <w:tblLook w:val="04A0" w:firstRow="1" w:lastRow="0" w:firstColumn="1" w:lastColumn="0" w:noHBand="0" w:noVBand="1"/>
      </w:tblPr>
      <w:tblGrid>
        <w:gridCol w:w="469"/>
        <w:gridCol w:w="1599"/>
        <w:gridCol w:w="1599"/>
        <w:gridCol w:w="948"/>
        <w:gridCol w:w="1161"/>
        <w:gridCol w:w="1097"/>
      </w:tblGrid>
      <w:tr w:rsidR="00F56356" w:rsidRPr="00F56356" w14:paraId="404259AB"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2C166"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644E0731" w14:textId="77777777" w:rsidTr="00F56356">
        <w:trPr>
          <w:trHeight w:val="465"/>
          <w:jc w:val="center"/>
        </w:trPr>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76D973"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99" w:type="dxa"/>
            <w:vMerge w:val="restart"/>
            <w:tcBorders>
              <w:top w:val="nil"/>
              <w:left w:val="single" w:sz="4" w:space="0" w:color="auto"/>
              <w:bottom w:val="single" w:sz="4" w:space="0" w:color="auto"/>
              <w:right w:val="single" w:sz="4" w:space="0" w:color="auto"/>
            </w:tcBorders>
            <w:shd w:val="clear" w:color="auto" w:fill="auto"/>
            <w:vAlign w:val="center"/>
            <w:hideMark/>
          </w:tcPr>
          <w:p w14:paraId="0680F2F0"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99" w:type="dxa"/>
            <w:vMerge w:val="restart"/>
            <w:tcBorders>
              <w:top w:val="nil"/>
              <w:left w:val="single" w:sz="4" w:space="0" w:color="auto"/>
              <w:bottom w:val="single" w:sz="4" w:space="0" w:color="auto"/>
              <w:right w:val="single" w:sz="4" w:space="0" w:color="auto"/>
            </w:tcBorders>
            <w:shd w:val="clear" w:color="auto" w:fill="auto"/>
            <w:vAlign w:val="center"/>
            <w:hideMark/>
          </w:tcPr>
          <w:p w14:paraId="1BF492B8"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06" w:type="dxa"/>
            <w:gridSpan w:val="3"/>
            <w:tcBorders>
              <w:top w:val="single" w:sz="4" w:space="0" w:color="auto"/>
              <w:left w:val="nil"/>
              <w:bottom w:val="single" w:sz="4" w:space="0" w:color="auto"/>
              <w:right w:val="single" w:sz="4" w:space="0" w:color="000000"/>
            </w:tcBorders>
            <w:shd w:val="clear" w:color="auto" w:fill="auto"/>
            <w:vAlign w:val="center"/>
            <w:hideMark/>
          </w:tcPr>
          <w:p w14:paraId="10AD52CC"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254B1753" w14:textId="77777777" w:rsidTr="00F56356">
        <w:trPr>
          <w:trHeight w:val="300"/>
          <w:jc w:val="center"/>
        </w:trPr>
        <w:tc>
          <w:tcPr>
            <w:tcW w:w="456" w:type="dxa"/>
            <w:vMerge/>
            <w:tcBorders>
              <w:top w:val="nil"/>
              <w:left w:val="single" w:sz="4" w:space="0" w:color="auto"/>
              <w:bottom w:val="single" w:sz="4" w:space="0" w:color="auto"/>
              <w:right w:val="single" w:sz="4" w:space="0" w:color="auto"/>
            </w:tcBorders>
            <w:vAlign w:val="center"/>
            <w:hideMark/>
          </w:tcPr>
          <w:p w14:paraId="2076CDA7"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99" w:type="dxa"/>
            <w:vMerge/>
            <w:tcBorders>
              <w:top w:val="nil"/>
              <w:left w:val="single" w:sz="4" w:space="0" w:color="auto"/>
              <w:bottom w:val="single" w:sz="4" w:space="0" w:color="auto"/>
              <w:right w:val="single" w:sz="4" w:space="0" w:color="auto"/>
            </w:tcBorders>
            <w:vAlign w:val="center"/>
            <w:hideMark/>
          </w:tcPr>
          <w:p w14:paraId="08BC33E6"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99" w:type="dxa"/>
            <w:vMerge/>
            <w:tcBorders>
              <w:top w:val="nil"/>
              <w:left w:val="single" w:sz="4" w:space="0" w:color="auto"/>
              <w:bottom w:val="single" w:sz="4" w:space="0" w:color="auto"/>
              <w:right w:val="single" w:sz="4" w:space="0" w:color="auto"/>
            </w:tcBorders>
            <w:vAlign w:val="center"/>
            <w:hideMark/>
          </w:tcPr>
          <w:p w14:paraId="371FA2D2"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48" w:type="dxa"/>
            <w:tcBorders>
              <w:top w:val="nil"/>
              <w:left w:val="nil"/>
              <w:bottom w:val="single" w:sz="4" w:space="0" w:color="auto"/>
              <w:right w:val="single" w:sz="4" w:space="0" w:color="auto"/>
            </w:tcBorders>
            <w:shd w:val="clear" w:color="auto" w:fill="auto"/>
            <w:vAlign w:val="center"/>
            <w:hideMark/>
          </w:tcPr>
          <w:p w14:paraId="53B628D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61" w:type="dxa"/>
            <w:tcBorders>
              <w:top w:val="nil"/>
              <w:left w:val="nil"/>
              <w:bottom w:val="single" w:sz="4" w:space="0" w:color="auto"/>
              <w:right w:val="single" w:sz="4" w:space="0" w:color="auto"/>
            </w:tcBorders>
            <w:shd w:val="clear" w:color="auto" w:fill="auto"/>
            <w:vAlign w:val="center"/>
            <w:hideMark/>
          </w:tcPr>
          <w:p w14:paraId="0E49455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097" w:type="dxa"/>
            <w:tcBorders>
              <w:top w:val="nil"/>
              <w:left w:val="nil"/>
              <w:bottom w:val="single" w:sz="4" w:space="0" w:color="auto"/>
              <w:right w:val="single" w:sz="4" w:space="0" w:color="auto"/>
            </w:tcBorders>
            <w:shd w:val="clear" w:color="auto" w:fill="auto"/>
            <w:vAlign w:val="center"/>
            <w:hideMark/>
          </w:tcPr>
          <w:p w14:paraId="2BF65C9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C036B41"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CCA986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493</w:t>
            </w:r>
          </w:p>
        </w:tc>
        <w:tc>
          <w:tcPr>
            <w:tcW w:w="1599" w:type="dxa"/>
            <w:tcBorders>
              <w:top w:val="nil"/>
              <w:left w:val="nil"/>
              <w:bottom w:val="single" w:sz="4" w:space="0" w:color="auto"/>
              <w:right w:val="single" w:sz="4" w:space="0" w:color="auto"/>
            </w:tcBorders>
            <w:shd w:val="clear" w:color="auto" w:fill="auto"/>
            <w:noWrap/>
            <w:vAlign w:val="center"/>
            <w:hideMark/>
          </w:tcPr>
          <w:p w14:paraId="13458BA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11.570.603,70</w:t>
            </w:r>
          </w:p>
        </w:tc>
        <w:tc>
          <w:tcPr>
            <w:tcW w:w="1599" w:type="dxa"/>
            <w:tcBorders>
              <w:top w:val="nil"/>
              <w:left w:val="nil"/>
              <w:bottom w:val="single" w:sz="4" w:space="0" w:color="auto"/>
              <w:right w:val="single" w:sz="4" w:space="0" w:color="auto"/>
            </w:tcBorders>
            <w:shd w:val="clear" w:color="auto" w:fill="auto"/>
            <w:noWrap/>
            <w:vAlign w:val="center"/>
            <w:hideMark/>
          </w:tcPr>
          <w:p w14:paraId="6E0C20A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3.078.470,89</w:t>
            </w:r>
          </w:p>
        </w:tc>
        <w:tc>
          <w:tcPr>
            <w:tcW w:w="948" w:type="dxa"/>
            <w:tcBorders>
              <w:top w:val="nil"/>
              <w:left w:val="nil"/>
              <w:bottom w:val="single" w:sz="4" w:space="0" w:color="auto"/>
              <w:right w:val="single" w:sz="4" w:space="0" w:color="auto"/>
            </w:tcBorders>
            <w:shd w:val="clear" w:color="auto" w:fill="auto"/>
            <w:noWrap/>
            <w:vAlign w:val="center"/>
            <w:hideMark/>
          </w:tcPr>
          <w:p w14:paraId="624E427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61" w:type="dxa"/>
            <w:tcBorders>
              <w:top w:val="nil"/>
              <w:left w:val="nil"/>
              <w:bottom w:val="single" w:sz="4" w:space="0" w:color="auto"/>
              <w:right w:val="single" w:sz="4" w:space="0" w:color="auto"/>
            </w:tcBorders>
            <w:shd w:val="clear" w:color="auto" w:fill="auto"/>
            <w:noWrap/>
            <w:vAlign w:val="center"/>
            <w:hideMark/>
          </w:tcPr>
          <w:p w14:paraId="6F59DE1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73,39</w:t>
            </w:r>
          </w:p>
        </w:tc>
        <w:tc>
          <w:tcPr>
            <w:tcW w:w="1097" w:type="dxa"/>
            <w:tcBorders>
              <w:top w:val="nil"/>
              <w:left w:val="nil"/>
              <w:bottom w:val="single" w:sz="4" w:space="0" w:color="auto"/>
              <w:right w:val="single" w:sz="4" w:space="0" w:color="auto"/>
            </w:tcBorders>
            <w:shd w:val="clear" w:color="auto" w:fill="auto"/>
            <w:noWrap/>
            <w:vAlign w:val="center"/>
            <w:hideMark/>
          </w:tcPr>
          <w:p w14:paraId="65A953D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23,39</w:t>
            </w:r>
          </w:p>
        </w:tc>
      </w:tr>
      <w:tr w:rsidR="00F56356" w:rsidRPr="00F56356" w14:paraId="0302E4E8"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1A365CE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494</w:t>
            </w:r>
          </w:p>
        </w:tc>
        <w:tc>
          <w:tcPr>
            <w:tcW w:w="1599" w:type="dxa"/>
            <w:tcBorders>
              <w:top w:val="nil"/>
              <w:left w:val="nil"/>
              <w:bottom w:val="single" w:sz="4" w:space="0" w:color="auto"/>
              <w:right w:val="single" w:sz="4" w:space="0" w:color="auto"/>
            </w:tcBorders>
            <w:shd w:val="clear" w:color="auto" w:fill="auto"/>
            <w:noWrap/>
            <w:vAlign w:val="center"/>
            <w:hideMark/>
          </w:tcPr>
          <w:p w14:paraId="3296DDE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125.221.227,41</w:t>
            </w:r>
          </w:p>
        </w:tc>
        <w:tc>
          <w:tcPr>
            <w:tcW w:w="1599" w:type="dxa"/>
            <w:tcBorders>
              <w:top w:val="nil"/>
              <w:left w:val="nil"/>
              <w:bottom w:val="single" w:sz="4" w:space="0" w:color="auto"/>
              <w:right w:val="single" w:sz="4" w:space="0" w:color="auto"/>
            </w:tcBorders>
            <w:shd w:val="clear" w:color="auto" w:fill="auto"/>
            <w:noWrap/>
            <w:vAlign w:val="center"/>
            <w:hideMark/>
          </w:tcPr>
          <w:p w14:paraId="60CC253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115.627.873,15</w:t>
            </w:r>
          </w:p>
        </w:tc>
        <w:tc>
          <w:tcPr>
            <w:tcW w:w="948" w:type="dxa"/>
            <w:tcBorders>
              <w:top w:val="nil"/>
              <w:left w:val="nil"/>
              <w:bottom w:val="single" w:sz="4" w:space="0" w:color="auto"/>
              <w:right w:val="single" w:sz="4" w:space="0" w:color="auto"/>
            </w:tcBorders>
            <w:shd w:val="clear" w:color="auto" w:fill="auto"/>
            <w:noWrap/>
            <w:vAlign w:val="center"/>
            <w:hideMark/>
          </w:tcPr>
          <w:p w14:paraId="12BD56B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1" w:type="dxa"/>
            <w:tcBorders>
              <w:top w:val="nil"/>
              <w:left w:val="nil"/>
              <w:bottom w:val="single" w:sz="4" w:space="0" w:color="auto"/>
              <w:right w:val="single" w:sz="4" w:space="0" w:color="auto"/>
            </w:tcBorders>
            <w:shd w:val="clear" w:color="auto" w:fill="auto"/>
            <w:noWrap/>
            <w:vAlign w:val="center"/>
            <w:hideMark/>
          </w:tcPr>
          <w:p w14:paraId="04B4CE9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7,66</w:t>
            </w:r>
          </w:p>
        </w:tc>
        <w:tc>
          <w:tcPr>
            <w:tcW w:w="1097" w:type="dxa"/>
            <w:tcBorders>
              <w:top w:val="nil"/>
              <w:left w:val="nil"/>
              <w:bottom w:val="single" w:sz="4" w:space="0" w:color="auto"/>
              <w:right w:val="single" w:sz="4" w:space="0" w:color="auto"/>
            </w:tcBorders>
            <w:shd w:val="clear" w:color="auto" w:fill="auto"/>
            <w:noWrap/>
            <w:vAlign w:val="center"/>
            <w:hideMark/>
          </w:tcPr>
          <w:p w14:paraId="2765AF4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1A987222"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1145A2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496</w:t>
            </w:r>
          </w:p>
        </w:tc>
        <w:tc>
          <w:tcPr>
            <w:tcW w:w="1599" w:type="dxa"/>
            <w:tcBorders>
              <w:top w:val="nil"/>
              <w:left w:val="nil"/>
              <w:bottom w:val="single" w:sz="4" w:space="0" w:color="auto"/>
              <w:right w:val="single" w:sz="4" w:space="0" w:color="auto"/>
            </w:tcBorders>
            <w:shd w:val="clear" w:color="auto" w:fill="auto"/>
            <w:noWrap/>
            <w:vAlign w:val="center"/>
            <w:hideMark/>
          </w:tcPr>
          <w:p w14:paraId="24D30A5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34.424.049,21</w:t>
            </w:r>
          </w:p>
        </w:tc>
        <w:tc>
          <w:tcPr>
            <w:tcW w:w="1599" w:type="dxa"/>
            <w:tcBorders>
              <w:top w:val="nil"/>
              <w:left w:val="nil"/>
              <w:bottom w:val="single" w:sz="4" w:space="0" w:color="auto"/>
              <w:right w:val="single" w:sz="4" w:space="0" w:color="auto"/>
            </w:tcBorders>
            <w:shd w:val="clear" w:color="auto" w:fill="auto"/>
            <w:noWrap/>
            <w:vAlign w:val="center"/>
            <w:hideMark/>
          </w:tcPr>
          <w:p w14:paraId="4F3FC43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817.520,92</w:t>
            </w:r>
          </w:p>
        </w:tc>
        <w:tc>
          <w:tcPr>
            <w:tcW w:w="948" w:type="dxa"/>
            <w:tcBorders>
              <w:top w:val="nil"/>
              <w:left w:val="nil"/>
              <w:bottom w:val="single" w:sz="4" w:space="0" w:color="auto"/>
              <w:right w:val="single" w:sz="4" w:space="0" w:color="auto"/>
            </w:tcBorders>
            <w:shd w:val="clear" w:color="auto" w:fill="auto"/>
            <w:noWrap/>
            <w:vAlign w:val="center"/>
            <w:hideMark/>
          </w:tcPr>
          <w:p w14:paraId="5C56E59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61" w:type="dxa"/>
            <w:tcBorders>
              <w:top w:val="nil"/>
              <w:left w:val="nil"/>
              <w:bottom w:val="single" w:sz="4" w:space="0" w:color="auto"/>
              <w:right w:val="single" w:sz="4" w:space="0" w:color="auto"/>
            </w:tcBorders>
            <w:shd w:val="clear" w:color="auto" w:fill="auto"/>
            <w:noWrap/>
            <w:vAlign w:val="center"/>
            <w:hideMark/>
          </w:tcPr>
          <w:p w14:paraId="0CB3B95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97,63</w:t>
            </w:r>
          </w:p>
        </w:tc>
        <w:tc>
          <w:tcPr>
            <w:tcW w:w="1097" w:type="dxa"/>
            <w:tcBorders>
              <w:top w:val="nil"/>
              <w:left w:val="nil"/>
              <w:bottom w:val="single" w:sz="4" w:space="0" w:color="auto"/>
              <w:right w:val="single" w:sz="4" w:space="0" w:color="auto"/>
            </w:tcBorders>
            <w:shd w:val="clear" w:color="auto" w:fill="auto"/>
            <w:noWrap/>
            <w:vAlign w:val="center"/>
            <w:hideMark/>
          </w:tcPr>
          <w:p w14:paraId="65DAEBE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47,63</w:t>
            </w:r>
          </w:p>
        </w:tc>
      </w:tr>
      <w:tr w:rsidR="00F56356" w:rsidRPr="00F56356" w14:paraId="5E865D76"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655F2FD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520</w:t>
            </w:r>
          </w:p>
        </w:tc>
        <w:tc>
          <w:tcPr>
            <w:tcW w:w="1599" w:type="dxa"/>
            <w:tcBorders>
              <w:top w:val="nil"/>
              <w:left w:val="nil"/>
              <w:bottom w:val="single" w:sz="4" w:space="0" w:color="auto"/>
              <w:right w:val="single" w:sz="4" w:space="0" w:color="auto"/>
            </w:tcBorders>
            <w:shd w:val="clear" w:color="000000" w:fill="FFFFFF"/>
            <w:noWrap/>
            <w:vAlign w:val="center"/>
            <w:hideMark/>
          </w:tcPr>
          <w:p w14:paraId="0FBAE20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9.802.595,13</w:t>
            </w:r>
          </w:p>
        </w:tc>
        <w:tc>
          <w:tcPr>
            <w:tcW w:w="1599" w:type="dxa"/>
            <w:tcBorders>
              <w:top w:val="nil"/>
              <w:left w:val="nil"/>
              <w:bottom w:val="single" w:sz="4" w:space="0" w:color="auto"/>
              <w:right w:val="single" w:sz="4" w:space="0" w:color="auto"/>
            </w:tcBorders>
            <w:shd w:val="clear" w:color="000000" w:fill="FFFFFF"/>
            <w:noWrap/>
            <w:vAlign w:val="center"/>
            <w:hideMark/>
          </w:tcPr>
          <w:p w14:paraId="0F7E3D1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341.120,00</w:t>
            </w:r>
          </w:p>
        </w:tc>
        <w:tc>
          <w:tcPr>
            <w:tcW w:w="948" w:type="dxa"/>
            <w:tcBorders>
              <w:top w:val="nil"/>
              <w:left w:val="nil"/>
              <w:bottom w:val="single" w:sz="4" w:space="0" w:color="auto"/>
              <w:right w:val="single" w:sz="4" w:space="0" w:color="auto"/>
            </w:tcBorders>
            <w:shd w:val="clear" w:color="auto" w:fill="auto"/>
            <w:noWrap/>
            <w:vAlign w:val="center"/>
            <w:hideMark/>
          </w:tcPr>
          <w:p w14:paraId="78F9D88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61" w:type="dxa"/>
            <w:tcBorders>
              <w:top w:val="nil"/>
              <w:left w:val="nil"/>
              <w:bottom w:val="single" w:sz="4" w:space="0" w:color="auto"/>
              <w:right w:val="single" w:sz="4" w:space="0" w:color="auto"/>
            </w:tcBorders>
            <w:shd w:val="clear" w:color="auto" w:fill="auto"/>
            <w:noWrap/>
            <w:vAlign w:val="center"/>
            <w:hideMark/>
          </w:tcPr>
          <w:p w14:paraId="23F43F4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96,52</w:t>
            </w:r>
          </w:p>
        </w:tc>
        <w:tc>
          <w:tcPr>
            <w:tcW w:w="1097" w:type="dxa"/>
            <w:tcBorders>
              <w:top w:val="nil"/>
              <w:left w:val="nil"/>
              <w:bottom w:val="single" w:sz="4" w:space="0" w:color="auto"/>
              <w:right w:val="single" w:sz="4" w:space="0" w:color="auto"/>
            </w:tcBorders>
            <w:shd w:val="clear" w:color="auto" w:fill="auto"/>
            <w:noWrap/>
            <w:vAlign w:val="center"/>
            <w:hideMark/>
          </w:tcPr>
          <w:p w14:paraId="6C2B91D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46,52</w:t>
            </w:r>
          </w:p>
        </w:tc>
      </w:tr>
      <w:tr w:rsidR="00F56356" w:rsidRPr="00F56356" w14:paraId="6A6A389B"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63BC63F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527</w:t>
            </w:r>
          </w:p>
        </w:tc>
        <w:tc>
          <w:tcPr>
            <w:tcW w:w="1599" w:type="dxa"/>
            <w:tcBorders>
              <w:top w:val="nil"/>
              <w:left w:val="nil"/>
              <w:bottom w:val="single" w:sz="4" w:space="0" w:color="auto"/>
              <w:right w:val="single" w:sz="4" w:space="0" w:color="auto"/>
            </w:tcBorders>
            <w:shd w:val="clear" w:color="000000" w:fill="FFFFFF"/>
            <w:noWrap/>
            <w:vAlign w:val="center"/>
            <w:hideMark/>
          </w:tcPr>
          <w:p w14:paraId="4D54BED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4.000.000,00</w:t>
            </w:r>
          </w:p>
        </w:tc>
        <w:tc>
          <w:tcPr>
            <w:tcW w:w="1599" w:type="dxa"/>
            <w:tcBorders>
              <w:top w:val="nil"/>
              <w:left w:val="nil"/>
              <w:bottom w:val="single" w:sz="4" w:space="0" w:color="auto"/>
              <w:right w:val="single" w:sz="4" w:space="0" w:color="auto"/>
            </w:tcBorders>
            <w:shd w:val="clear" w:color="000000" w:fill="FFFFFF"/>
            <w:noWrap/>
            <w:vAlign w:val="center"/>
            <w:hideMark/>
          </w:tcPr>
          <w:p w14:paraId="472B424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2.086.482,71</w:t>
            </w:r>
          </w:p>
        </w:tc>
        <w:tc>
          <w:tcPr>
            <w:tcW w:w="948" w:type="dxa"/>
            <w:tcBorders>
              <w:top w:val="nil"/>
              <w:left w:val="nil"/>
              <w:bottom w:val="single" w:sz="4" w:space="0" w:color="auto"/>
              <w:right w:val="single" w:sz="4" w:space="0" w:color="auto"/>
            </w:tcBorders>
            <w:shd w:val="clear" w:color="auto" w:fill="auto"/>
            <w:noWrap/>
            <w:vAlign w:val="center"/>
            <w:hideMark/>
          </w:tcPr>
          <w:p w14:paraId="619BAD9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1" w:type="dxa"/>
            <w:tcBorders>
              <w:top w:val="nil"/>
              <w:left w:val="nil"/>
              <w:bottom w:val="single" w:sz="4" w:space="0" w:color="auto"/>
              <w:right w:val="single" w:sz="4" w:space="0" w:color="auto"/>
            </w:tcBorders>
            <w:shd w:val="clear" w:color="auto" w:fill="auto"/>
            <w:noWrap/>
            <w:vAlign w:val="center"/>
            <w:hideMark/>
          </w:tcPr>
          <w:p w14:paraId="2C601C8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47,84</w:t>
            </w:r>
          </w:p>
        </w:tc>
        <w:tc>
          <w:tcPr>
            <w:tcW w:w="1097" w:type="dxa"/>
            <w:tcBorders>
              <w:top w:val="nil"/>
              <w:left w:val="nil"/>
              <w:bottom w:val="single" w:sz="4" w:space="0" w:color="auto"/>
              <w:right w:val="single" w:sz="4" w:space="0" w:color="auto"/>
            </w:tcBorders>
            <w:shd w:val="clear" w:color="auto" w:fill="auto"/>
            <w:noWrap/>
            <w:vAlign w:val="center"/>
            <w:hideMark/>
          </w:tcPr>
          <w:p w14:paraId="7E324AB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29B3CD8" w14:textId="77777777" w:rsidTr="00F56356">
        <w:trPr>
          <w:trHeight w:val="240"/>
          <w:jc w:val="center"/>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080A8D9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537</w:t>
            </w:r>
          </w:p>
        </w:tc>
        <w:tc>
          <w:tcPr>
            <w:tcW w:w="1599" w:type="dxa"/>
            <w:tcBorders>
              <w:top w:val="nil"/>
              <w:left w:val="nil"/>
              <w:bottom w:val="single" w:sz="4" w:space="0" w:color="auto"/>
              <w:right w:val="single" w:sz="4" w:space="0" w:color="auto"/>
            </w:tcBorders>
            <w:shd w:val="clear" w:color="000000" w:fill="FFFFFF"/>
            <w:noWrap/>
            <w:vAlign w:val="center"/>
            <w:hideMark/>
          </w:tcPr>
          <w:p w14:paraId="17E5C5C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2.261.582,30</w:t>
            </w:r>
          </w:p>
        </w:tc>
        <w:tc>
          <w:tcPr>
            <w:tcW w:w="1599" w:type="dxa"/>
            <w:tcBorders>
              <w:top w:val="nil"/>
              <w:left w:val="nil"/>
              <w:bottom w:val="single" w:sz="4" w:space="0" w:color="auto"/>
              <w:right w:val="single" w:sz="4" w:space="0" w:color="auto"/>
            </w:tcBorders>
            <w:shd w:val="clear" w:color="000000" w:fill="FFFFFF"/>
            <w:noWrap/>
            <w:vAlign w:val="center"/>
            <w:hideMark/>
          </w:tcPr>
          <w:p w14:paraId="64E1FFF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406.773,38</w:t>
            </w:r>
          </w:p>
        </w:tc>
        <w:tc>
          <w:tcPr>
            <w:tcW w:w="948" w:type="dxa"/>
            <w:tcBorders>
              <w:top w:val="nil"/>
              <w:left w:val="nil"/>
              <w:bottom w:val="single" w:sz="4" w:space="0" w:color="auto"/>
              <w:right w:val="single" w:sz="4" w:space="0" w:color="auto"/>
            </w:tcBorders>
            <w:shd w:val="clear" w:color="auto" w:fill="auto"/>
            <w:noWrap/>
            <w:vAlign w:val="center"/>
            <w:hideMark/>
          </w:tcPr>
          <w:p w14:paraId="4D24C2C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61" w:type="dxa"/>
            <w:tcBorders>
              <w:top w:val="nil"/>
              <w:left w:val="nil"/>
              <w:bottom w:val="single" w:sz="4" w:space="0" w:color="auto"/>
              <w:right w:val="single" w:sz="4" w:space="0" w:color="auto"/>
            </w:tcBorders>
            <w:shd w:val="clear" w:color="auto" w:fill="auto"/>
            <w:noWrap/>
            <w:vAlign w:val="center"/>
            <w:hideMark/>
          </w:tcPr>
          <w:p w14:paraId="16511A4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82,01</w:t>
            </w:r>
          </w:p>
        </w:tc>
        <w:tc>
          <w:tcPr>
            <w:tcW w:w="1097" w:type="dxa"/>
            <w:tcBorders>
              <w:top w:val="nil"/>
              <w:left w:val="nil"/>
              <w:bottom w:val="single" w:sz="4" w:space="0" w:color="auto"/>
              <w:right w:val="single" w:sz="4" w:space="0" w:color="auto"/>
            </w:tcBorders>
            <w:shd w:val="clear" w:color="auto" w:fill="auto"/>
            <w:noWrap/>
            <w:vAlign w:val="center"/>
            <w:hideMark/>
          </w:tcPr>
          <w:p w14:paraId="406A8C7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DF65A0D" w14:textId="77777777" w:rsidTr="00F56356">
        <w:trPr>
          <w:trHeight w:val="315"/>
          <w:jc w:val="center"/>
        </w:trPr>
        <w:tc>
          <w:tcPr>
            <w:tcW w:w="456" w:type="dxa"/>
            <w:tcBorders>
              <w:top w:val="nil"/>
              <w:left w:val="single" w:sz="4" w:space="0" w:color="auto"/>
              <w:bottom w:val="single" w:sz="4" w:space="0" w:color="auto"/>
              <w:right w:val="single" w:sz="4" w:space="0" w:color="auto"/>
            </w:tcBorders>
            <w:shd w:val="clear" w:color="000000" w:fill="FFFFFF"/>
            <w:noWrap/>
            <w:vAlign w:val="center"/>
            <w:hideMark/>
          </w:tcPr>
          <w:p w14:paraId="287A0A3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99" w:type="dxa"/>
            <w:tcBorders>
              <w:top w:val="nil"/>
              <w:left w:val="nil"/>
              <w:bottom w:val="single" w:sz="4" w:space="0" w:color="auto"/>
              <w:right w:val="single" w:sz="4" w:space="0" w:color="auto"/>
            </w:tcBorders>
            <w:shd w:val="clear" w:color="000000" w:fill="FFFFFF"/>
            <w:noWrap/>
            <w:vAlign w:val="center"/>
            <w:hideMark/>
          </w:tcPr>
          <w:p w14:paraId="6CE7322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187.280.057,75</w:t>
            </w:r>
          </w:p>
        </w:tc>
        <w:tc>
          <w:tcPr>
            <w:tcW w:w="1599" w:type="dxa"/>
            <w:tcBorders>
              <w:top w:val="nil"/>
              <w:left w:val="nil"/>
              <w:bottom w:val="single" w:sz="4" w:space="0" w:color="auto"/>
              <w:right w:val="single" w:sz="4" w:space="0" w:color="auto"/>
            </w:tcBorders>
            <w:shd w:val="clear" w:color="000000" w:fill="FFFFFF"/>
            <w:noWrap/>
            <w:vAlign w:val="center"/>
            <w:hideMark/>
          </w:tcPr>
          <w:p w14:paraId="7C7BEF4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122.358.241,05</w:t>
            </w:r>
          </w:p>
        </w:tc>
        <w:tc>
          <w:tcPr>
            <w:tcW w:w="948" w:type="dxa"/>
            <w:tcBorders>
              <w:top w:val="nil"/>
              <w:left w:val="nil"/>
              <w:bottom w:val="nil"/>
              <w:right w:val="nil"/>
            </w:tcBorders>
            <w:shd w:val="clear" w:color="auto" w:fill="auto"/>
            <w:noWrap/>
            <w:vAlign w:val="center"/>
            <w:hideMark/>
          </w:tcPr>
          <w:p w14:paraId="3996C92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61" w:type="dxa"/>
            <w:tcBorders>
              <w:top w:val="nil"/>
              <w:left w:val="nil"/>
              <w:bottom w:val="nil"/>
              <w:right w:val="nil"/>
            </w:tcBorders>
            <w:shd w:val="clear" w:color="auto" w:fill="auto"/>
            <w:noWrap/>
            <w:vAlign w:val="center"/>
            <w:hideMark/>
          </w:tcPr>
          <w:p w14:paraId="68B0126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097" w:type="dxa"/>
            <w:tcBorders>
              <w:top w:val="nil"/>
              <w:left w:val="nil"/>
              <w:bottom w:val="nil"/>
              <w:right w:val="nil"/>
            </w:tcBorders>
            <w:shd w:val="clear" w:color="auto" w:fill="auto"/>
            <w:noWrap/>
            <w:vAlign w:val="center"/>
            <w:hideMark/>
          </w:tcPr>
          <w:p w14:paraId="45BF7B9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4EE99603"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722CE38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pari a euro 174.269.952,25 sono state destinate per euro 42.191,51 al funzionamento ed euro 174.227.760,74 agli interventi.</w:t>
      </w:r>
    </w:p>
    <w:p w14:paraId="3F20B3B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649B440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2.2.1 </w:t>
      </w:r>
      <w:r w:rsidRPr="00F56356">
        <w:rPr>
          <w:rFonts w:ascii="Times New Roman" w:eastAsia="Times New Roman" w:hAnsi="Times New Roman" w:cs="Times New Roman"/>
          <w:color w:val="000000" w:themeColor="text1"/>
          <w:sz w:val="24"/>
          <w:szCs w:val="24"/>
          <w:lang w:eastAsia="it-IT"/>
        </w:rPr>
        <w:t xml:space="preserve">Le risorse impegnate per il funzionamento di euro 42.191,51 si riferiscono alle spese per missioni, ivi comprese quelle del Ministro (cap. 490). </w:t>
      </w:r>
    </w:p>
    <w:p w14:paraId="338DA480" w14:textId="77777777" w:rsidR="00F56356" w:rsidRPr="00F56356" w:rsidRDefault="00F56356" w:rsidP="00F56356">
      <w:pPr>
        <w:spacing w:after="0" w:line="360" w:lineRule="auto"/>
        <w:ind w:left="284" w:right="-2"/>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FF0000"/>
          <w:sz w:val="24"/>
          <w:szCs w:val="24"/>
          <w:lang w:eastAsia="it-IT"/>
        </w:rPr>
        <w:t xml:space="preserve">                                                           </w:t>
      </w:r>
    </w:p>
    <w:p w14:paraId="5BEC81D0" w14:textId="77777777" w:rsidR="00F56356" w:rsidRPr="00F56356" w:rsidRDefault="00F56356" w:rsidP="00F56356">
      <w:pPr>
        <w:spacing w:after="120" w:line="480" w:lineRule="auto"/>
        <w:ind w:left="283" w:right="-2"/>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694080" behindDoc="1" locked="0" layoutInCell="1" allowOverlap="1" wp14:anchorId="2175AD0E" wp14:editId="3A7CC422">
            <wp:simplePos x="0" y="0"/>
            <wp:positionH relativeFrom="margin">
              <wp:align>right</wp:align>
            </wp:positionH>
            <wp:positionV relativeFrom="paragraph">
              <wp:posOffset>424180</wp:posOffset>
            </wp:positionV>
            <wp:extent cx="5934075" cy="1405890"/>
            <wp:effectExtent l="0" t="0" r="9525" b="3810"/>
            <wp:wrapTight wrapText="bothSides">
              <wp:wrapPolygon edited="0">
                <wp:start x="0" y="0"/>
                <wp:lineTo x="0" y="21366"/>
                <wp:lineTo x="11927" y="21366"/>
                <wp:lineTo x="11927" y="18732"/>
                <wp:lineTo x="21565" y="18732"/>
                <wp:lineTo x="21565" y="8195"/>
                <wp:lineTo x="21219" y="4683"/>
                <wp:lineTo x="21496" y="4683"/>
                <wp:lineTo x="21565" y="3512"/>
                <wp:lineTo x="21565" y="0"/>
                <wp:lineTo x="0" y="0"/>
              </wp:wrapPolygon>
            </wp:wrapTight>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34075" cy="140589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1B3CF510" w14:textId="77777777" w:rsidR="00F56356" w:rsidRPr="00F56356" w:rsidRDefault="00F56356" w:rsidP="00F56356">
      <w:pPr>
        <w:spacing w:after="120" w:line="480" w:lineRule="auto"/>
        <w:ind w:left="283" w:right="-2"/>
        <w:jc w:val="center"/>
        <w:rPr>
          <w:rFonts w:ascii="Times New Roman" w:eastAsia="Times New Roman" w:hAnsi="Times New Roman" w:cs="Times New Roman"/>
          <w:color w:val="000000" w:themeColor="text1"/>
          <w:sz w:val="24"/>
          <w:szCs w:val="24"/>
          <w:lang w:eastAsia="it-IT"/>
        </w:rPr>
      </w:pPr>
    </w:p>
    <w:p w14:paraId="0C921AE4" w14:textId="77777777" w:rsidR="00F56356" w:rsidRPr="00F56356" w:rsidRDefault="00F56356" w:rsidP="00F56356">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it-IT"/>
        </w:rPr>
      </w:pPr>
    </w:p>
    <w:p w14:paraId="5C1E5985" w14:textId="77777777" w:rsidR="00F56356" w:rsidRPr="00F56356" w:rsidRDefault="00F56356" w:rsidP="00F56356">
      <w:pPr>
        <w:autoSpaceDE w:val="0"/>
        <w:autoSpaceDN w:val="0"/>
        <w:adjustRightInd w:val="0"/>
        <w:spacing w:after="0" w:line="240" w:lineRule="auto"/>
        <w:ind w:left="142" w:hanging="142"/>
        <w:jc w:val="both"/>
        <w:rPr>
          <w:rFonts w:ascii="Times New Roman" w:eastAsia="Times New Roman" w:hAnsi="Times New Roman" w:cs="Times New Roman"/>
          <w:sz w:val="18"/>
          <w:szCs w:val="18"/>
          <w:lang w:eastAsia="it-IT"/>
        </w:rPr>
      </w:pPr>
    </w:p>
    <w:p w14:paraId="135D221B" w14:textId="77777777" w:rsidR="00F56356" w:rsidRPr="00F56356" w:rsidRDefault="00F56356" w:rsidP="00F56356">
      <w:pPr>
        <w:autoSpaceDE w:val="0"/>
        <w:autoSpaceDN w:val="0"/>
        <w:adjustRightInd w:val="0"/>
        <w:spacing w:after="0" w:line="240" w:lineRule="auto"/>
        <w:ind w:left="142" w:hanging="142"/>
        <w:jc w:val="both"/>
        <w:rPr>
          <w:rFonts w:ascii="Times New Roman" w:eastAsia="Times New Roman" w:hAnsi="Times New Roman" w:cs="Times New Roman"/>
          <w:sz w:val="2"/>
          <w:szCs w:val="18"/>
          <w:lang w:eastAsia="it-IT"/>
        </w:rPr>
      </w:pPr>
      <w:r w:rsidRPr="00F56356">
        <w:rPr>
          <w:rFonts w:ascii="Times New Roman" w:eastAsia="Times New Roman" w:hAnsi="Times New Roman" w:cs="Times New Roman"/>
          <w:sz w:val="18"/>
          <w:szCs w:val="18"/>
          <w:lang w:eastAsia="it-IT"/>
        </w:rPr>
        <w:t xml:space="preserve">  </w:t>
      </w:r>
    </w:p>
    <w:p w14:paraId="76F210AA"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per gli interventi pari a euro 174.227.760,74, di cui euro 9.194.400,33 riferiti a reiscrizioni di residui passivi perenti, sono state destinate: </w:t>
      </w:r>
    </w:p>
    <w:p w14:paraId="3F764610"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w:t>
      </w:r>
      <w:r w:rsidRPr="00F56356">
        <w:rPr>
          <w:rFonts w:ascii="Times New Roman" w:eastAsia="Times New Roman" w:hAnsi="Times New Roman" w:cs="Times New Roman"/>
          <w:i/>
          <w:iCs/>
          <w:color w:val="000000" w:themeColor="text1"/>
          <w:sz w:val="24"/>
          <w:szCs w:val="24"/>
          <w:lang w:eastAsia="it-IT"/>
        </w:rPr>
        <w:t xml:space="preserve">per gli interventi relative ai diritti e alle pari opportunità” </w:t>
      </w:r>
      <w:r w:rsidRPr="00F56356">
        <w:rPr>
          <w:rFonts w:ascii="Times New Roman" w:eastAsia="Times New Roman" w:hAnsi="Times New Roman" w:cs="Times New Roman"/>
          <w:iCs/>
          <w:color w:val="000000" w:themeColor="text1"/>
          <w:sz w:val="24"/>
          <w:szCs w:val="24"/>
          <w:lang w:eastAsia="it-IT"/>
        </w:rPr>
        <w:t>(cap. 493)</w:t>
      </w:r>
    </w:p>
    <w:p w14:paraId="376ABAD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8.357.278,00, di cui:</w:t>
      </w:r>
    </w:p>
    <w:p w14:paraId="148E9A95"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215.160,85 riferiti a reiscrizioni di residui passivi perenti;</w:t>
      </w:r>
    </w:p>
    <w:p w14:paraId="3DCCFCC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6.500.000,00 alla realizzazione di progetti e iniziative per il sostegno all’imprenditoria femminile attraverso il rifinanziamento della sezione speciale della Presidenza del Consiglio dei ministri nell’ambito del fondo di garanzia per le piccole e medie imprese;</w:t>
      </w:r>
    </w:p>
    <w:p w14:paraId="7C093B8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786.229,00 all’acquisizione di servizi di supporto specialistico per il rafforzamento del ruolo di indirizzo e coordinamento del Dipartimento nell’ambito delle politiche di pari opportunità;</w:t>
      </w:r>
    </w:p>
    <w:p w14:paraId="093E55F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500.000,00 al potenziamento del monitoraggio delle politiche e dei progetti in materia di pari opportunità;</w:t>
      </w:r>
    </w:p>
    <w:p w14:paraId="37755C38"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5.929,20 al supporto specialistico per l’applicazione della normativa relativa alle quote di genere e all’implementazione dei relativi strumenti di monitoraggio;</w:t>
      </w:r>
    </w:p>
    <w:p w14:paraId="2C5FA89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15.402,62 all’organizzazione di iniziative di sensibilizzazione e comunicazione;</w:t>
      </w:r>
    </w:p>
    <w:p w14:paraId="6CD44176"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268.345,72 all’attuazione del progetto “Sistema di certificazione della parità di genere”, Missione 5, Componente 1, Investimento 1.3 del PNRR – mediante l’Accordo di collaborazione, ai sensi dell’articolo 15 della legge n. 241/1990, sottoscritto con Unioncamere;</w:t>
      </w:r>
    </w:p>
    <w:p w14:paraId="25E02F13"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58.000,00 al finanziamento del progetto dal titolo “G20_CEO4empower”, finalizzato a valorizzare e promuovere i temi legati all’empowerment e alla leadership femminile;</w:t>
      </w:r>
    </w:p>
    <w:p w14:paraId="247AB243"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5.869,55 alla promozione della cultura scientifica e tecnologica tra le ragazze e di contrasto agli stereotipi di genere; </w:t>
      </w:r>
    </w:p>
    <w:p w14:paraId="12157D53"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2.341,06 alle spese di pubblicità;</w:t>
      </w:r>
    </w:p>
    <w:p w14:paraId="5D75897B"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b) “</w:t>
      </w:r>
      <w:r w:rsidRPr="00F56356">
        <w:rPr>
          <w:rFonts w:ascii="Times New Roman" w:eastAsia="Times New Roman" w:hAnsi="Times New Roman" w:cs="Times New Roman"/>
          <w:i/>
          <w:iCs/>
          <w:color w:val="000000" w:themeColor="text1"/>
          <w:sz w:val="24"/>
          <w:szCs w:val="24"/>
          <w:lang w:eastAsia="it-IT"/>
        </w:rPr>
        <w:t>Fondo per l’attuazione del piano nazionale per la riqualificazione sociale e culturale delle aree urbane degradate”</w:t>
      </w:r>
      <w:r w:rsidRPr="00F56356">
        <w:rPr>
          <w:rFonts w:ascii="Times New Roman" w:eastAsia="Times New Roman" w:hAnsi="Times New Roman" w:cs="Times New Roman"/>
          <w:iCs/>
          <w:color w:val="000000" w:themeColor="text1"/>
          <w:sz w:val="24"/>
          <w:szCs w:val="24"/>
          <w:lang w:eastAsia="it-IT"/>
        </w:rPr>
        <w:t xml:space="preserve"> (cap. 494)</w:t>
      </w:r>
    </w:p>
    <w:p w14:paraId="0128139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lastRenderedPageBreak/>
        <w:t xml:space="preserve">- euro 73.776.622,07, di cui euro 5.093.195,77 riferiti a reiscrizioni di residui passivi perenti, al finanziamento dei progetti beneficiari del bando “Interventi per la riqualificazione sociale e culturale delle aree urbane degradate”, di cui al decreto del Presidente del Consiglio dei ministri 15 ottobre 2015 (G.U.R.I. n. 249 del 26 ottobre 2015), previsto dall’articolo 1, commi 431 e 434, della legge 23 dicembre 2014, n. 140; occorre evidenziare che la capacità di pagamento e quella di smaltimento residui è influenzata in modo determinante dalle richieste delle somme da erogare da parte dei Comuni interessati. Infatti, l’attività prevede l’approvazione degli stati di avanzamento lavori presentati da parte delle Amministrazioni locali beneficiarie dei finanziamenti e non si può procedere all’erogazione delle somme spettanti in assenza della richiesta di pagamento e della verifica della rendicontazione presentata; </w:t>
      </w:r>
    </w:p>
    <w:p w14:paraId="798474D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c) “</w:t>
      </w:r>
      <w:r w:rsidRPr="00F56356">
        <w:rPr>
          <w:rFonts w:ascii="Times New Roman" w:eastAsia="Times New Roman" w:hAnsi="Times New Roman" w:cs="Times New Roman"/>
          <w:i/>
          <w:iCs/>
          <w:color w:val="000000" w:themeColor="text1"/>
          <w:sz w:val="24"/>
          <w:szCs w:val="24"/>
          <w:lang w:eastAsia="it-IT"/>
        </w:rPr>
        <w:t xml:space="preserve">Spese per </w:t>
      </w:r>
      <w:bookmarkStart w:id="51" w:name="_Hlk131411933"/>
      <w:r w:rsidRPr="00F56356">
        <w:rPr>
          <w:rFonts w:ascii="Times New Roman" w:eastAsia="Times New Roman" w:hAnsi="Times New Roman" w:cs="Times New Roman"/>
          <w:i/>
          <w:iCs/>
          <w:color w:val="000000" w:themeColor="text1"/>
          <w:sz w:val="24"/>
          <w:szCs w:val="24"/>
          <w:lang w:eastAsia="it-IT"/>
        </w:rPr>
        <w:t>liti, onorari, risarcimenti e accessori</w:t>
      </w:r>
      <w:bookmarkEnd w:id="51"/>
      <w:r w:rsidRPr="00F56356">
        <w:rPr>
          <w:rFonts w:ascii="Times New Roman" w:eastAsia="Times New Roman" w:hAnsi="Times New Roman" w:cs="Times New Roman"/>
          <w:iCs/>
          <w:color w:val="000000" w:themeColor="text1"/>
          <w:sz w:val="24"/>
          <w:szCs w:val="24"/>
          <w:lang w:eastAsia="it-IT"/>
        </w:rPr>
        <w:t xml:space="preserve">” (cap. 495) </w:t>
      </w:r>
    </w:p>
    <w:p w14:paraId="69849A3A"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876,50 per liti, onorari, risarcimenti e accessori;</w:t>
      </w:r>
    </w:p>
    <w:p w14:paraId="1F1D9B2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d) “</w:t>
      </w:r>
      <w:r w:rsidRPr="00F56356">
        <w:rPr>
          <w:rFonts w:ascii="Times New Roman" w:eastAsia="Times New Roman" w:hAnsi="Times New Roman" w:cs="Times New Roman"/>
          <w:i/>
          <w:iCs/>
          <w:color w:val="000000" w:themeColor="text1"/>
          <w:sz w:val="24"/>
          <w:szCs w:val="24"/>
          <w:lang w:eastAsia="it-IT"/>
        </w:rPr>
        <w:t xml:space="preserve">Somme da destinare al piano contro la violenza alle donne” </w:t>
      </w:r>
      <w:r w:rsidRPr="00F56356">
        <w:rPr>
          <w:rFonts w:ascii="Times New Roman" w:eastAsia="Times New Roman" w:hAnsi="Times New Roman" w:cs="Times New Roman"/>
          <w:iCs/>
          <w:color w:val="000000" w:themeColor="text1"/>
          <w:sz w:val="24"/>
          <w:szCs w:val="24"/>
          <w:lang w:eastAsia="it-IT"/>
        </w:rPr>
        <w:t>(cap. 496)</w:t>
      </w:r>
    </w:p>
    <w:p w14:paraId="4DD7141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67.021.602,56, di cui:</w:t>
      </w:r>
    </w:p>
    <w:p w14:paraId="4F29C0A4"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3.886.043,71 riferiti a reiscrizioni di residui passivi perenti;</w:t>
      </w:r>
    </w:p>
    <w:p w14:paraId="0FD04612"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Calibri" w:hAnsi="Times New Roman" w:cs="Times New Roman"/>
          <w:sz w:val="24"/>
          <w:szCs w:val="24"/>
        </w:rPr>
        <w:t xml:space="preserve">- euro 39.999.997,00 </w:t>
      </w:r>
      <w:r w:rsidRPr="00F56356">
        <w:rPr>
          <w:rFonts w:ascii="Times New Roman" w:eastAsia="Times New Roman" w:hAnsi="Times New Roman" w:cs="Times New Roman"/>
          <w:sz w:val="24"/>
          <w:szCs w:val="24"/>
          <w:lang w:eastAsia="it-IT"/>
        </w:rPr>
        <w:t>a favore delle Regioni nell’ambito della ripartizione delle risorse del “Fondo per le politiche relative ai diritti e alle pari opportunità” annualità 2022, di cui all’articolo 5-bis, comma 1, del decreto-legge 14 agosto 2013, n. 93, convertito, con modificazioni, dalla legge 15 ottobre 2013, n. 119;</w:t>
      </w:r>
    </w:p>
    <w:p w14:paraId="441CE8FF"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 euro 500.000,00 al potenziamento del monitoraggio delle politiche e dei progetti in materia di prevenzione e contrasto della violenza maschile sulle donne; </w:t>
      </w:r>
    </w:p>
    <w:p w14:paraId="24234AEA"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255.387,00 all’accordo di collaborazione con l’Ente Nazionale per il Microcredito, finalizzato a dare concreta attuazione alle misure del Protocollo d’intesa del 3 dicembre 2020 “Microcredito di libertà, Protocollo di Microcredito per l’emancipazione economica delle donne che hanno subito violenza”;</w:t>
      </w:r>
    </w:p>
    <w:p w14:paraId="78FDC966"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ar-SA"/>
        </w:rPr>
      </w:pPr>
      <w:r w:rsidRPr="00F56356">
        <w:rPr>
          <w:rFonts w:ascii="Times New Roman" w:eastAsia="Times New Roman" w:hAnsi="Times New Roman" w:cs="Times New Roman"/>
          <w:sz w:val="24"/>
          <w:szCs w:val="24"/>
          <w:lang w:eastAsia="it-IT"/>
        </w:rPr>
        <w:t>- euro 3.000.000,00 alla costituzione del “</w:t>
      </w:r>
      <w:r w:rsidRPr="00F56356">
        <w:rPr>
          <w:rFonts w:ascii="Times New Roman" w:eastAsia="Times New Roman" w:hAnsi="Times New Roman" w:cs="Times New Roman"/>
          <w:sz w:val="24"/>
          <w:szCs w:val="24"/>
          <w:lang w:eastAsia="ar-SA"/>
        </w:rPr>
        <w:t>Fondo per il Microcredito di libertà”</w:t>
      </w:r>
      <w:r w:rsidRPr="00F56356">
        <w:rPr>
          <w:rFonts w:ascii="Times New Roman" w:eastAsia="Times New Roman" w:hAnsi="Times New Roman" w:cs="Times New Roman"/>
          <w:sz w:val="24"/>
          <w:szCs w:val="24"/>
          <w:lang w:eastAsia="it-IT"/>
        </w:rPr>
        <w:t xml:space="preserve"> previsto dall’accordo di collaborazione con l’Ente Nazionale per il Microcredito</w:t>
      </w:r>
      <w:r w:rsidRPr="00F56356">
        <w:rPr>
          <w:rFonts w:ascii="Times New Roman" w:eastAsia="Times New Roman" w:hAnsi="Times New Roman" w:cs="Times New Roman"/>
          <w:sz w:val="24"/>
          <w:szCs w:val="24"/>
          <w:lang w:eastAsia="ar-SA"/>
        </w:rPr>
        <w:t xml:space="preserve"> e volto a favorire l’accesso al microcredito da parte delle donne vittime di violenza;</w:t>
      </w:r>
    </w:p>
    <w:p w14:paraId="3B243874"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ar-SA"/>
        </w:rPr>
        <w:t>- euro 50.000,00, quale quota parte per il 2022, relativa alla rea</w:t>
      </w:r>
      <w:r w:rsidRPr="00F56356">
        <w:rPr>
          <w:rFonts w:ascii="Times New Roman" w:eastAsia="Times New Roman" w:hAnsi="Times New Roman" w:cs="Times New Roman"/>
          <w:sz w:val="24"/>
          <w:szCs w:val="24"/>
          <w:lang w:eastAsia="it-IT"/>
        </w:rPr>
        <w:t>lizzazione del progetto denominato “Ruth – Microcredito di libertà” da parte della</w:t>
      </w:r>
      <w:r w:rsidRPr="00F56356">
        <w:rPr>
          <w:rFonts w:ascii="Times New Roman" w:eastAsia="Times New Roman" w:hAnsi="Times New Roman" w:cs="Times New Roman"/>
          <w:sz w:val="24"/>
          <w:szCs w:val="24"/>
          <w:lang w:eastAsia="ar-SA"/>
        </w:rPr>
        <w:t xml:space="preserve"> Caritas Italiana, </w:t>
      </w:r>
      <w:r w:rsidRPr="00F56356">
        <w:rPr>
          <w:rFonts w:ascii="Times New Roman" w:eastAsia="Times New Roman" w:hAnsi="Times New Roman" w:cs="Times New Roman"/>
          <w:sz w:val="24"/>
          <w:szCs w:val="24"/>
          <w:lang w:eastAsia="it-IT"/>
        </w:rPr>
        <w:t>finalizzato a dare concreta attuazione alle misure previste dal Protocollo di intesa “Microcredito di libertà - Protocollo di Microcredito per l’emancipazione economica delle donne che hanno subito violenza”;</w:t>
      </w:r>
    </w:p>
    <w:p w14:paraId="77969147"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 euro 405.000,00, quale quota parte per il 2022, relativa </w:t>
      </w:r>
      <w:r w:rsidRPr="00F56356">
        <w:rPr>
          <w:rFonts w:ascii="Times New Roman" w:eastAsia="Times New Roman" w:hAnsi="Times New Roman" w:cs="Times New Roman"/>
          <w:sz w:val="24"/>
          <w:szCs w:val="24"/>
          <w:lang w:eastAsia="ar-SA"/>
        </w:rPr>
        <w:t xml:space="preserve">alla realizzazione del progetto di ricerca e analisi nell’adozione delle politiche pubbliche in tema di contrasto e prevenzione della violenza di genere e, in particolare, di quella maschile contro le donne previsto dall’Accordo di collaborazione </w:t>
      </w:r>
      <w:r w:rsidRPr="00F56356">
        <w:rPr>
          <w:rFonts w:ascii="Times New Roman" w:eastAsia="Times New Roman" w:hAnsi="Times New Roman" w:cs="Times New Roman"/>
          <w:sz w:val="24"/>
          <w:szCs w:val="24"/>
          <w:lang w:eastAsia="ar-SA"/>
        </w:rPr>
        <w:lastRenderedPageBreak/>
        <w:t>con il Consiglio Nazionale delle Ricerche – Istituto di ricerche sulla popolazione e le politiche sociali;</w:t>
      </w:r>
    </w:p>
    <w:p w14:paraId="66505A82"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Calibri" w:hAnsi="Times New Roman" w:cs="Times New Roman"/>
          <w:sz w:val="24"/>
          <w:szCs w:val="24"/>
        </w:rPr>
        <w:t xml:space="preserve">- euro 532.799,79 </w:t>
      </w:r>
      <w:r w:rsidRPr="00F56356">
        <w:rPr>
          <w:rFonts w:ascii="Times New Roman" w:eastAsia="Times New Roman" w:hAnsi="Times New Roman" w:cs="Times New Roman"/>
          <w:sz w:val="24"/>
          <w:szCs w:val="24"/>
          <w:lang w:eastAsia="it-IT"/>
        </w:rPr>
        <w:t xml:space="preserve">alla gestione del </w:t>
      </w:r>
      <w:r w:rsidRPr="00F56356">
        <w:rPr>
          <w:rFonts w:ascii="Times New Roman" w:eastAsia="Times New Roman" w:hAnsi="Times New Roman" w:cs="Times New Roman"/>
          <w:iCs/>
          <w:sz w:val="24"/>
          <w:szCs w:val="24"/>
          <w:lang w:eastAsia="it-IT"/>
        </w:rPr>
        <w:t>call center</w:t>
      </w:r>
      <w:r w:rsidRPr="00F56356">
        <w:rPr>
          <w:rFonts w:ascii="Times New Roman" w:eastAsia="Times New Roman" w:hAnsi="Times New Roman" w:cs="Times New Roman"/>
          <w:sz w:val="24"/>
          <w:szCs w:val="24"/>
          <w:lang w:eastAsia="it-IT"/>
        </w:rPr>
        <w:t xml:space="preserve"> dedicato al numero verde nazionale di pubblica utilità 1522 a sostegno delle vittime di violenza di genere e stalking, istituito dall’articolo 12 del decreto-legge 23 febbraio 2009, n. 11, convertito, con modificazioni, dalla legge 23 aprile 2009, n. 38;</w:t>
      </w:r>
    </w:p>
    <w:p w14:paraId="33AD2809"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10.227,46 alle iniziative di comunicazione e sensibilizzazione per la prevenzione della violenza maschile sulle donne;</w:t>
      </w:r>
    </w:p>
    <w:p w14:paraId="14E5AFF2" w14:textId="77777777" w:rsidR="00F56356" w:rsidRPr="00F56356" w:rsidRDefault="00F56356" w:rsidP="00F56356">
      <w:pPr>
        <w:spacing w:after="0" w:line="360" w:lineRule="auto"/>
        <w:ind w:left="284"/>
        <w:jc w:val="both"/>
        <w:rPr>
          <w:rFonts w:ascii="Times New Roman" w:eastAsia="Calibri" w:hAnsi="Times New Roman" w:cs="Times New Roman"/>
          <w:sz w:val="24"/>
          <w:szCs w:val="24"/>
        </w:rPr>
      </w:pPr>
      <w:r w:rsidRPr="00F56356">
        <w:rPr>
          <w:rFonts w:ascii="Times New Roman" w:eastAsia="Calibri" w:hAnsi="Times New Roman" w:cs="Times New Roman"/>
          <w:sz w:val="24"/>
          <w:szCs w:val="24"/>
        </w:rPr>
        <w:t>- euro 9.000.000,00 all’attuazione dell’articolo 105-bis del decreto-legge 19 maggio 2020, n. 34, convertito, con modificazioni, dalla legge 17 luglio 2020, n. 77 (Reddito di libertà);</w:t>
      </w:r>
    </w:p>
    <w:p w14:paraId="4A9BA61D"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Calibri" w:hAnsi="Times New Roman" w:cs="Times New Roman"/>
          <w:sz w:val="24"/>
          <w:szCs w:val="24"/>
        </w:rPr>
        <w:t>- euro 9.000.000,00 all’</w:t>
      </w:r>
      <w:r w:rsidRPr="00F56356">
        <w:rPr>
          <w:rFonts w:ascii="Times New Roman" w:eastAsia="Times New Roman" w:hAnsi="Times New Roman" w:cs="Times New Roman"/>
          <w:sz w:val="24"/>
          <w:szCs w:val="24"/>
          <w:lang w:eastAsia="it-IT"/>
        </w:rPr>
        <w:t>attuazione dell’articolo 26-bis del decreto-legge 14 agosto 2020, n. 104, convertito, con modificazioni, dalla legge 13 ottobre 2020, n. 126 (istituzione e potenziamento dei centri per uomini autori di violenza);</w:t>
      </w:r>
    </w:p>
    <w:p w14:paraId="50408026"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200.000,00 a favore dell’Associazione DONNEXSTRADA, per garantire il potenziamento di progetti diretti alla messa in sicurezza dei percorsi, favorire la sicurezza per strada delle donne e prevenire comportamenti violenti o molesti, come previsto dall’articolo 1, comma 968, della legge 234 del 2021;</w:t>
      </w:r>
    </w:p>
    <w:p w14:paraId="558114EF"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2.741,56 alla liquidazione del saldo di due beneficiari (</w:t>
      </w:r>
      <w:proofErr w:type="spellStart"/>
      <w:r w:rsidRPr="00F56356">
        <w:rPr>
          <w:rFonts w:ascii="Times New Roman" w:eastAsia="Times New Roman" w:hAnsi="Times New Roman" w:cs="Times New Roman"/>
          <w:sz w:val="24"/>
          <w:szCs w:val="24"/>
          <w:lang w:eastAsia="it-IT"/>
        </w:rPr>
        <w:t>iCARE</w:t>
      </w:r>
      <w:proofErr w:type="spellEnd"/>
      <w:r w:rsidRPr="00F56356">
        <w:rPr>
          <w:rFonts w:ascii="Times New Roman" w:eastAsia="Times New Roman" w:hAnsi="Times New Roman" w:cs="Times New Roman"/>
          <w:sz w:val="24"/>
          <w:szCs w:val="24"/>
          <w:lang w:eastAsia="it-IT"/>
        </w:rPr>
        <w:t xml:space="preserve"> </w:t>
      </w:r>
      <w:proofErr w:type="spellStart"/>
      <w:proofErr w:type="gramStart"/>
      <w:r w:rsidRPr="00F56356">
        <w:rPr>
          <w:rFonts w:ascii="Times New Roman" w:eastAsia="Times New Roman" w:hAnsi="Times New Roman" w:cs="Times New Roman"/>
          <w:sz w:val="24"/>
          <w:szCs w:val="24"/>
          <w:lang w:eastAsia="it-IT"/>
        </w:rPr>
        <w:t>Soc.Coop.Soc.e</w:t>
      </w:r>
      <w:proofErr w:type="spellEnd"/>
      <w:proofErr w:type="gramEnd"/>
      <w:r w:rsidRPr="00F56356">
        <w:rPr>
          <w:rFonts w:ascii="Times New Roman" w:eastAsia="Times New Roman" w:hAnsi="Times New Roman" w:cs="Times New Roman"/>
          <w:sz w:val="24"/>
          <w:szCs w:val="24"/>
          <w:lang w:eastAsia="it-IT"/>
        </w:rPr>
        <w:t xml:space="preserve"> </w:t>
      </w:r>
      <w:proofErr w:type="spellStart"/>
      <w:r w:rsidRPr="00F56356">
        <w:rPr>
          <w:rFonts w:ascii="Times New Roman" w:eastAsia="Times New Roman" w:hAnsi="Times New Roman" w:cs="Times New Roman"/>
          <w:sz w:val="24"/>
          <w:szCs w:val="24"/>
          <w:lang w:eastAsia="it-IT"/>
        </w:rPr>
        <w:t>Ass</w:t>
      </w:r>
      <w:proofErr w:type="spellEnd"/>
      <w:r w:rsidRPr="00F56356">
        <w:rPr>
          <w:rFonts w:ascii="Times New Roman" w:eastAsia="Times New Roman" w:hAnsi="Times New Roman" w:cs="Times New Roman"/>
          <w:sz w:val="24"/>
          <w:szCs w:val="24"/>
          <w:lang w:eastAsia="it-IT"/>
        </w:rPr>
        <w:t xml:space="preserve">. </w:t>
      </w:r>
      <w:proofErr w:type="spellStart"/>
      <w:r w:rsidRPr="00F56356">
        <w:rPr>
          <w:rFonts w:ascii="Times New Roman" w:eastAsia="Times New Roman" w:hAnsi="Times New Roman" w:cs="Times New Roman"/>
          <w:sz w:val="24"/>
          <w:szCs w:val="24"/>
          <w:lang w:eastAsia="it-IT"/>
        </w:rPr>
        <w:t>Ananke</w:t>
      </w:r>
      <w:proofErr w:type="spellEnd"/>
      <w:r w:rsidRPr="00F56356">
        <w:rPr>
          <w:rFonts w:ascii="Times New Roman" w:eastAsia="Times New Roman" w:hAnsi="Times New Roman" w:cs="Times New Roman"/>
          <w:sz w:val="24"/>
          <w:szCs w:val="24"/>
          <w:lang w:eastAsia="it-IT"/>
        </w:rPr>
        <w:t xml:space="preserve"> ONLUS) relativi all’Avviso per il finanziamento di interventi urgenti per il sostegno alle misure adottate dalle Case Rifugio e dai Centri Antiviolenza in relazione all’emergenza sanitaria da COVID 19;</w:t>
      </w:r>
    </w:p>
    <w:p w14:paraId="540CFA93"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178.391,20 alla corresponsione a titolo di saldo dei finanziamenti di progetti a valere sull’Avviso violenza 2017;</w:t>
      </w:r>
    </w:p>
    <w:p w14:paraId="10F5CCDF"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euro 1.014,84 alle spese di pubblicità legale;</w:t>
      </w:r>
    </w:p>
    <w:p w14:paraId="40C136F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e)</w:t>
      </w:r>
      <w:r w:rsidRPr="00F56356">
        <w:rPr>
          <w:rFonts w:ascii="Times New Roman" w:eastAsia="Times New Roman" w:hAnsi="Times New Roman" w:cs="Times New Roman"/>
          <w:i/>
          <w:iCs/>
          <w:color w:val="000000" w:themeColor="text1"/>
          <w:sz w:val="24"/>
          <w:szCs w:val="24"/>
          <w:lang w:eastAsia="it-IT"/>
        </w:rPr>
        <w:t xml:space="preserve"> “Fondo destinato al finanziamento dei programmi di assistenza e di integrazione sociale in favore delle vittime di violenza e sfruttamento nonché delle altre finalità di protezione sociale degli immigrati (art. 12 legge 228/2003) e somme destinate al programma speciale di assistenza per garantire, in via transitoria, adeguate condizioni di alloggio, di vitto e di assistenza sanitaria per le vittime dei reati relativi alla riduzione o mantenimento in schiavitù o servitù ovvero alla tratta di persona (art. 13 legge 228/2003)” </w:t>
      </w:r>
      <w:r w:rsidRPr="00F56356">
        <w:rPr>
          <w:rFonts w:ascii="Times New Roman" w:eastAsia="Times New Roman" w:hAnsi="Times New Roman" w:cs="Times New Roman"/>
          <w:iCs/>
          <w:color w:val="000000" w:themeColor="text1"/>
          <w:sz w:val="24"/>
          <w:szCs w:val="24"/>
          <w:lang w:eastAsia="it-IT"/>
        </w:rPr>
        <w:t>(cap. 520)</w:t>
      </w:r>
    </w:p>
    <w:p w14:paraId="4F66852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23.503.996,47, di cui: </w:t>
      </w:r>
    </w:p>
    <w:p w14:paraId="2B0F512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11.802.741,66 alla realizzazione del Programma unico per l’emersione, l’assistenza e l’integrazione sociale a favore degli stranieri e dei cittadini, di cui all’articolo 18, comma 6-bis, del decreto legislativo 25 luglio 1998, n. 286, vittime dei reati previsti dagli articoli 600 e 601 del codice penale, o che versano nelle ipotesi di cui al comma 1 del medesimo articolo 18 (Bando n. 4 del 6 maggio 2021); </w:t>
      </w:r>
    </w:p>
    <w:p w14:paraId="05A94E84"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lastRenderedPageBreak/>
        <w:t xml:space="preserve">- euro 11.000.640,08 alla realizzazione del Programma unico per l’emersione, l’assistenza e l’integrazione sociale a favore degli stranieri e dei cittadini, di cui all’articolo 18, comma 6 bis, del decreto legislativo 25 luglio 1998, n. 286, vittime dei reati previsti dagli articoli 600 e 601 del codice penale, o che versano nelle ipotesi di cui al comma 1 del medesimo articolo 18 (Bando n. 5 dell’8 luglio 2022); </w:t>
      </w:r>
    </w:p>
    <w:p w14:paraId="4B35CF68"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250.614,73 a favore della Regione Veneto per la gestione del servizio del call center  gratuito e anonimo che consente di entrare in contatto con personale specializzato multilingue, al fine di agevolare il lavoro di rete a livello nazionale e la messa in sicurezza della vittima, nonché alla realizzazione di un’attività di animazione e consolidamento della rete dei progetti con azioni proattive di diffusione delle metodologie del lavoro di rete e scambio di attività di protezione delle vittime </w:t>
      </w:r>
      <w:proofErr w:type="spellStart"/>
      <w:r w:rsidRPr="00F56356">
        <w:rPr>
          <w:rFonts w:ascii="Times New Roman" w:eastAsia="Times New Roman" w:hAnsi="Times New Roman" w:cs="Times New Roman"/>
          <w:iCs/>
          <w:color w:val="000000" w:themeColor="text1"/>
          <w:sz w:val="24"/>
          <w:szCs w:val="24"/>
          <w:lang w:eastAsia="it-IT"/>
        </w:rPr>
        <w:t>interprogetti</w:t>
      </w:r>
      <w:proofErr w:type="spellEnd"/>
      <w:r w:rsidRPr="00F56356">
        <w:rPr>
          <w:rFonts w:ascii="Times New Roman" w:eastAsia="Times New Roman" w:hAnsi="Times New Roman" w:cs="Times New Roman"/>
          <w:iCs/>
          <w:color w:val="000000" w:themeColor="text1"/>
          <w:sz w:val="24"/>
          <w:szCs w:val="24"/>
          <w:lang w:eastAsia="it-IT"/>
        </w:rPr>
        <w:t xml:space="preserve"> compresa la gestione delle infrastrutture telefoniche e il traffico telefonico, ai sensi dell’Accordo di collaborazione ex articolo 15 della legge n. 241/1990 – periodo giugno 2021 – giugno 2022;</w:t>
      </w:r>
    </w:p>
    <w:p w14:paraId="6A629E1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w:t>
      </w:r>
      <w:r w:rsidRPr="00F56356">
        <w:rPr>
          <w:rFonts w:ascii="Times New Roman" w:eastAsia="Times New Roman" w:hAnsi="Times New Roman" w:cs="Times New Roman"/>
          <w:iCs/>
          <w:color w:val="000000" w:themeColor="text1"/>
          <w:sz w:val="24"/>
          <w:szCs w:val="24"/>
          <w:lang w:eastAsia="it-IT"/>
        </w:rPr>
        <w:tab/>
        <w:t xml:space="preserve">euro 450.000,00 a favore della Regione Veneto per la gestione del servizio del call center  gratuito e anonimo che consente di entrare in contatto con personale specializzato multilingue, al fine di agevolare il lavoro di rete a livello nazionale e la messa in sicurezza della vittima, nonché alla realizzazione di un’attività di animazione e consolidamento della rete dei progetti con azioni proattive di diffusione delle metodologie del lavoro di rete e scambio di attività di protezione delle vittime </w:t>
      </w:r>
      <w:proofErr w:type="spellStart"/>
      <w:r w:rsidRPr="00F56356">
        <w:rPr>
          <w:rFonts w:ascii="Times New Roman" w:eastAsia="Times New Roman" w:hAnsi="Times New Roman" w:cs="Times New Roman"/>
          <w:iCs/>
          <w:color w:val="000000" w:themeColor="text1"/>
          <w:sz w:val="24"/>
          <w:szCs w:val="24"/>
          <w:lang w:eastAsia="it-IT"/>
        </w:rPr>
        <w:t>interprogetti</w:t>
      </w:r>
      <w:proofErr w:type="spellEnd"/>
      <w:r w:rsidRPr="00F56356">
        <w:rPr>
          <w:rFonts w:ascii="Times New Roman" w:eastAsia="Times New Roman" w:hAnsi="Times New Roman" w:cs="Times New Roman"/>
          <w:iCs/>
          <w:color w:val="000000" w:themeColor="text1"/>
          <w:sz w:val="24"/>
          <w:szCs w:val="24"/>
          <w:lang w:eastAsia="it-IT"/>
        </w:rPr>
        <w:t xml:space="preserve"> compresa la gestione delle infrastrutture telefoniche e il traffico telefonico (Accordo di collaborazione ex articolo 15 della legge n. 241/1990 – periodo giugno 2022 – giugno 2024); </w:t>
      </w:r>
    </w:p>
    <w:p w14:paraId="6459073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f)</w:t>
      </w:r>
      <w:r w:rsidRPr="00F56356">
        <w:rPr>
          <w:rFonts w:ascii="Times New Roman" w:eastAsia="Times New Roman" w:hAnsi="Times New Roman" w:cs="Times New Roman"/>
          <w:iCs/>
          <w:color w:val="000000" w:themeColor="text1"/>
          <w:sz w:val="24"/>
          <w:szCs w:val="24"/>
          <w:lang w:eastAsia="it-IT"/>
        </w:rPr>
        <w:tab/>
        <w:t>“</w:t>
      </w:r>
      <w:r w:rsidRPr="00F56356">
        <w:rPr>
          <w:rFonts w:ascii="Times New Roman" w:eastAsia="Times New Roman" w:hAnsi="Times New Roman" w:cs="Times New Roman"/>
          <w:i/>
          <w:iCs/>
          <w:color w:val="000000" w:themeColor="text1"/>
          <w:sz w:val="24"/>
          <w:szCs w:val="24"/>
          <w:lang w:eastAsia="it-IT"/>
        </w:rPr>
        <w:t>Spese per il funzionamento dell’Ufficio per la promozione della parità di trattamento e la rimozione delle discriminazioni fondate sulla razza e sull’origine etnica”</w:t>
      </w:r>
      <w:r w:rsidRPr="00F56356">
        <w:rPr>
          <w:rFonts w:ascii="Times New Roman" w:eastAsia="Times New Roman" w:hAnsi="Times New Roman" w:cs="Times New Roman"/>
          <w:iCs/>
          <w:color w:val="000000" w:themeColor="text1"/>
          <w:sz w:val="24"/>
          <w:szCs w:val="24"/>
          <w:lang w:eastAsia="it-IT"/>
        </w:rPr>
        <w:t xml:space="preserve"> (cap. 537) </w:t>
      </w:r>
    </w:p>
    <w:p w14:paraId="4675CD46"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1.567.385,14, di cui:</w:t>
      </w:r>
    </w:p>
    <w:p w14:paraId="3050D48A"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349.720,19 alla XVIII settimana antirazzismo 2022;</w:t>
      </w:r>
    </w:p>
    <w:p w14:paraId="27F6915E"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336.227,12 alla gestione del </w:t>
      </w:r>
      <w:proofErr w:type="spellStart"/>
      <w:r w:rsidRPr="00F56356">
        <w:rPr>
          <w:rFonts w:ascii="Times New Roman" w:eastAsia="Times New Roman" w:hAnsi="Times New Roman" w:cs="Times New Roman"/>
          <w:iCs/>
          <w:color w:val="000000" w:themeColor="text1"/>
          <w:sz w:val="24"/>
          <w:szCs w:val="24"/>
          <w:lang w:eastAsia="it-IT"/>
        </w:rPr>
        <w:t>contact</w:t>
      </w:r>
      <w:proofErr w:type="spellEnd"/>
      <w:r w:rsidRPr="00F56356">
        <w:rPr>
          <w:rFonts w:ascii="Times New Roman" w:eastAsia="Times New Roman" w:hAnsi="Times New Roman" w:cs="Times New Roman"/>
          <w:iCs/>
          <w:color w:val="000000" w:themeColor="text1"/>
          <w:sz w:val="24"/>
          <w:szCs w:val="24"/>
          <w:lang w:eastAsia="it-IT"/>
        </w:rPr>
        <w:t xml:space="preserve"> center UNAR;</w:t>
      </w:r>
    </w:p>
    <w:p w14:paraId="393397D1"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342.260,56 agli incarichi degli esperti delle tematiche di competenza;</w:t>
      </w:r>
    </w:p>
    <w:p w14:paraId="0B541082"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158.600,00 allo studio sull’utilizzo dell’intelligenza artificiale;</w:t>
      </w:r>
    </w:p>
    <w:p w14:paraId="330A0E10"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16.683,66 a costi per missioni, trasferte e viaggi;</w:t>
      </w:r>
    </w:p>
    <w:p w14:paraId="23CA568D"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61.000,00 alla campagna di comunicazione in occasione della giornata contro l’omofobia;</w:t>
      </w:r>
    </w:p>
    <w:p w14:paraId="246737CA"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48.800,00 alla campagna di comunicazione in occasione della XVIII settimana contro il razzismo 2022;</w:t>
      </w:r>
    </w:p>
    <w:p w14:paraId="26D40EA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148.134,29 al cofinanziamento del progetto europeo </w:t>
      </w:r>
      <w:proofErr w:type="spellStart"/>
      <w:r w:rsidRPr="00F56356">
        <w:rPr>
          <w:rFonts w:ascii="Times New Roman" w:eastAsia="Times New Roman" w:hAnsi="Times New Roman" w:cs="Times New Roman"/>
          <w:iCs/>
          <w:color w:val="000000" w:themeColor="text1"/>
          <w:sz w:val="24"/>
          <w:szCs w:val="24"/>
          <w:lang w:eastAsia="it-IT"/>
        </w:rPr>
        <w:t>Reasons</w:t>
      </w:r>
      <w:proofErr w:type="spellEnd"/>
      <w:r w:rsidRPr="00F56356">
        <w:rPr>
          <w:rFonts w:ascii="Times New Roman" w:eastAsia="Times New Roman" w:hAnsi="Times New Roman" w:cs="Times New Roman"/>
          <w:iCs/>
          <w:color w:val="000000" w:themeColor="text1"/>
          <w:sz w:val="24"/>
          <w:szCs w:val="24"/>
          <w:lang w:eastAsia="it-IT"/>
        </w:rPr>
        <w:t>;</w:t>
      </w:r>
    </w:p>
    <w:p w14:paraId="3044224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xml:space="preserve">- euro 2.400,00 alla quota annuale per la partecipazione al Network Europeo </w:t>
      </w:r>
      <w:proofErr w:type="spellStart"/>
      <w:r w:rsidRPr="00F56356">
        <w:rPr>
          <w:rFonts w:ascii="Times New Roman" w:eastAsia="Times New Roman" w:hAnsi="Times New Roman" w:cs="Times New Roman"/>
          <w:iCs/>
          <w:color w:val="000000" w:themeColor="text1"/>
          <w:sz w:val="24"/>
          <w:szCs w:val="24"/>
          <w:lang w:eastAsia="it-IT"/>
        </w:rPr>
        <w:t>Equinet</w:t>
      </w:r>
      <w:proofErr w:type="spellEnd"/>
      <w:r w:rsidRPr="00F56356">
        <w:rPr>
          <w:rFonts w:ascii="Times New Roman" w:eastAsia="Times New Roman" w:hAnsi="Times New Roman" w:cs="Times New Roman"/>
          <w:iCs/>
          <w:color w:val="000000" w:themeColor="text1"/>
          <w:sz w:val="24"/>
          <w:szCs w:val="24"/>
          <w:lang w:eastAsia="it-IT"/>
        </w:rPr>
        <w:t xml:space="preserve"> “</w:t>
      </w:r>
      <w:proofErr w:type="spellStart"/>
      <w:r w:rsidRPr="00F56356">
        <w:rPr>
          <w:rFonts w:ascii="Times New Roman" w:eastAsia="Times New Roman" w:hAnsi="Times New Roman" w:cs="Times New Roman"/>
          <w:iCs/>
          <w:color w:val="000000" w:themeColor="text1"/>
          <w:sz w:val="24"/>
          <w:szCs w:val="24"/>
          <w:lang w:eastAsia="it-IT"/>
        </w:rPr>
        <w:t>European</w:t>
      </w:r>
      <w:proofErr w:type="spellEnd"/>
      <w:r w:rsidRPr="00F56356">
        <w:rPr>
          <w:rFonts w:ascii="Times New Roman" w:eastAsia="Times New Roman" w:hAnsi="Times New Roman" w:cs="Times New Roman"/>
          <w:iCs/>
          <w:color w:val="000000" w:themeColor="text1"/>
          <w:sz w:val="24"/>
          <w:szCs w:val="24"/>
          <w:lang w:eastAsia="it-IT"/>
        </w:rPr>
        <w:t xml:space="preserve"> Network of </w:t>
      </w:r>
      <w:proofErr w:type="spellStart"/>
      <w:r w:rsidRPr="00F56356">
        <w:rPr>
          <w:rFonts w:ascii="Times New Roman" w:eastAsia="Times New Roman" w:hAnsi="Times New Roman" w:cs="Times New Roman"/>
          <w:iCs/>
          <w:color w:val="000000" w:themeColor="text1"/>
          <w:sz w:val="24"/>
          <w:szCs w:val="24"/>
          <w:lang w:eastAsia="it-IT"/>
        </w:rPr>
        <w:t>Equality</w:t>
      </w:r>
      <w:proofErr w:type="spellEnd"/>
      <w:r w:rsidRPr="00F56356">
        <w:rPr>
          <w:rFonts w:ascii="Times New Roman" w:eastAsia="Times New Roman" w:hAnsi="Times New Roman" w:cs="Times New Roman"/>
          <w:iCs/>
          <w:color w:val="000000" w:themeColor="text1"/>
          <w:sz w:val="24"/>
          <w:szCs w:val="24"/>
          <w:lang w:eastAsia="it-IT"/>
        </w:rPr>
        <w:t xml:space="preserve"> Bodies”;</w:t>
      </w:r>
    </w:p>
    <w:p w14:paraId="40E48577"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lastRenderedPageBreak/>
        <w:t>- euro 1.750,32 all’abbonamento dell’agenzia giornalistica Redattore sociale;</w:t>
      </w:r>
    </w:p>
    <w:p w14:paraId="19E1077D"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iCs/>
          <w:color w:val="000000" w:themeColor="text1"/>
          <w:sz w:val="24"/>
          <w:szCs w:val="24"/>
          <w:lang w:eastAsia="it-IT"/>
        </w:rPr>
        <w:t>- euro 101.809,00 all’organizzazione e gestione di eventi.</w:t>
      </w:r>
    </w:p>
    <w:p w14:paraId="68E91768"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iCs/>
          <w:color w:val="000000" w:themeColor="text1"/>
          <w:sz w:val="24"/>
          <w:szCs w:val="24"/>
          <w:lang w:eastAsia="it-IT"/>
        </w:rPr>
      </w:pPr>
    </w:p>
    <w:p w14:paraId="5133D82E" w14:textId="77777777" w:rsidR="00F56356" w:rsidRPr="00F56356" w:rsidRDefault="00F56356" w:rsidP="00F56356">
      <w:pPr>
        <w:autoSpaceDE w:val="0"/>
        <w:autoSpaceDN w:val="0"/>
        <w:adjustRightInd w:val="0"/>
        <w:spacing w:after="0" w:line="360" w:lineRule="auto"/>
        <w:ind w:left="284"/>
        <w:jc w:val="center"/>
        <w:rPr>
          <w:rFonts w:ascii="Times New Roman" w:eastAsia="Times New Roman" w:hAnsi="Times New Roman" w:cs="Times New Roman"/>
          <w:noProof/>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Indicatori di bilancio</w:t>
      </w:r>
    </w:p>
    <w:p w14:paraId="4CF95006" w14:textId="77777777" w:rsidR="00F56356" w:rsidRPr="00F56356" w:rsidRDefault="00F56356" w:rsidP="00F56356">
      <w:pPr>
        <w:tabs>
          <w:tab w:val="left" w:pos="567"/>
          <w:tab w:val="left" w:pos="9638"/>
        </w:tabs>
        <w:spacing w:after="0" w:line="360" w:lineRule="auto"/>
        <w:ind w:right="-1"/>
        <w:contextualSpacing/>
        <w:jc w:val="both"/>
        <w:rPr>
          <w:rFonts w:ascii="Times New Roman" w:eastAsia="Times New Roman" w:hAnsi="Times New Roman" w:cs="Times New Roman"/>
          <w:color w:val="000000" w:themeColor="text1"/>
          <w:sz w:val="1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95104" behindDoc="1" locked="0" layoutInCell="1" allowOverlap="1" wp14:anchorId="5F7D2238" wp14:editId="5E969E53">
            <wp:simplePos x="0" y="0"/>
            <wp:positionH relativeFrom="column">
              <wp:posOffset>175260</wp:posOffset>
            </wp:positionH>
            <wp:positionV relativeFrom="paragraph">
              <wp:posOffset>150495</wp:posOffset>
            </wp:positionV>
            <wp:extent cx="5946775" cy="2270760"/>
            <wp:effectExtent l="0" t="0" r="0" b="0"/>
            <wp:wrapTight wrapText="bothSides">
              <wp:wrapPolygon edited="0">
                <wp:start x="0" y="0"/>
                <wp:lineTo x="0" y="21383"/>
                <wp:lineTo x="11901" y="21383"/>
                <wp:lineTo x="11901" y="20295"/>
                <wp:lineTo x="21519" y="19752"/>
                <wp:lineTo x="21519" y="18121"/>
                <wp:lineTo x="21173" y="17396"/>
                <wp:lineTo x="21519" y="16852"/>
                <wp:lineTo x="21519" y="5074"/>
                <wp:lineTo x="21173" y="2899"/>
                <wp:lineTo x="21450" y="2899"/>
                <wp:lineTo x="21519" y="2174"/>
                <wp:lineTo x="21519" y="0"/>
                <wp:lineTo x="0" y="0"/>
              </wp:wrapPolygon>
            </wp:wrapTight>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6775" cy="2270760"/>
                    </a:xfrm>
                    <a:prstGeom prst="rect">
                      <a:avLst/>
                    </a:prstGeom>
                    <a:noFill/>
                    <a:ln>
                      <a:noFill/>
                    </a:ln>
                  </pic:spPr>
                </pic:pic>
              </a:graphicData>
            </a:graphic>
            <wp14:sizeRelH relativeFrom="margin">
              <wp14:pctWidth>0</wp14:pctWidth>
            </wp14:sizeRelH>
          </wp:anchor>
        </w:drawing>
      </w:r>
    </w:p>
    <w:p w14:paraId="137FE4ED" w14:textId="77777777" w:rsidR="00F56356" w:rsidRPr="00F56356" w:rsidRDefault="00F56356" w:rsidP="00F56356">
      <w:pPr>
        <w:tabs>
          <w:tab w:val="left" w:pos="567"/>
          <w:tab w:val="left" w:pos="9638"/>
        </w:tabs>
        <w:spacing w:after="0" w:line="360" w:lineRule="auto"/>
        <w:ind w:right="-1"/>
        <w:contextualSpacing/>
        <w:jc w:val="center"/>
        <w:rPr>
          <w:rFonts w:ascii="Times New Roman" w:eastAsia="Times New Roman" w:hAnsi="Times New Roman" w:cs="Times New Roman"/>
          <w:color w:val="000000" w:themeColor="text1"/>
          <w:sz w:val="14"/>
          <w:szCs w:val="24"/>
          <w:lang w:eastAsia="it-IT"/>
        </w:rPr>
      </w:pPr>
    </w:p>
    <w:p w14:paraId="2C7E1D68"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7D3AF94B"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5A7A9C4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507 – </w:t>
      </w:r>
      <w:r w:rsidRPr="00F56356">
        <w:rPr>
          <w:rFonts w:ascii="Times New Roman" w:eastAsia="Times New Roman" w:hAnsi="Times New Roman" w:cs="Times New Roman"/>
          <w:i/>
          <w:iCs/>
          <w:color w:val="000000" w:themeColor="text1"/>
          <w:sz w:val="24"/>
          <w:szCs w:val="24"/>
          <w:lang w:eastAsia="it-IT"/>
        </w:rPr>
        <w:t>Spese per studi</w:t>
      </w:r>
      <w:r w:rsidRPr="00F56356">
        <w:rPr>
          <w:rFonts w:ascii="Times New Roman" w:eastAsia="Times New Roman" w:hAnsi="Times New Roman" w:cs="Times New Roman"/>
          <w:i/>
          <w:color w:val="000000" w:themeColor="text1"/>
          <w:sz w:val="24"/>
          <w:szCs w:val="24"/>
          <w:lang w:eastAsia="it-IT"/>
        </w:rPr>
        <w:t>, indagini e rilevazioni</w:t>
      </w:r>
      <w:r w:rsidRPr="00F56356">
        <w:rPr>
          <w:rFonts w:ascii="Times New Roman" w:eastAsia="Times New Roman" w:hAnsi="Times New Roman" w:cs="Times New Roman"/>
          <w:color w:val="000000" w:themeColor="text1"/>
          <w:sz w:val="24"/>
          <w:szCs w:val="24"/>
          <w:lang w:eastAsia="it-IT"/>
        </w:rPr>
        <w:t xml:space="preserve"> e il capitolo 509 </w:t>
      </w:r>
      <w:r w:rsidRPr="00F56356">
        <w:rPr>
          <w:rFonts w:ascii="Times New Roman" w:eastAsia="Times New Roman" w:hAnsi="Times New Roman" w:cs="Times New Roman"/>
          <w:i/>
          <w:color w:val="000000" w:themeColor="text1"/>
          <w:sz w:val="24"/>
          <w:szCs w:val="24"/>
          <w:lang w:eastAsia="it-IT"/>
        </w:rPr>
        <w:t>- Spese di rappresentanza,</w:t>
      </w:r>
      <w:r w:rsidRPr="00F56356">
        <w:rPr>
          <w:rFonts w:ascii="Times New Roman" w:eastAsia="Times New Roman" w:hAnsi="Times New Roman" w:cs="Times New Roman"/>
          <w:color w:val="000000" w:themeColor="text1"/>
          <w:sz w:val="24"/>
          <w:szCs w:val="24"/>
          <w:lang w:eastAsia="it-IT"/>
        </w:rPr>
        <w:t xml:space="preserve"> dal proseguimento nell’azione di contenimento della spesa;</w:t>
      </w:r>
    </w:p>
    <w:p w14:paraId="2CC9DDCE"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493 - </w:t>
      </w:r>
      <w:r w:rsidRPr="00F56356">
        <w:rPr>
          <w:rFonts w:ascii="Times New Roman" w:eastAsia="Times New Roman" w:hAnsi="Times New Roman" w:cs="Times New Roman"/>
          <w:i/>
          <w:color w:val="000000" w:themeColor="text1"/>
          <w:sz w:val="24"/>
          <w:szCs w:val="24"/>
          <w:lang w:eastAsia="it-IT"/>
        </w:rPr>
        <w:t>Spese per</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gli interventi relative ai diritti e alle pari opportunità,</w:t>
      </w:r>
      <w:r w:rsidRPr="00F56356">
        <w:rPr>
          <w:rFonts w:ascii="Times New Roman" w:eastAsia="Times New Roman" w:hAnsi="Times New Roman" w:cs="Times New Roman"/>
          <w:color w:val="000000" w:themeColor="text1"/>
          <w:sz w:val="24"/>
          <w:szCs w:val="24"/>
          <w:lang w:eastAsia="it-IT"/>
        </w:rPr>
        <w:t xml:space="preserve"> dalla conclusione anticipata della legislatura e quindi all’avvicendamento governativo che ha comportato un parziale riorientamento delle priorità. Inoltre, dalla circostanza che per il raggiungimento di taluni obiettivi, previsti nella Direttiva generale per l’azione amministrativa per la gestione – anno 2022, come le iniziative di sensibilizzazione e comunicazione e quelle relative alla formazione personale delle casalinghe e dei casalinghi, in attuazione dell’articolo 22 del decreto-legge 14 agosto 2020, n. 104, convertito, con modificazioni, dalla legge 13 ottobre 2020, n. 126, non è stato necessario utilizzare le risorse del suddetto capitolo;</w:t>
      </w:r>
    </w:p>
    <w:p w14:paraId="574F0066"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497 - </w:t>
      </w:r>
      <w:r w:rsidRPr="00F56356">
        <w:rPr>
          <w:rFonts w:ascii="Times New Roman" w:eastAsia="Times New Roman" w:hAnsi="Times New Roman" w:cs="Times New Roman"/>
          <w:i/>
          <w:color w:val="000000" w:themeColor="text1"/>
          <w:sz w:val="24"/>
          <w:szCs w:val="24"/>
          <w:lang w:eastAsia="it-IT"/>
        </w:rPr>
        <w:t>Fondo per le spese di funzionamento e gestione delle associazioni che svolgono attività contro le discriminazioni e la violenza di genere (art. 1, comma 1134, legge 178/2020),</w:t>
      </w:r>
      <w:r w:rsidRPr="00F56356">
        <w:rPr>
          <w:rFonts w:ascii="Times New Roman" w:eastAsia="Times New Roman" w:hAnsi="Times New Roman" w:cs="Times New Roman"/>
          <w:color w:val="000000" w:themeColor="text1"/>
          <w:sz w:val="24"/>
          <w:szCs w:val="24"/>
          <w:lang w:eastAsia="it-IT"/>
        </w:rPr>
        <w:t xml:space="preserve"> dalla circostanza che sono state svolte soltanto le attività preliminari all’impegno;</w:t>
      </w:r>
      <w:r w:rsidRPr="00F56356">
        <w:rPr>
          <w:rFonts w:ascii="Times New Roman" w:eastAsia="Times New Roman" w:hAnsi="Times New Roman" w:cs="Times New Roman"/>
          <w:color w:val="FF0000"/>
          <w:sz w:val="24"/>
          <w:szCs w:val="24"/>
          <w:lang w:eastAsia="it-IT"/>
        </w:rPr>
        <w:t xml:space="preserve"> </w:t>
      </w:r>
    </w:p>
    <w:p w14:paraId="0CCF3DB9"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per il capitolo 527 - </w:t>
      </w:r>
      <w:r w:rsidRPr="00F56356">
        <w:rPr>
          <w:rFonts w:ascii="Times New Roman" w:eastAsia="Times New Roman" w:hAnsi="Times New Roman" w:cs="Times New Roman"/>
          <w:i/>
          <w:color w:val="000000" w:themeColor="text1"/>
          <w:sz w:val="24"/>
          <w:szCs w:val="24"/>
          <w:lang w:eastAsia="it-IT"/>
        </w:rPr>
        <w:t>Misure per il sostegno delle vittime di discriminazioni fondate sull’orientamento sessuale e sull’identità di genere</w:t>
      </w:r>
      <w:r w:rsidRPr="00F56356">
        <w:rPr>
          <w:rFonts w:ascii="Times New Roman" w:eastAsia="Times New Roman" w:hAnsi="Times New Roman" w:cs="Times New Roman"/>
          <w:color w:val="000000" w:themeColor="text1"/>
          <w:sz w:val="24"/>
          <w:szCs w:val="24"/>
          <w:lang w:eastAsia="it-IT"/>
        </w:rPr>
        <w:t xml:space="preserve">, le risorse finanziarie relative al biennio 2021-2022, finalizzate all’attuazione di quanto previsto dall’articolo 105-quater, come modificato dall’articolo 38-bis, comma 1, del decreto-legge 14 agosto 2020, n. 104, convertito, con modificazioni, dalla legge 13 ottobre 2020, n. 126, per la realizzazione dei centri contro le discriminazioni motivate da orientamento sessuale e identità di genere, non sono state impegnate in quanto l’intervento è stato oggetto di una rimodulazione delle tempistiche e dei risultati attesi, alla </w:t>
      </w:r>
      <w:r w:rsidRPr="00F56356">
        <w:rPr>
          <w:rFonts w:ascii="Times New Roman" w:eastAsia="Times New Roman" w:hAnsi="Times New Roman" w:cs="Times New Roman"/>
          <w:color w:val="000000" w:themeColor="text1"/>
          <w:sz w:val="24"/>
          <w:szCs w:val="24"/>
          <w:lang w:eastAsia="it-IT"/>
        </w:rPr>
        <w:lastRenderedPageBreak/>
        <w:t>luce dell’esigenza dei necessari approfondimenti conseguenti all’insediamento della nuova Autorità politica;</w:t>
      </w:r>
    </w:p>
    <w:p w14:paraId="057F8E9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per il capitolo 534 - </w:t>
      </w:r>
      <w:r w:rsidRPr="00F56356">
        <w:rPr>
          <w:rFonts w:ascii="Times New Roman" w:eastAsia="Times New Roman" w:hAnsi="Times New Roman" w:cs="Times New Roman"/>
          <w:i/>
          <w:color w:val="000000" w:themeColor="text1"/>
          <w:sz w:val="24"/>
          <w:szCs w:val="24"/>
          <w:lang w:eastAsia="it-IT"/>
        </w:rPr>
        <w:t xml:space="preserve">Fondo per il contrasto e la repressione di pratiche di mutilazione genitale femminili, </w:t>
      </w:r>
      <w:r w:rsidRPr="00F56356">
        <w:rPr>
          <w:rFonts w:ascii="Times New Roman" w:eastAsia="Times New Roman" w:hAnsi="Times New Roman" w:cs="Times New Roman"/>
          <w:iCs/>
          <w:color w:val="000000" w:themeColor="text1"/>
          <w:sz w:val="24"/>
          <w:szCs w:val="24"/>
          <w:lang w:eastAsia="it-IT"/>
        </w:rPr>
        <w:t>dal fatto che</w:t>
      </w:r>
      <w:r w:rsidRPr="00F56356">
        <w:rPr>
          <w:rFonts w:ascii="Times New Roman" w:eastAsia="Times New Roman" w:hAnsi="Times New Roman" w:cs="Times New Roman"/>
          <w:color w:val="000000" w:themeColor="text1"/>
          <w:sz w:val="24"/>
          <w:szCs w:val="24"/>
          <w:lang w:eastAsia="it-IT"/>
        </w:rPr>
        <w:t>, a seguito di una rimodulazione delle attività condivisa con l’Autorità politica, le previste attività di informazione e sensibilizzazione saranno realizzate nel corso dell’anno 2023, con conseguente non registrazione degli impegni e pagamenti.</w:t>
      </w:r>
    </w:p>
    <w:p w14:paraId="098D1889" w14:textId="77777777" w:rsidR="00F56356" w:rsidRPr="00F56356" w:rsidRDefault="00F56356" w:rsidP="00F56356">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04F2FAAB" w14:textId="77777777" w:rsidR="00F56356" w:rsidRPr="00F56356" w:rsidRDefault="00F56356" w:rsidP="00F56356">
      <w:pPr>
        <w:spacing w:after="0" w:line="360" w:lineRule="auto"/>
        <w:ind w:left="284"/>
        <w:jc w:val="both"/>
        <w:rPr>
          <w:rFonts w:ascii="Times New Roman" w:eastAsia="Times New Roman" w:hAnsi="Times New Roman" w:cs="Times New Roman"/>
          <w:noProof/>
          <w:color w:val="FF0000"/>
          <w:sz w:val="24"/>
          <w:szCs w:val="24"/>
          <w:lang w:eastAsia="it-IT"/>
        </w:rPr>
      </w:pPr>
      <w:r w:rsidRPr="00F56356">
        <w:rPr>
          <w:rFonts w:ascii="Times New Roman" w:eastAsia="Times New Roman" w:hAnsi="Times New Roman" w:cs="Times New Roman"/>
          <w:noProof/>
          <w:color w:val="000000" w:themeColor="text1"/>
          <w:sz w:val="24"/>
          <w:szCs w:val="24"/>
          <w:lang w:eastAsia="it-IT"/>
        </w:rPr>
        <w:t>Si riporta qui di seguito l’andamento delle politiche attive (interventi) nel corso del triennio 2020/ 2022:</w:t>
      </w:r>
    </w:p>
    <w:p w14:paraId="78871CC1" w14:textId="77777777" w:rsidR="00F56356" w:rsidRPr="00F56356" w:rsidRDefault="00F56356" w:rsidP="00F56356">
      <w:pPr>
        <w:spacing w:after="120" w:line="480" w:lineRule="auto"/>
        <w:ind w:left="-567"/>
        <w:jc w:val="center"/>
        <w:rPr>
          <w:rFonts w:ascii="Times New Roman" w:eastAsia="Times New Roman" w:hAnsi="Times New Roman" w:cs="Times New Roman"/>
          <w:noProof/>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5344CA24" wp14:editId="110BA7D0">
            <wp:extent cx="3056255" cy="298579"/>
            <wp:effectExtent l="0" t="0" r="0" b="635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82304" cy="310893"/>
                    </a:xfrm>
                    <a:prstGeom prst="rect">
                      <a:avLst/>
                    </a:prstGeom>
                    <a:noFill/>
                    <a:ln>
                      <a:noFill/>
                    </a:ln>
                  </pic:spPr>
                </pic:pic>
              </a:graphicData>
            </a:graphic>
          </wp:inline>
        </w:drawing>
      </w:r>
    </w:p>
    <w:p w14:paraId="7266FF83" w14:textId="6E4D29C2" w:rsidR="00F56356" w:rsidRDefault="00F56356" w:rsidP="00F56356">
      <w:pPr>
        <w:spacing w:after="120" w:line="480" w:lineRule="auto"/>
        <w:ind w:left="-567"/>
        <w:jc w:val="center"/>
        <w:rPr>
          <w:rFonts w:ascii="Times New Roman" w:eastAsia="Times New Roman" w:hAnsi="Times New Roman" w:cs="Times New Roman"/>
          <w:noProof/>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07319D26" wp14:editId="15667254">
            <wp:extent cx="3112563" cy="1839382"/>
            <wp:effectExtent l="0" t="0" r="0" b="889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47340" cy="1859934"/>
                    </a:xfrm>
                    <a:prstGeom prst="rect">
                      <a:avLst/>
                    </a:prstGeom>
                    <a:noFill/>
                  </pic:spPr>
                </pic:pic>
              </a:graphicData>
            </a:graphic>
          </wp:inline>
        </w:drawing>
      </w:r>
    </w:p>
    <w:p w14:paraId="2147F223" w14:textId="6020E987"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69ABBE73" w14:textId="7CB63CE2"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764A94A6" w14:textId="26358989"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6EEA0F87" w14:textId="2462A82E"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77DAA32E" w14:textId="19B31DF0"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07904E57" w14:textId="461A2464"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73F2E06C" w14:textId="4798961B"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43C361D9" w14:textId="398DAC15" w:rsidR="00673DBE"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0B0F6AD6" w14:textId="77777777" w:rsidR="00673DBE" w:rsidRPr="00F56356" w:rsidRDefault="00673DBE" w:rsidP="00F56356">
      <w:pPr>
        <w:spacing w:after="120" w:line="480" w:lineRule="auto"/>
        <w:ind w:left="-567"/>
        <w:jc w:val="center"/>
        <w:rPr>
          <w:rFonts w:ascii="Times New Roman" w:eastAsia="Times New Roman" w:hAnsi="Times New Roman" w:cs="Times New Roman"/>
          <w:noProof/>
          <w:sz w:val="24"/>
          <w:szCs w:val="24"/>
          <w:lang w:eastAsia="it-IT"/>
        </w:rPr>
      </w:pPr>
    </w:p>
    <w:p w14:paraId="746537E7"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 xml:space="preserve">Nella Tabella sottostante è indicata la ripartizione delle risorse relative a interventi, comprensive di quelle relative ai residui passivi perenti </w:t>
      </w:r>
      <w:proofErr w:type="spellStart"/>
      <w:r w:rsidRPr="00F56356">
        <w:rPr>
          <w:rFonts w:ascii="Times New Roman" w:eastAsia="Times New Roman" w:hAnsi="Times New Roman" w:cs="Times New Roman"/>
          <w:sz w:val="24"/>
          <w:szCs w:val="24"/>
          <w:lang w:eastAsia="it-IT"/>
        </w:rPr>
        <w:t>reiscritti</w:t>
      </w:r>
      <w:proofErr w:type="spellEnd"/>
      <w:r w:rsidRPr="00F56356">
        <w:rPr>
          <w:rFonts w:ascii="Times New Roman" w:eastAsia="Times New Roman" w:hAnsi="Times New Roman" w:cs="Times New Roman"/>
          <w:sz w:val="24"/>
          <w:szCs w:val="24"/>
          <w:lang w:eastAsia="it-IT"/>
        </w:rPr>
        <w:t xml:space="preserve"> in bilancio, per destinatari finali:</w:t>
      </w:r>
    </w:p>
    <w:p w14:paraId="6A1E87BC" w14:textId="77777777" w:rsidR="00F56356" w:rsidRPr="00F56356" w:rsidRDefault="00F56356" w:rsidP="00F56356">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96128" behindDoc="1" locked="0" layoutInCell="1" allowOverlap="1" wp14:anchorId="163CCAD9" wp14:editId="353EA180">
            <wp:simplePos x="0" y="0"/>
            <wp:positionH relativeFrom="column">
              <wp:posOffset>222250</wp:posOffset>
            </wp:positionH>
            <wp:positionV relativeFrom="paragraph">
              <wp:posOffset>347980</wp:posOffset>
            </wp:positionV>
            <wp:extent cx="5900420" cy="5441950"/>
            <wp:effectExtent l="0" t="0" r="5080" b="6350"/>
            <wp:wrapTight wrapText="bothSides">
              <wp:wrapPolygon edited="0">
                <wp:start x="0" y="0"/>
                <wp:lineTo x="0" y="20945"/>
                <wp:lineTo x="628" y="21550"/>
                <wp:lineTo x="19666" y="21550"/>
                <wp:lineTo x="21549" y="21247"/>
                <wp:lineTo x="21549" y="20793"/>
                <wp:lineTo x="19736" y="20567"/>
                <wp:lineTo x="21549" y="19432"/>
                <wp:lineTo x="21549" y="19206"/>
                <wp:lineTo x="19666" y="18147"/>
                <wp:lineTo x="21549" y="17920"/>
                <wp:lineTo x="21549" y="17769"/>
                <wp:lineTo x="19666" y="16937"/>
                <wp:lineTo x="19666" y="9678"/>
                <wp:lineTo x="21549" y="9527"/>
                <wp:lineTo x="21549" y="7259"/>
                <wp:lineTo x="19666" y="6049"/>
                <wp:lineTo x="21549" y="5217"/>
                <wp:lineTo x="21549" y="5066"/>
                <wp:lineTo x="20015" y="4839"/>
                <wp:lineTo x="21549" y="3856"/>
                <wp:lineTo x="21549" y="0"/>
                <wp:lineTo x="0" y="0"/>
              </wp:wrapPolygon>
            </wp:wrapTight>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0420" cy="5441950"/>
                    </a:xfrm>
                    <a:prstGeom prst="rect">
                      <a:avLst/>
                    </a:prstGeom>
                    <a:noFill/>
                    <a:ln>
                      <a:noFill/>
                    </a:ln>
                  </pic:spPr>
                </pic:pic>
              </a:graphicData>
            </a:graphic>
            <wp14:sizeRelH relativeFrom="margin">
              <wp14:pctWidth>0</wp14:pctWidth>
            </wp14:sizeRelH>
          </wp:anchor>
        </w:drawing>
      </w:r>
    </w:p>
    <w:p w14:paraId="304A2A03" w14:textId="77777777" w:rsidR="00F56356" w:rsidRPr="00F56356" w:rsidRDefault="00F56356" w:rsidP="00F56356">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p>
    <w:p w14:paraId="283A9274" w14:textId="77777777" w:rsidR="00F56356" w:rsidRPr="00F56356" w:rsidRDefault="00F56356" w:rsidP="00F56356">
      <w:pPr>
        <w:tabs>
          <w:tab w:val="left" w:pos="1418"/>
          <w:tab w:val="left" w:pos="1843"/>
          <w:tab w:val="left" w:pos="1985"/>
        </w:tabs>
        <w:spacing w:after="0" w:line="240" w:lineRule="auto"/>
        <w:rPr>
          <w:rFonts w:ascii="Times New Roman" w:eastAsia="Times New Roman" w:hAnsi="Times New Roman" w:cs="Times New Roman"/>
          <w:sz w:val="24"/>
          <w:szCs w:val="24"/>
          <w:lang w:eastAsia="it-IT"/>
        </w:rPr>
      </w:pPr>
    </w:p>
    <w:p w14:paraId="6A112C0D" w14:textId="77777777" w:rsidR="00F56356" w:rsidRPr="00F56356" w:rsidRDefault="00F56356" w:rsidP="00F56356">
      <w:pPr>
        <w:autoSpaceDE w:val="0"/>
        <w:autoSpaceDN w:val="0"/>
        <w:adjustRightInd w:val="0"/>
        <w:spacing w:after="0" w:line="240" w:lineRule="auto"/>
        <w:ind w:left="1134" w:hanging="1134"/>
        <w:rPr>
          <w:rFonts w:ascii="Times New Roman" w:eastAsia="Times New Roman" w:hAnsi="Times New Roman" w:cs="Times New Roman"/>
          <w:lang w:eastAsia="it-IT"/>
        </w:rPr>
      </w:pPr>
    </w:p>
    <w:p w14:paraId="2FD3EC9A" w14:textId="77777777" w:rsidR="00F56356" w:rsidRPr="00F56356" w:rsidRDefault="00F56356" w:rsidP="00F56356">
      <w:pPr>
        <w:autoSpaceDE w:val="0"/>
        <w:autoSpaceDN w:val="0"/>
        <w:adjustRightInd w:val="0"/>
        <w:spacing w:after="0" w:line="240" w:lineRule="auto"/>
        <w:ind w:left="1134" w:hanging="1134"/>
        <w:jc w:val="both"/>
        <w:rPr>
          <w:rFonts w:ascii="Times New Roman" w:eastAsia="Times New Roman" w:hAnsi="Times New Roman" w:cs="Times New Roman"/>
          <w:b/>
          <w:lang w:eastAsia="it-IT"/>
        </w:rPr>
      </w:pPr>
    </w:p>
    <w:p w14:paraId="7028AFC7"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63EC4B58"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7B135817"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3027647D"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7246EC3E"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25E208C0"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6B767BE6"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3B7C11B4"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21BFF6A4"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5C65B9A8"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45905831"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4D943ACC" w14:textId="77777777" w:rsidR="00F56356" w:rsidRPr="00F56356" w:rsidRDefault="00F56356" w:rsidP="00F56356">
      <w:pPr>
        <w:tabs>
          <w:tab w:val="left" w:pos="-426"/>
        </w:tabs>
        <w:spacing w:after="0" w:line="360" w:lineRule="auto"/>
        <w:ind w:left="340"/>
        <w:rPr>
          <w:rFonts w:ascii="Times New Roman" w:eastAsia="Times New Roman" w:hAnsi="Times New Roman" w:cs="Times New Roman"/>
          <w:b/>
          <w:sz w:val="28"/>
          <w:szCs w:val="28"/>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EC68DF5" wp14:editId="6240BD67">
            <wp:extent cx="5924550" cy="8451850"/>
            <wp:effectExtent l="0" t="0" r="0" b="635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24985" cy="8452471"/>
                    </a:xfrm>
                    <a:prstGeom prst="rect">
                      <a:avLst/>
                    </a:prstGeom>
                    <a:noFill/>
                    <a:ln>
                      <a:noFill/>
                    </a:ln>
                  </pic:spPr>
                </pic:pic>
              </a:graphicData>
            </a:graphic>
          </wp:inline>
        </w:drawing>
      </w:r>
    </w:p>
    <w:p w14:paraId="4AA08CA2"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p>
    <w:p w14:paraId="0C400B9B" w14:textId="77777777" w:rsidR="00F56356" w:rsidRPr="00F56356" w:rsidRDefault="00F56356" w:rsidP="00F56356">
      <w:pPr>
        <w:tabs>
          <w:tab w:val="left" w:pos="-426"/>
        </w:tabs>
        <w:spacing w:after="0" w:line="360" w:lineRule="auto"/>
        <w:ind w:left="340"/>
        <w:jc w:val="both"/>
        <w:rPr>
          <w:rFonts w:ascii="Times New Roman" w:eastAsia="Times New Roman" w:hAnsi="Times New Roman" w:cs="Times New Roman"/>
          <w:b/>
          <w:sz w:val="28"/>
          <w:szCs w:val="28"/>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68AF0A9B" wp14:editId="1E36D59F">
            <wp:extent cx="5914845" cy="8477250"/>
            <wp:effectExtent l="0" t="0" r="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3508" cy="8489665"/>
                    </a:xfrm>
                    <a:prstGeom prst="rect">
                      <a:avLst/>
                    </a:prstGeom>
                    <a:noFill/>
                    <a:ln>
                      <a:noFill/>
                    </a:ln>
                  </pic:spPr>
                </pic:pic>
              </a:graphicData>
            </a:graphic>
          </wp:inline>
        </w:drawing>
      </w:r>
    </w:p>
    <w:p w14:paraId="1009EA3D"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76BF116"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8ADEB29" wp14:editId="032358CB">
            <wp:extent cx="5934075" cy="7826375"/>
            <wp:effectExtent l="0" t="0" r="9525" b="3175"/>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392" cy="7826793"/>
                    </a:xfrm>
                    <a:prstGeom prst="rect">
                      <a:avLst/>
                    </a:prstGeom>
                    <a:noFill/>
                    <a:ln>
                      <a:noFill/>
                    </a:ln>
                  </pic:spPr>
                </pic:pic>
              </a:graphicData>
            </a:graphic>
          </wp:inline>
        </w:drawing>
      </w:r>
    </w:p>
    <w:p w14:paraId="330CCB69"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0CE43CA3"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AF6E340"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7E120F80" wp14:editId="15E9A4B4">
            <wp:extent cx="5962650" cy="8686800"/>
            <wp:effectExtent l="0" t="0" r="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67278" cy="8693542"/>
                    </a:xfrm>
                    <a:prstGeom prst="rect">
                      <a:avLst/>
                    </a:prstGeom>
                    <a:noFill/>
                    <a:ln>
                      <a:noFill/>
                    </a:ln>
                  </pic:spPr>
                </pic:pic>
              </a:graphicData>
            </a:graphic>
          </wp:inline>
        </w:drawing>
      </w:r>
    </w:p>
    <w:p w14:paraId="5C78E444"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F6059E5" wp14:editId="6E656B1F">
            <wp:extent cx="5922645" cy="8963450"/>
            <wp:effectExtent l="0" t="0" r="1905"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0475" cy="8975300"/>
                    </a:xfrm>
                    <a:prstGeom prst="rect">
                      <a:avLst/>
                    </a:prstGeom>
                    <a:noFill/>
                    <a:ln>
                      <a:noFill/>
                    </a:ln>
                  </pic:spPr>
                </pic:pic>
              </a:graphicData>
            </a:graphic>
          </wp:inline>
        </w:drawing>
      </w:r>
    </w:p>
    <w:p w14:paraId="24D9F2A0"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43CB88A9" wp14:editId="724693BB">
            <wp:extent cx="6119495" cy="8629650"/>
            <wp:effectExtent l="0" t="0" r="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4823" cy="8637164"/>
                    </a:xfrm>
                    <a:prstGeom prst="rect">
                      <a:avLst/>
                    </a:prstGeom>
                    <a:noFill/>
                    <a:ln>
                      <a:noFill/>
                    </a:ln>
                  </pic:spPr>
                </pic:pic>
              </a:graphicData>
            </a:graphic>
          </wp:inline>
        </w:drawing>
      </w:r>
    </w:p>
    <w:p w14:paraId="583DA982" w14:textId="77777777" w:rsidR="00F56356" w:rsidRPr="00F56356" w:rsidRDefault="00F56356" w:rsidP="00F56356">
      <w:pPr>
        <w:spacing w:after="0"/>
        <w:jc w:val="both"/>
        <w:rPr>
          <w:rFonts w:ascii="Times New Roman" w:eastAsiaTheme="minorEastAsia" w:hAnsi="Times New Roman" w:cs="Times New Roman"/>
          <w:b/>
          <w:sz w:val="24"/>
          <w:szCs w:val="24"/>
          <w:lang w:eastAsia="it-IT"/>
        </w:rPr>
      </w:pPr>
    </w:p>
    <w:p w14:paraId="337E8EE3" w14:textId="77777777" w:rsidR="00BE4D7D" w:rsidRDefault="00BE4D7D" w:rsidP="00F56356">
      <w:pPr>
        <w:spacing w:after="0"/>
        <w:ind w:left="284"/>
        <w:jc w:val="both"/>
        <w:rPr>
          <w:rFonts w:ascii="Times New Roman" w:eastAsiaTheme="minorEastAsia" w:hAnsi="Times New Roman" w:cs="Times New Roman"/>
          <w:b/>
          <w:sz w:val="24"/>
          <w:szCs w:val="24"/>
          <w:lang w:eastAsia="it-IT"/>
        </w:rPr>
      </w:pPr>
    </w:p>
    <w:p w14:paraId="509CC1B5" w14:textId="472D64BD" w:rsidR="00F56356" w:rsidRPr="00F56356" w:rsidRDefault="00F56356" w:rsidP="00F56356">
      <w:pPr>
        <w:spacing w:after="0"/>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9 “Informazione ed editoria”</w:t>
      </w:r>
    </w:p>
    <w:p w14:paraId="28C022A8" w14:textId="77777777" w:rsidR="00F56356" w:rsidRPr="00F56356" w:rsidRDefault="00F56356" w:rsidP="00F56356">
      <w:pPr>
        <w:spacing w:after="0" w:line="240" w:lineRule="auto"/>
        <w:ind w:left="284"/>
        <w:jc w:val="both"/>
        <w:rPr>
          <w:rFonts w:ascii="Times New Roman" w:eastAsiaTheme="minorEastAsia" w:hAnsi="Times New Roman" w:cs="Times New Roman"/>
          <w:b/>
          <w:sz w:val="24"/>
          <w:szCs w:val="24"/>
          <w:lang w:eastAsia="it-IT"/>
        </w:rPr>
      </w:pPr>
    </w:p>
    <w:p w14:paraId="6DFE6211"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53051A9D" w14:textId="77777777" w:rsidR="00F56356" w:rsidRPr="00F56356" w:rsidRDefault="00F56356" w:rsidP="00F56356">
      <w:pPr>
        <w:spacing w:after="0" w:line="240" w:lineRule="auto"/>
        <w:ind w:left="284"/>
        <w:jc w:val="both"/>
        <w:rPr>
          <w:rFonts w:ascii="Times New Roman" w:eastAsiaTheme="minorEastAsia" w:hAnsi="Times New Roman" w:cs="Times New Roman"/>
          <w:sz w:val="10"/>
          <w:szCs w:val="24"/>
          <w:lang w:eastAsia="it-IT"/>
        </w:rPr>
      </w:pPr>
    </w:p>
    <w:p w14:paraId="05DADD5E"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Presidenza del Consiglio dei ministri</w:t>
      </w:r>
    </w:p>
    <w:p w14:paraId="386B1AF1"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p>
    <w:p w14:paraId="7FF56770" w14:textId="77777777" w:rsidR="00F56356" w:rsidRPr="00F56356" w:rsidRDefault="00F56356" w:rsidP="00F56356">
      <w:pPr>
        <w:spacing w:after="0" w:line="240" w:lineRule="auto"/>
        <w:ind w:left="284"/>
        <w:jc w:val="both"/>
        <w:rPr>
          <w:rFonts w:ascii="Times New Roman" w:eastAsiaTheme="minorEastAsia" w:hAnsi="Times New Roman" w:cs="Times New Roman"/>
          <w:b/>
          <w:sz w:val="14"/>
          <w:szCs w:val="24"/>
          <w:lang w:eastAsia="it-IT"/>
        </w:rPr>
      </w:pPr>
    </w:p>
    <w:p w14:paraId="048E365E"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MISSIONE 15</w:t>
      </w:r>
      <w:r w:rsidRPr="00F56356">
        <w:rPr>
          <w:rFonts w:ascii="Times New Roman" w:eastAsiaTheme="minorEastAsia" w:hAnsi="Times New Roman" w:cs="Times New Roman"/>
          <w:sz w:val="24"/>
          <w:szCs w:val="24"/>
          <w:lang w:eastAsia="it-IT"/>
        </w:rPr>
        <w:t xml:space="preserve"> - Comunicazioni</w:t>
      </w:r>
    </w:p>
    <w:p w14:paraId="5EC85F3B" w14:textId="77777777" w:rsidR="00F56356" w:rsidRPr="00F56356" w:rsidRDefault="00F56356" w:rsidP="00F56356">
      <w:pPr>
        <w:spacing w:after="0" w:line="240" w:lineRule="auto"/>
        <w:ind w:left="284"/>
        <w:jc w:val="both"/>
        <w:rPr>
          <w:rFonts w:ascii="Times New Roman" w:eastAsiaTheme="minorEastAsia" w:hAnsi="Times New Roman" w:cs="Times New Roman"/>
          <w:b/>
          <w:sz w:val="20"/>
          <w:szCs w:val="24"/>
          <w:lang w:eastAsia="it-IT"/>
        </w:rPr>
      </w:pPr>
    </w:p>
    <w:p w14:paraId="47FA4548"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15.3 </w:t>
      </w:r>
      <w:r w:rsidRPr="00F56356">
        <w:rPr>
          <w:rFonts w:ascii="Times New Roman" w:eastAsiaTheme="minorEastAsia" w:hAnsi="Times New Roman" w:cs="Times New Roman"/>
          <w:sz w:val="24"/>
          <w:szCs w:val="24"/>
          <w:lang w:eastAsia="it-IT"/>
        </w:rPr>
        <w:t>- Servizi postali</w:t>
      </w:r>
    </w:p>
    <w:p w14:paraId="6740B5BE" w14:textId="77777777" w:rsidR="00F56356" w:rsidRPr="00F56356" w:rsidRDefault="00F56356" w:rsidP="00F56356">
      <w:pPr>
        <w:spacing w:after="0" w:line="240" w:lineRule="auto"/>
        <w:ind w:left="284"/>
        <w:jc w:val="both"/>
        <w:rPr>
          <w:rFonts w:ascii="Times New Roman" w:eastAsiaTheme="minorEastAsia" w:hAnsi="Times New Roman" w:cs="Times New Roman"/>
          <w:b/>
          <w:sz w:val="24"/>
          <w:szCs w:val="24"/>
          <w:lang w:eastAsia="it-IT"/>
        </w:rPr>
      </w:pPr>
    </w:p>
    <w:p w14:paraId="38892B04"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15.4 - </w:t>
      </w:r>
      <w:r w:rsidRPr="00F56356">
        <w:rPr>
          <w:rFonts w:ascii="Times New Roman" w:eastAsiaTheme="minorEastAsia" w:hAnsi="Times New Roman" w:cs="Times New Roman"/>
          <w:sz w:val="24"/>
          <w:szCs w:val="24"/>
          <w:lang w:eastAsia="it-IT"/>
        </w:rPr>
        <w:t>Sostegno al pluralismo dell’informazione</w:t>
      </w:r>
    </w:p>
    <w:p w14:paraId="01440F00" w14:textId="77777777" w:rsidR="00F56356" w:rsidRPr="00F56356" w:rsidRDefault="00F56356" w:rsidP="00F56356">
      <w:pPr>
        <w:spacing w:after="0" w:line="240" w:lineRule="auto"/>
        <w:ind w:left="284"/>
        <w:jc w:val="both"/>
        <w:rPr>
          <w:rFonts w:ascii="Times New Roman" w:eastAsiaTheme="minorEastAsia" w:hAnsi="Times New Roman" w:cs="Times New Roman"/>
          <w:sz w:val="24"/>
          <w:szCs w:val="24"/>
          <w:lang w:eastAsia="it-IT"/>
        </w:rPr>
      </w:pPr>
    </w:p>
    <w:p w14:paraId="2B001E9C"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p>
    <w:p w14:paraId="3EA31593" w14:textId="77777777" w:rsidR="00F56356" w:rsidRPr="00F56356" w:rsidRDefault="00F56356" w:rsidP="00F56356">
      <w:pPr>
        <w:spacing w:after="0" w:line="360" w:lineRule="auto"/>
        <w:ind w:left="284"/>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bCs/>
          <w:sz w:val="24"/>
          <w:szCs w:val="24"/>
          <w:lang w:eastAsia="it-IT"/>
        </w:rPr>
        <w:t>1.</w:t>
      </w:r>
      <w:r w:rsidRPr="00F56356">
        <w:rPr>
          <w:rFonts w:ascii="Times New Roman" w:eastAsiaTheme="minorEastAsia" w:hAnsi="Times New Roman" w:cs="Times New Roman"/>
          <w:i/>
          <w:sz w:val="24"/>
          <w:szCs w:val="24"/>
          <w:lang w:eastAsia="it-IT"/>
        </w:rPr>
        <w:t xml:space="preserve">  </w:t>
      </w:r>
      <w:r w:rsidRPr="00F56356">
        <w:rPr>
          <w:rFonts w:ascii="Times New Roman" w:eastAsiaTheme="minorEastAsia" w:hAnsi="Times New Roman" w:cs="Times New Roman"/>
          <w:b/>
          <w:i/>
          <w:sz w:val="24"/>
          <w:szCs w:val="24"/>
          <w:lang w:eastAsia="it-IT"/>
        </w:rPr>
        <w:t>Mission</w:t>
      </w:r>
    </w:p>
    <w:p w14:paraId="117F71A6"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Il Centro di responsabilità 9 “Informazione ed editoria” è la struttura di supporto al Presidente che opera nell’area funzionale relativa al coordinamento delle attività di comunicazione istituzionale, alla promozione delle politiche di sostegno all’editoria e ai prodotti editoriali, e al coordinamento delle attività volte alla tutela del diritto d’autore. In particolare, </w:t>
      </w:r>
      <w:r w:rsidRPr="00F56356">
        <w:rPr>
          <w:rFonts w:ascii="Times New Roman" w:eastAsiaTheme="minorEastAsia" w:hAnsi="Times New Roman" w:cs="Times New Roman"/>
          <w:sz w:val="24"/>
          <w:szCs w:val="24"/>
          <w:lang w:eastAsia="it-IT"/>
        </w:rPr>
        <w:t xml:space="preserve">svolge compiti in materia di pubblicità e documentazione istituzionale, di informazione, anche attraverso la stipula di convenzioni con le agenzie di stampa e informazione e con il concessionario del servizio pubblico radiotelevisivo; provvede alla comunicazione diretta  al pubblico sulle attività della Presidenza e del Governo; cura le attività istruttorie relative alla concessione alle imprese editoriali dei contributi diretti e di quelli indiretti; svolge d’intesa con le altre Amministrazioni competenti, compiti di vigilanza sulla Società italiana autori ed editori (SIAE) e sul nuovo Istituto mutualistico artisti interpreti esecutori (Nuovo IMAIE). </w:t>
      </w:r>
    </w:p>
    <w:p w14:paraId="6137A2CD" w14:textId="77777777" w:rsidR="00F56356" w:rsidRPr="00F56356" w:rsidRDefault="00F56356" w:rsidP="00F56356">
      <w:pPr>
        <w:spacing w:after="0" w:line="360" w:lineRule="auto"/>
        <w:ind w:left="284"/>
        <w:jc w:val="both"/>
        <w:rPr>
          <w:rFonts w:ascii="Times New Roman" w:eastAsiaTheme="minorEastAsia" w:hAnsi="Times New Roman" w:cs="Times New Roman"/>
          <w:i/>
          <w:sz w:val="2"/>
          <w:szCs w:val="24"/>
          <w:lang w:eastAsia="it-IT"/>
        </w:rPr>
      </w:pPr>
    </w:p>
    <w:p w14:paraId="2E6D86D6" w14:textId="77777777" w:rsidR="00F56356" w:rsidRPr="00F56356" w:rsidRDefault="00F56356" w:rsidP="00F56356">
      <w:pPr>
        <w:spacing w:line="360" w:lineRule="auto"/>
        <w:ind w:left="284"/>
        <w:jc w:val="both"/>
        <w:rPr>
          <w:rFonts w:ascii="Times New Roman" w:eastAsiaTheme="minorEastAsia" w:hAnsi="Times New Roman" w:cs="Times New Roman"/>
          <w:i/>
          <w:sz w:val="2"/>
          <w:szCs w:val="24"/>
          <w:lang w:eastAsia="it-IT"/>
        </w:rPr>
      </w:pPr>
    </w:p>
    <w:p w14:paraId="3ADA9CF4" w14:textId="77777777" w:rsidR="00F56356" w:rsidRPr="00F56356" w:rsidRDefault="00F56356" w:rsidP="00F56356">
      <w:pPr>
        <w:spacing w:after="0" w:line="360" w:lineRule="auto"/>
        <w:ind w:left="284"/>
        <w:jc w:val="both"/>
        <w:rPr>
          <w:rFonts w:ascii="Times New Roman" w:eastAsiaTheme="minorEastAsia" w:hAnsi="Times New Roman" w:cs="Times New Roman"/>
          <w:i/>
          <w:sz w:val="2"/>
          <w:szCs w:val="24"/>
          <w:lang w:eastAsia="it-IT"/>
        </w:rPr>
      </w:pPr>
    </w:p>
    <w:p w14:paraId="6FC414FA" w14:textId="77777777" w:rsidR="00F56356" w:rsidRPr="00F56356" w:rsidRDefault="00F56356" w:rsidP="00F56356">
      <w:pPr>
        <w:spacing w:line="360" w:lineRule="auto"/>
        <w:ind w:left="284"/>
        <w:jc w:val="both"/>
        <w:rPr>
          <w:rFonts w:ascii="Times New Roman" w:eastAsiaTheme="minorEastAsia" w:hAnsi="Times New Roman" w:cs="Times New Roman"/>
          <w:i/>
          <w:sz w:val="2"/>
          <w:szCs w:val="24"/>
          <w:lang w:eastAsia="it-IT"/>
        </w:rPr>
      </w:pPr>
    </w:p>
    <w:p w14:paraId="5065C0F1"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t xml:space="preserve">2. </w:t>
      </w:r>
      <w:r w:rsidRPr="00F56356">
        <w:rPr>
          <w:rFonts w:ascii="Times New Roman" w:eastAsiaTheme="minorEastAsia" w:hAnsi="Times New Roman" w:cs="Times New Roman"/>
          <w:b/>
          <w:iCs/>
          <w:sz w:val="24"/>
          <w:szCs w:val="24"/>
          <w:lang w:eastAsia="it-IT"/>
        </w:rPr>
        <w:t>Ricostruzione flussi finanziari e aspetti rilevanti della gestione</w:t>
      </w:r>
      <w:r w:rsidRPr="00F56356">
        <w:rPr>
          <w:rFonts w:ascii="Times New Roman" w:eastAsiaTheme="minorEastAsia" w:hAnsi="Times New Roman" w:cs="Times New Roman"/>
          <w:b/>
          <w:sz w:val="24"/>
          <w:szCs w:val="24"/>
          <w:lang w:eastAsia="it-IT"/>
        </w:rPr>
        <w:t xml:space="preserve"> </w:t>
      </w:r>
    </w:p>
    <w:p w14:paraId="6AA7BCC8"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2.1</w:t>
      </w:r>
      <w:r w:rsidRPr="00F56356">
        <w:rPr>
          <w:rFonts w:ascii="Times New Roman" w:eastAsiaTheme="minorEastAsia" w:hAnsi="Times New Roman" w:cs="Times New Roman"/>
          <w:sz w:val="24"/>
          <w:szCs w:val="24"/>
          <w:lang w:eastAsia="it-IT"/>
        </w:rPr>
        <w:t xml:space="preserve"> Le risorse complessivamente assegnate sono state pari a euro 630.788.686,47, nell’ambito delle quali euro 20.292,26</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sz w:val="24"/>
          <w:szCs w:val="24"/>
          <w:lang w:eastAsia="it-IT"/>
        </w:rPr>
        <w:t>riferiti a reiscrizioni di residui passivi perenti ed euro 157.013.755,21</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sz w:val="24"/>
          <w:szCs w:val="24"/>
          <w:lang w:eastAsia="it-IT"/>
        </w:rPr>
        <w:t xml:space="preserve">riferiti a riassegnazioni dall’avanzo di esercizio 2021. </w:t>
      </w:r>
    </w:p>
    <w:p w14:paraId="40023FB0"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Gli impegni assunti ammontano a euro 328.939.747,50,</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con un’economia di bilancio pari a euro 301.848.938,97. I pagamenti riferiti alla competenza sono stati pari a euro 177.685.830,39, con un indice di capacità di pagamento (rapporto pagato/impegnato) che si attesta al 54,02 per cento.</w:t>
      </w:r>
    </w:p>
    <w:p w14:paraId="31522685"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379C7F27"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09C6D5E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2C08FDD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6FFF3C21"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sz w:val="24"/>
          <w:szCs w:val="24"/>
          <w:lang w:eastAsia="it-IT"/>
        </w:rPr>
      </w:pPr>
      <w:r w:rsidRPr="00F56356">
        <w:rPr>
          <w:rFonts w:eastAsiaTheme="minorEastAsia" w:cs="Times New Roman"/>
          <w:noProof/>
          <w:lang w:eastAsia="it-IT"/>
        </w:rPr>
        <w:lastRenderedPageBreak/>
        <w:drawing>
          <wp:inline distT="0" distB="0" distL="0" distR="0" wp14:anchorId="189E730F" wp14:editId="11B0BF53">
            <wp:extent cx="3840226" cy="647474"/>
            <wp:effectExtent l="0" t="0" r="0" b="635"/>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899640" cy="657491"/>
                    </a:xfrm>
                    <a:prstGeom prst="rect">
                      <a:avLst/>
                    </a:prstGeom>
                    <a:noFill/>
                    <a:ln>
                      <a:noFill/>
                    </a:ln>
                  </pic:spPr>
                </pic:pic>
              </a:graphicData>
            </a:graphic>
          </wp:inline>
        </w:drawing>
      </w:r>
    </w:p>
    <w:p w14:paraId="2DB2B713"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noProof/>
          <w:sz w:val="24"/>
          <w:szCs w:val="24"/>
          <w:lang w:eastAsia="it-IT"/>
        </w:rPr>
        <w:drawing>
          <wp:inline distT="0" distB="0" distL="0" distR="0" wp14:anchorId="44A88175" wp14:editId="0F7B4916">
            <wp:extent cx="3899674" cy="1993392"/>
            <wp:effectExtent l="0" t="0" r="5715" b="6985"/>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6206" cy="2027401"/>
                    </a:xfrm>
                    <a:prstGeom prst="rect">
                      <a:avLst/>
                    </a:prstGeom>
                    <a:noFill/>
                  </pic:spPr>
                </pic:pic>
              </a:graphicData>
            </a:graphic>
          </wp:inline>
        </w:drawing>
      </w:r>
    </w:p>
    <w:p w14:paraId="3C261BC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I residui passivi al 1° gennaio 2022 erano pari a euro 40.213.435,54. Su questi sono stati effettuati pagamenti per euro 32.540.921,40 e realizzate economie per euro 261.668,96.</w:t>
      </w:r>
    </w:p>
    <w:p w14:paraId="1D03C2BC" w14:textId="77777777" w:rsidR="00F56356" w:rsidRPr="00F56356" w:rsidRDefault="00F56356" w:rsidP="00F56356">
      <w:pPr>
        <w:spacing w:after="0" w:line="360" w:lineRule="auto"/>
        <w:jc w:val="center"/>
        <w:rPr>
          <w:rFonts w:ascii="Times New Roman" w:eastAsia="Times New Roman" w:hAnsi="Times New Roman" w:cs="Times New Roman"/>
          <w:sz w:val="10"/>
          <w:szCs w:val="24"/>
          <w:lang w:eastAsia="it-IT"/>
        </w:rPr>
      </w:pPr>
    </w:p>
    <w:p w14:paraId="3452774C"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47DD3042"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5FA5"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2D85C86D"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11C5C"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58F9BABB"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7F7D7272"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0A9C697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F7330C4"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0066D62B"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0432D790"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2D845BA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49BDABB6"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0C71510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723F3F7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4CFAB125"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122BC6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521</w:t>
            </w:r>
          </w:p>
        </w:tc>
        <w:tc>
          <w:tcPr>
            <w:tcW w:w="1574" w:type="dxa"/>
            <w:tcBorders>
              <w:top w:val="nil"/>
              <w:left w:val="nil"/>
              <w:bottom w:val="single" w:sz="4" w:space="0" w:color="auto"/>
              <w:right w:val="single" w:sz="4" w:space="0" w:color="auto"/>
            </w:tcBorders>
            <w:shd w:val="clear" w:color="auto" w:fill="auto"/>
            <w:noWrap/>
            <w:vAlign w:val="center"/>
            <w:hideMark/>
          </w:tcPr>
          <w:p w14:paraId="2CA17B6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44,31</w:t>
            </w:r>
          </w:p>
        </w:tc>
        <w:tc>
          <w:tcPr>
            <w:tcW w:w="1440" w:type="dxa"/>
            <w:tcBorders>
              <w:top w:val="nil"/>
              <w:left w:val="nil"/>
              <w:bottom w:val="single" w:sz="4" w:space="0" w:color="auto"/>
              <w:right w:val="single" w:sz="4" w:space="0" w:color="auto"/>
            </w:tcBorders>
            <w:shd w:val="clear" w:color="auto" w:fill="auto"/>
            <w:noWrap/>
            <w:vAlign w:val="center"/>
            <w:hideMark/>
          </w:tcPr>
          <w:p w14:paraId="4A06FD2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44,31</w:t>
            </w:r>
          </w:p>
        </w:tc>
        <w:tc>
          <w:tcPr>
            <w:tcW w:w="996" w:type="dxa"/>
            <w:tcBorders>
              <w:top w:val="nil"/>
              <w:left w:val="nil"/>
              <w:bottom w:val="single" w:sz="4" w:space="0" w:color="auto"/>
              <w:right w:val="single" w:sz="4" w:space="0" w:color="auto"/>
            </w:tcBorders>
            <w:shd w:val="clear" w:color="auto" w:fill="auto"/>
            <w:noWrap/>
            <w:vAlign w:val="center"/>
            <w:hideMark/>
          </w:tcPr>
          <w:p w14:paraId="092B6A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219" w:type="dxa"/>
            <w:tcBorders>
              <w:top w:val="nil"/>
              <w:left w:val="nil"/>
              <w:bottom w:val="single" w:sz="4" w:space="0" w:color="auto"/>
              <w:right w:val="single" w:sz="4" w:space="0" w:color="auto"/>
            </w:tcBorders>
            <w:shd w:val="clear" w:color="auto" w:fill="auto"/>
            <w:noWrap/>
            <w:vAlign w:val="center"/>
            <w:hideMark/>
          </w:tcPr>
          <w:p w14:paraId="61A2574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2" w:type="dxa"/>
            <w:tcBorders>
              <w:top w:val="nil"/>
              <w:left w:val="nil"/>
              <w:bottom w:val="single" w:sz="4" w:space="0" w:color="auto"/>
              <w:right w:val="single" w:sz="4" w:space="0" w:color="auto"/>
            </w:tcBorders>
            <w:shd w:val="clear" w:color="auto" w:fill="auto"/>
            <w:noWrap/>
            <w:vAlign w:val="center"/>
            <w:hideMark/>
          </w:tcPr>
          <w:p w14:paraId="2BFABB9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r>
      <w:tr w:rsidR="00F56356" w:rsidRPr="00F56356" w14:paraId="6F5D1167"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486AC1D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546</w:t>
            </w:r>
          </w:p>
        </w:tc>
        <w:tc>
          <w:tcPr>
            <w:tcW w:w="1574" w:type="dxa"/>
            <w:tcBorders>
              <w:top w:val="nil"/>
              <w:left w:val="nil"/>
              <w:bottom w:val="single" w:sz="4" w:space="0" w:color="auto"/>
              <w:right w:val="single" w:sz="4" w:space="0" w:color="auto"/>
            </w:tcBorders>
            <w:shd w:val="clear" w:color="auto" w:fill="auto"/>
            <w:noWrap/>
            <w:vAlign w:val="center"/>
            <w:hideMark/>
          </w:tcPr>
          <w:p w14:paraId="429C2AE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164.635,93</w:t>
            </w:r>
          </w:p>
        </w:tc>
        <w:tc>
          <w:tcPr>
            <w:tcW w:w="1440" w:type="dxa"/>
            <w:tcBorders>
              <w:top w:val="nil"/>
              <w:left w:val="nil"/>
              <w:bottom w:val="single" w:sz="4" w:space="0" w:color="auto"/>
              <w:right w:val="single" w:sz="4" w:space="0" w:color="auto"/>
            </w:tcBorders>
            <w:shd w:val="clear" w:color="auto" w:fill="auto"/>
            <w:noWrap/>
            <w:vAlign w:val="center"/>
            <w:hideMark/>
          </w:tcPr>
          <w:p w14:paraId="7C27B8A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AE4212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219" w:type="dxa"/>
            <w:tcBorders>
              <w:top w:val="nil"/>
              <w:left w:val="nil"/>
              <w:bottom w:val="single" w:sz="4" w:space="0" w:color="auto"/>
              <w:right w:val="single" w:sz="4" w:space="0" w:color="auto"/>
            </w:tcBorders>
            <w:shd w:val="clear" w:color="auto" w:fill="auto"/>
            <w:noWrap/>
            <w:vAlign w:val="center"/>
            <w:hideMark/>
          </w:tcPr>
          <w:p w14:paraId="3CD9D03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0B163E3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w:t>
            </w:r>
          </w:p>
        </w:tc>
      </w:tr>
      <w:tr w:rsidR="00F56356" w:rsidRPr="00F56356" w14:paraId="67711E08"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0718551"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7E1459A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164.680,24</w:t>
            </w:r>
          </w:p>
        </w:tc>
        <w:tc>
          <w:tcPr>
            <w:tcW w:w="1440" w:type="dxa"/>
            <w:tcBorders>
              <w:top w:val="nil"/>
              <w:left w:val="nil"/>
              <w:bottom w:val="single" w:sz="4" w:space="0" w:color="auto"/>
              <w:right w:val="single" w:sz="4" w:space="0" w:color="auto"/>
            </w:tcBorders>
            <w:shd w:val="clear" w:color="auto" w:fill="auto"/>
            <w:noWrap/>
            <w:vAlign w:val="center"/>
            <w:hideMark/>
          </w:tcPr>
          <w:p w14:paraId="6DC044B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44,31</w:t>
            </w:r>
          </w:p>
        </w:tc>
        <w:tc>
          <w:tcPr>
            <w:tcW w:w="996" w:type="dxa"/>
            <w:tcBorders>
              <w:top w:val="nil"/>
              <w:left w:val="nil"/>
              <w:bottom w:val="nil"/>
              <w:right w:val="nil"/>
            </w:tcBorders>
            <w:shd w:val="clear" w:color="auto" w:fill="auto"/>
            <w:noWrap/>
            <w:vAlign w:val="center"/>
            <w:hideMark/>
          </w:tcPr>
          <w:p w14:paraId="041913C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5119419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50F523F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99A034D"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247D9E7B"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69"/>
        <w:gridCol w:w="1581"/>
        <w:gridCol w:w="1522"/>
        <w:gridCol w:w="973"/>
        <w:gridCol w:w="1191"/>
        <w:gridCol w:w="1125"/>
      </w:tblGrid>
      <w:tr w:rsidR="00F56356" w:rsidRPr="00F56356" w14:paraId="5C254E03"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91C1"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49E5A603" w14:textId="77777777" w:rsidTr="00F56356">
        <w:trPr>
          <w:trHeight w:val="465"/>
          <w:jc w:val="center"/>
        </w:trPr>
        <w:tc>
          <w:tcPr>
            <w:tcW w:w="4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EAC13"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14:paraId="7F8C1D5B"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3D4F1EB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89" w:type="dxa"/>
            <w:gridSpan w:val="3"/>
            <w:tcBorders>
              <w:top w:val="single" w:sz="4" w:space="0" w:color="auto"/>
              <w:left w:val="nil"/>
              <w:bottom w:val="single" w:sz="4" w:space="0" w:color="auto"/>
              <w:right w:val="single" w:sz="4" w:space="0" w:color="000000"/>
            </w:tcBorders>
            <w:shd w:val="clear" w:color="auto" w:fill="auto"/>
            <w:vAlign w:val="center"/>
            <w:hideMark/>
          </w:tcPr>
          <w:p w14:paraId="1F598F9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A81F2EF" w14:textId="77777777" w:rsidTr="00F56356">
        <w:trPr>
          <w:trHeight w:val="300"/>
          <w:jc w:val="center"/>
        </w:trPr>
        <w:tc>
          <w:tcPr>
            <w:tcW w:w="468" w:type="dxa"/>
            <w:vMerge/>
            <w:tcBorders>
              <w:top w:val="nil"/>
              <w:left w:val="single" w:sz="4" w:space="0" w:color="auto"/>
              <w:bottom w:val="single" w:sz="4" w:space="0" w:color="auto"/>
              <w:right w:val="single" w:sz="4" w:space="0" w:color="auto"/>
            </w:tcBorders>
            <w:vAlign w:val="center"/>
            <w:hideMark/>
          </w:tcPr>
          <w:p w14:paraId="0A1E8FFE"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81" w:type="dxa"/>
            <w:vMerge/>
            <w:tcBorders>
              <w:top w:val="nil"/>
              <w:left w:val="single" w:sz="4" w:space="0" w:color="auto"/>
              <w:bottom w:val="single" w:sz="4" w:space="0" w:color="auto"/>
              <w:right w:val="single" w:sz="4" w:space="0" w:color="auto"/>
            </w:tcBorders>
            <w:vAlign w:val="center"/>
            <w:hideMark/>
          </w:tcPr>
          <w:p w14:paraId="5186C10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22" w:type="dxa"/>
            <w:vMerge/>
            <w:tcBorders>
              <w:top w:val="nil"/>
              <w:left w:val="single" w:sz="4" w:space="0" w:color="auto"/>
              <w:bottom w:val="single" w:sz="4" w:space="0" w:color="auto"/>
              <w:right w:val="single" w:sz="4" w:space="0" w:color="auto"/>
            </w:tcBorders>
            <w:vAlign w:val="center"/>
            <w:hideMark/>
          </w:tcPr>
          <w:p w14:paraId="39A783B4"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73" w:type="dxa"/>
            <w:tcBorders>
              <w:top w:val="nil"/>
              <w:left w:val="nil"/>
              <w:bottom w:val="single" w:sz="4" w:space="0" w:color="auto"/>
              <w:right w:val="single" w:sz="4" w:space="0" w:color="auto"/>
            </w:tcBorders>
            <w:shd w:val="clear" w:color="auto" w:fill="auto"/>
            <w:vAlign w:val="center"/>
            <w:hideMark/>
          </w:tcPr>
          <w:p w14:paraId="6A7474A4"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91" w:type="dxa"/>
            <w:tcBorders>
              <w:top w:val="nil"/>
              <w:left w:val="nil"/>
              <w:bottom w:val="single" w:sz="4" w:space="0" w:color="auto"/>
              <w:right w:val="single" w:sz="4" w:space="0" w:color="auto"/>
            </w:tcBorders>
            <w:shd w:val="clear" w:color="auto" w:fill="auto"/>
            <w:vAlign w:val="center"/>
            <w:hideMark/>
          </w:tcPr>
          <w:p w14:paraId="10ABB92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25" w:type="dxa"/>
            <w:tcBorders>
              <w:top w:val="nil"/>
              <w:left w:val="nil"/>
              <w:bottom w:val="single" w:sz="4" w:space="0" w:color="auto"/>
              <w:right w:val="single" w:sz="4" w:space="0" w:color="auto"/>
            </w:tcBorders>
            <w:shd w:val="clear" w:color="auto" w:fill="auto"/>
            <w:vAlign w:val="center"/>
            <w:hideMark/>
          </w:tcPr>
          <w:p w14:paraId="26EA030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0EEB7C8"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6651B62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465</w:t>
            </w:r>
          </w:p>
        </w:tc>
        <w:tc>
          <w:tcPr>
            <w:tcW w:w="1581" w:type="dxa"/>
            <w:tcBorders>
              <w:top w:val="nil"/>
              <w:left w:val="nil"/>
              <w:bottom w:val="single" w:sz="4" w:space="0" w:color="auto"/>
              <w:right w:val="single" w:sz="4" w:space="0" w:color="auto"/>
            </w:tcBorders>
            <w:shd w:val="clear" w:color="000000" w:fill="FFFFFF"/>
            <w:noWrap/>
            <w:vAlign w:val="center"/>
            <w:hideMark/>
          </w:tcPr>
          <w:p w14:paraId="67C5F5C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2.290.351,79</w:t>
            </w:r>
          </w:p>
        </w:tc>
        <w:tc>
          <w:tcPr>
            <w:tcW w:w="1522" w:type="dxa"/>
            <w:tcBorders>
              <w:top w:val="nil"/>
              <w:left w:val="nil"/>
              <w:bottom w:val="single" w:sz="4" w:space="0" w:color="auto"/>
              <w:right w:val="single" w:sz="4" w:space="0" w:color="auto"/>
            </w:tcBorders>
            <w:shd w:val="clear" w:color="000000" w:fill="FFFFFF"/>
            <w:noWrap/>
            <w:vAlign w:val="center"/>
            <w:hideMark/>
          </w:tcPr>
          <w:p w14:paraId="30726D3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130.351,79</w:t>
            </w:r>
          </w:p>
        </w:tc>
        <w:tc>
          <w:tcPr>
            <w:tcW w:w="973" w:type="dxa"/>
            <w:tcBorders>
              <w:top w:val="nil"/>
              <w:left w:val="nil"/>
              <w:bottom w:val="single" w:sz="4" w:space="0" w:color="auto"/>
              <w:right w:val="single" w:sz="4" w:space="0" w:color="auto"/>
            </w:tcBorders>
            <w:shd w:val="clear" w:color="000000" w:fill="FFFFFF"/>
            <w:noWrap/>
            <w:vAlign w:val="center"/>
            <w:hideMark/>
          </w:tcPr>
          <w:p w14:paraId="30D4D15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6F6FC1D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94,31</w:t>
            </w:r>
          </w:p>
        </w:tc>
        <w:tc>
          <w:tcPr>
            <w:tcW w:w="1125" w:type="dxa"/>
            <w:tcBorders>
              <w:top w:val="nil"/>
              <w:left w:val="nil"/>
              <w:bottom w:val="single" w:sz="4" w:space="0" w:color="auto"/>
              <w:right w:val="single" w:sz="4" w:space="0" w:color="auto"/>
            </w:tcBorders>
            <w:shd w:val="clear" w:color="000000" w:fill="FFFFFF"/>
            <w:noWrap/>
            <w:vAlign w:val="center"/>
            <w:hideMark/>
          </w:tcPr>
          <w:p w14:paraId="2D6BF04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1E6BF7C9"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010D262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466</w:t>
            </w:r>
          </w:p>
        </w:tc>
        <w:tc>
          <w:tcPr>
            <w:tcW w:w="1581" w:type="dxa"/>
            <w:tcBorders>
              <w:top w:val="nil"/>
              <w:left w:val="nil"/>
              <w:bottom w:val="single" w:sz="4" w:space="0" w:color="auto"/>
              <w:right w:val="single" w:sz="4" w:space="0" w:color="auto"/>
            </w:tcBorders>
            <w:shd w:val="clear" w:color="000000" w:fill="FFFFFF"/>
            <w:noWrap/>
            <w:vAlign w:val="center"/>
            <w:hideMark/>
          </w:tcPr>
          <w:p w14:paraId="707DB6B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13.696.058,11</w:t>
            </w:r>
          </w:p>
        </w:tc>
        <w:tc>
          <w:tcPr>
            <w:tcW w:w="1522" w:type="dxa"/>
            <w:tcBorders>
              <w:top w:val="nil"/>
              <w:left w:val="nil"/>
              <w:bottom w:val="single" w:sz="4" w:space="0" w:color="auto"/>
              <w:right w:val="single" w:sz="4" w:space="0" w:color="auto"/>
            </w:tcBorders>
            <w:shd w:val="clear" w:color="000000" w:fill="FFFFFF"/>
            <w:noWrap/>
            <w:vAlign w:val="center"/>
            <w:hideMark/>
          </w:tcPr>
          <w:p w14:paraId="21D6FFF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6.683.069,42</w:t>
            </w:r>
          </w:p>
        </w:tc>
        <w:tc>
          <w:tcPr>
            <w:tcW w:w="973" w:type="dxa"/>
            <w:tcBorders>
              <w:top w:val="nil"/>
              <w:left w:val="nil"/>
              <w:bottom w:val="single" w:sz="4" w:space="0" w:color="auto"/>
              <w:right w:val="single" w:sz="4" w:space="0" w:color="auto"/>
            </w:tcBorders>
            <w:shd w:val="clear" w:color="000000" w:fill="FFFFFF"/>
            <w:noWrap/>
            <w:vAlign w:val="center"/>
            <w:hideMark/>
          </w:tcPr>
          <w:p w14:paraId="5027882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179FAB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51,20</w:t>
            </w:r>
          </w:p>
        </w:tc>
        <w:tc>
          <w:tcPr>
            <w:tcW w:w="1125" w:type="dxa"/>
            <w:tcBorders>
              <w:top w:val="nil"/>
              <w:left w:val="nil"/>
              <w:bottom w:val="single" w:sz="4" w:space="0" w:color="auto"/>
              <w:right w:val="single" w:sz="4" w:space="0" w:color="auto"/>
            </w:tcBorders>
            <w:shd w:val="clear" w:color="000000" w:fill="FFFFFF"/>
            <w:noWrap/>
            <w:vAlign w:val="center"/>
            <w:hideMark/>
          </w:tcPr>
          <w:p w14:paraId="638C74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0CCA033"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2F0DA80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468</w:t>
            </w:r>
          </w:p>
        </w:tc>
        <w:tc>
          <w:tcPr>
            <w:tcW w:w="1581" w:type="dxa"/>
            <w:tcBorders>
              <w:top w:val="nil"/>
              <w:left w:val="nil"/>
              <w:bottom w:val="single" w:sz="4" w:space="0" w:color="auto"/>
              <w:right w:val="single" w:sz="4" w:space="0" w:color="auto"/>
            </w:tcBorders>
            <w:shd w:val="clear" w:color="000000" w:fill="FFFFFF"/>
            <w:noWrap/>
            <w:vAlign w:val="center"/>
            <w:hideMark/>
          </w:tcPr>
          <w:p w14:paraId="39F3A50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53.181,74</w:t>
            </w:r>
          </w:p>
        </w:tc>
        <w:tc>
          <w:tcPr>
            <w:tcW w:w="1522" w:type="dxa"/>
            <w:tcBorders>
              <w:top w:val="nil"/>
              <w:left w:val="nil"/>
              <w:bottom w:val="single" w:sz="4" w:space="0" w:color="auto"/>
              <w:right w:val="single" w:sz="4" w:space="0" w:color="auto"/>
            </w:tcBorders>
            <w:shd w:val="clear" w:color="000000" w:fill="FFFFFF"/>
            <w:noWrap/>
            <w:vAlign w:val="center"/>
            <w:hideMark/>
          </w:tcPr>
          <w:p w14:paraId="530ED5E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12,00</w:t>
            </w:r>
          </w:p>
        </w:tc>
        <w:tc>
          <w:tcPr>
            <w:tcW w:w="973" w:type="dxa"/>
            <w:tcBorders>
              <w:top w:val="nil"/>
              <w:left w:val="nil"/>
              <w:bottom w:val="single" w:sz="4" w:space="0" w:color="auto"/>
              <w:right w:val="single" w:sz="4" w:space="0" w:color="auto"/>
            </w:tcBorders>
            <w:shd w:val="clear" w:color="000000" w:fill="FFFFFF"/>
            <w:noWrap/>
            <w:vAlign w:val="center"/>
            <w:hideMark/>
          </w:tcPr>
          <w:p w14:paraId="7B301ED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001CBD0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99,98</w:t>
            </w:r>
          </w:p>
        </w:tc>
        <w:tc>
          <w:tcPr>
            <w:tcW w:w="1125" w:type="dxa"/>
            <w:tcBorders>
              <w:top w:val="nil"/>
              <w:left w:val="nil"/>
              <w:bottom w:val="single" w:sz="4" w:space="0" w:color="auto"/>
              <w:right w:val="single" w:sz="4" w:space="0" w:color="auto"/>
            </w:tcBorders>
            <w:shd w:val="clear" w:color="000000" w:fill="FFFFFF"/>
            <w:noWrap/>
            <w:vAlign w:val="center"/>
            <w:hideMark/>
          </w:tcPr>
          <w:p w14:paraId="698BBC8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21E7C3A0"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352A90E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469</w:t>
            </w:r>
          </w:p>
        </w:tc>
        <w:tc>
          <w:tcPr>
            <w:tcW w:w="1581" w:type="dxa"/>
            <w:tcBorders>
              <w:top w:val="nil"/>
              <w:left w:val="nil"/>
              <w:bottom w:val="single" w:sz="4" w:space="0" w:color="auto"/>
              <w:right w:val="single" w:sz="4" w:space="0" w:color="auto"/>
            </w:tcBorders>
            <w:shd w:val="clear" w:color="000000" w:fill="FFFFFF"/>
            <w:noWrap/>
            <w:vAlign w:val="center"/>
            <w:hideMark/>
          </w:tcPr>
          <w:p w14:paraId="3D04E51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199.730,03</w:t>
            </w:r>
          </w:p>
        </w:tc>
        <w:tc>
          <w:tcPr>
            <w:tcW w:w="1522" w:type="dxa"/>
            <w:tcBorders>
              <w:top w:val="nil"/>
              <w:left w:val="nil"/>
              <w:bottom w:val="single" w:sz="4" w:space="0" w:color="auto"/>
              <w:right w:val="single" w:sz="4" w:space="0" w:color="auto"/>
            </w:tcBorders>
            <w:shd w:val="clear" w:color="000000" w:fill="FFFFFF"/>
            <w:noWrap/>
            <w:vAlign w:val="center"/>
            <w:hideMark/>
          </w:tcPr>
          <w:p w14:paraId="7FD5D65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8,00</w:t>
            </w:r>
          </w:p>
        </w:tc>
        <w:tc>
          <w:tcPr>
            <w:tcW w:w="973" w:type="dxa"/>
            <w:tcBorders>
              <w:top w:val="nil"/>
              <w:left w:val="nil"/>
              <w:bottom w:val="single" w:sz="4" w:space="0" w:color="auto"/>
              <w:right w:val="single" w:sz="4" w:space="0" w:color="auto"/>
            </w:tcBorders>
            <w:shd w:val="clear" w:color="000000" w:fill="FFFFFF"/>
            <w:noWrap/>
            <w:vAlign w:val="center"/>
            <w:hideMark/>
          </w:tcPr>
          <w:p w14:paraId="498D5EF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4F7FFD0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5" w:type="dxa"/>
            <w:tcBorders>
              <w:top w:val="nil"/>
              <w:left w:val="nil"/>
              <w:bottom w:val="single" w:sz="4" w:space="0" w:color="auto"/>
              <w:right w:val="single" w:sz="4" w:space="0" w:color="auto"/>
            </w:tcBorders>
            <w:shd w:val="clear" w:color="000000" w:fill="FFFFFF"/>
            <w:noWrap/>
            <w:vAlign w:val="center"/>
            <w:hideMark/>
          </w:tcPr>
          <w:p w14:paraId="7C1A8ED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1B97C149"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5348970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470</w:t>
            </w:r>
          </w:p>
        </w:tc>
        <w:tc>
          <w:tcPr>
            <w:tcW w:w="1581" w:type="dxa"/>
            <w:tcBorders>
              <w:top w:val="nil"/>
              <w:left w:val="nil"/>
              <w:bottom w:val="single" w:sz="4" w:space="0" w:color="auto"/>
              <w:right w:val="single" w:sz="4" w:space="0" w:color="auto"/>
            </w:tcBorders>
            <w:shd w:val="clear" w:color="000000" w:fill="FFFFFF"/>
            <w:noWrap/>
            <w:vAlign w:val="center"/>
            <w:hideMark/>
          </w:tcPr>
          <w:p w14:paraId="22D6F9C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7.532.191,39</w:t>
            </w:r>
          </w:p>
        </w:tc>
        <w:tc>
          <w:tcPr>
            <w:tcW w:w="1522" w:type="dxa"/>
            <w:tcBorders>
              <w:top w:val="nil"/>
              <w:left w:val="nil"/>
              <w:bottom w:val="single" w:sz="4" w:space="0" w:color="auto"/>
              <w:right w:val="single" w:sz="4" w:space="0" w:color="auto"/>
            </w:tcBorders>
            <w:shd w:val="clear" w:color="000000" w:fill="FFFFFF"/>
            <w:noWrap/>
            <w:vAlign w:val="center"/>
            <w:hideMark/>
          </w:tcPr>
          <w:p w14:paraId="2C3A1CE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289.699,66</w:t>
            </w:r>
          </w:p>
        </w:tc>
        <w:tc>
          <w:tcPr>
            <w:tcW w:w="973" w:type="dxa"/>
            <w:tcBorders>
              <w:top w:val="nil"/>
              <w:left w:val="nil"/>
              <w:bottom w:val="single" w:sz="4" w:space="0" w:color="auto"/>
              <w:right w:val="single" w:sz="4" w:space="0" w:color="auto"/>
            </w:tcBorders>
            <w:shd w:val="clear" w:color="000000" w:fill="FFFFFF"/>
            <w:noWrap/>
            <w:vAlign w:val="center"/>
            <w:hideMark/>
          </w:tcPr>
          <w:p w14:paraId="4C73347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7AB17B3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96,15</w:t>
            </w:r>
          </w:p>
        </w:tc>
        <w:tc>
          <w:tcPr>
            <w:tcW w:w="1125" w:type="dxa"/>
            <w:tcBorders>
              <w:top w:val="nil"/>
              <w:left w:val="nil"/>
              <w:bottom w:val="single" w:sz="4" w:space="0" w:color="auto"/>
              <w:right w:val="single" w:sz="4" w:space="0" w:color="auto"/>
            </w:tcBorders>
            <w:shd w:val="clear" w:color="000000" w:fill="FFFFFF"/>
            <w:noWrap/>
            <w:vAlign w:val="center"/>
            <w:hideMark/>
          </w:tcPr>
          <w:p w14:paraId="05D01A9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00D74D4A"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27DEBF2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475</w:t>
            </w:r>
          </w:p>
        </w:tc>
        <w:tc>
          <w:tcPr>
            <w:tcW w:w="1581" w:type="dxa"/>
            <w:tcBorders>
              <w:top w:val="nil"/>
              <w:left w:val="nil"/>
              <w:bottom w:val="single" w:sz="4" w:space="0" w:color="auto"/>
              <w:right w:val="single" w:sz="4" w:space="0" w:color="auto"/>
            </w:tcBorders>
            <w:shd w:val="clear" w:color="000000" w:fill="FFFFFF"/>
            <w:noWrap/>
            <w:vAlign w:val="center"/>
            <w:hideMark/>
          </w:tcPr>
          <w:p w14:paraId="2756EB8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12.897.883,40</w:t>
            </w:r>
          </w:p>
        </w:tc>
        <w:tc>
          <w:tcPr>
            <w:tcW w:w="1522" w:type="dxa"/>
            <w:tcBorders>
              <w:top w:val="nil"/>
              <w:left w:val="nil"/>
              <w:bottom w:val="single" w:sz="4" w:space="0" w:color="auto"/>
              <w:right w:val="single" w:sz="4" w:space="0" w:color="auto"/>
            </w:tcBorders>
            <w:shd w:val="clear" w:color="000000" w:fill="FFFFFF"/>
            <w:noWrap/>
            <w:vAlign w:val="center"/>
            <w:hideMark/>
          </w:tcPr>
          <w:p w14:paraId="4C9700D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3" w:type="dxa"/>
            <w:tcBorders>
              <w:top w:val="nil"/>
              <w:left w:val="nil"/>
              <w:bottom w:val="single" w:sz="4" w:space="0" w:color="auto"/>
              <w:right w:val="single" w:sz="4" w:space="0" w:color="auto"/>
            </w:tcBorders>
            <w:shd w:val="clear" w:color="000000" w:fill="FFFFFF"/>
            <w:noWrap/>
            <w:vAlign w:val="center"/>
            <w:hideMark/>
          </w:tcPr>
          <w:p w14:paraId="5807638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2E816FA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5" w:type="dxa"/>
            <w:tcBorders>
              <w:top w:val="nil"/>
              <w:left w:val="nil"/>
              <w:bottom w:val="single" w:sz="4" w:space="0" w:color="auto"/>
              <w:right w:val="single" w:sz="4" w:space="0" w:color="auto"/>
            </w:tcBorders>
            <w:shd w:val="clear" w:color="000000" w:fill="FFFFFF"/>
            <w:noWrap/>
            <w:vAlign w:val="center"/>
            <w:hideMark/>
          </w:tcPr>
          <w:p w14:paraId="36A55C6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41DAAE41"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5EBCD03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476</w:t>
            </w:r>
          </w:p>
        </w:tc>
        <w:tc>
          <w:tcPr>
            <w:tcW w:w="1581" w:type="dxa"/>
            <w:tcBorders>
              <w:top w:val="nil"/>
              <w:left w:val="nil"/>
              <w:bottom w:val="single" w:sz="4" w:space="0" w:color="auto"/>
              <w:right w:val="single" w:sz="4" w:space="0" w:color="auto"/>
            </w:tcBorders>
            <w:shd w:val="clear" w:color="000000" w:fill="FFFFFF"/>
            <w:noWrap/>
            <w:vAlign w:val="center"/>
            <w:hideMark/>
          </w:tcPr>
          <w:p w14:paraId="0C8DDBD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2.878.569,00</w:t>
            </w:r>
          </w:p>
        </w:tc>
        <w:tc>
          <w:tcPr>
            <w:tcW w:w="1522" w:type="dxa"/>
            <w:tcBorders>
              <w:top w:val="nil"/>
              <w:left w:val="nil"/>
              <w:bottom w:val="single" w:sz="4" w:space="0" w:color="auto"/>
              <w:right w:val="single" w:sz="4" w:space="0" w:color="auto"/>
            </w:tcBorders>
            <w:shd w:val="clear" w:color="000000" w:fill="FFFFFF"/>
            <w:noWrap/>
            <w:vAlign w:val="center"/>
            <w:hideMark/>
          </w:tcPr>
          <w:p w14:paraId="39380CC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3" w:type="dxa"/>
            <w:tcBorders>
              <w:top w:val="nil"/>
              <w:left w:val="nil"/>
              <w:bottom w:val="single" w:sz="4" w:space="0" w:color="auto"/>
              <w:right w:val="single" w:sz="4" w:space="0" w:color="auto"/>
            </w:tcBorders>
            <w:shd w:val="clear" w:color="000000" w:fill="FFFFFF"/>
            <w:noWrap/>
            <w:vAlign w:val="center"/>
            <w:hideMark/>
          </w:tcPr>
          <w:p w14:paraId="364E9B7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91" w:type="dxa"/>
            <w:tcBorders>
              <w:top w:val="nil"/>
              <w:left w:val="nil"/>
              <w:bottom w:val="single" w:sz="4" w:space="0" w:color="auto"/>
              <w:right w:val="single" w:sz="4" w:space="0" w:color="auto"/>
            </w:tcBorders>
            <w:shd w:val="clear" w:color="000000" w:fill="FFFFFF"/>
            <w:noWrap/>
            <w:vAlign w:val="center"/>
            <w:hideMark/>
          </w:tcPr>
          <w:p w14:paraId="00AFCD8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5" w:type="dxa"/>
            <w:tcBorders>
              <w:top w:val="nil"/>
              <w:left w:val="nil"/>
              <w:bottom w:val="single" w:sz="4" w:space="0" w:color="auto"/>
              <w:right w:val="single" w:sz="4" w:space="0" w:color="auto"/>
            </w:tcBorders>
            <w:shd w:val="clear" w:color="000000" w:fill="FFFFFF"/>
            <w:noWrap/>
            <w:vAlign w:val="center"/>
            <w:hideMark/>
          </w:tcPr>
          <w:p w14:paraId="736D441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58DD0A66"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7D5BCEF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479</w:t>
            </w:r>
          </w:p>
        </w:tc>
        <w:tc>
          <w:tcPr>
            <w:tcW w:w="1581" w:type="dxa"/>
            <w:tcBorders>
              <w:top w:val="nil"/>
              <w:left w:val="nil"/>
              <w:bottom w:val="single" w:sz="4" w:space="0" w:color="auto"/>
              <w:right w:val="single" w:sz="4" w:space="0" w:color="auto"/>
            </w:tcBorders>
            <w:shd w:val="clear" w:color="000000" w:fill="FFFFFF"/>
            <w:noWrap/>
            <w:vAlign w:val="center"/>
            <w:hideMark/>
          </w:tcPr>
          <w:p w14:paraId="461F2A3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121.298,34</w:t>
            </w:r>
          </w:p>
        </w:tc>
        <w:tc>
          <w:tcPr>
            <w:tcW w:w="1522" w:type="dxa"/>
            <w:tcBorders>
              <w:top w:val="nil"/>
              <w:left w:val="nil"/>
              <w:bottom w:val="single" w:sz="4" w:space="0" w:color="auto"/>
              <w:right w:val="single" w:sz="4" w:space="0" w:color="auto"/>
            </w:tcBorders>
            <w:shd w:val="clear" w:color="000000" w:fill="FFFFFF"/>
            <w:noWrap/>
            <w:vAlign w:val="center"/>
            <w:hideMark/>
          </w:tcPr>
          <w:p w14:paraId="34A3C6E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7.656,00</w:t>
            </w:r>
          </w:p>
        </w:tc>
        <w:tc>
          <w:tcPr>
            <w:tcW w:w="973" w:type="dxa"/>
            <w:tcBorders>
              <w:top w:val="nil"/>
              <w:left w:val="nil"/>
              <w:bottom w:val="single" w:sz="4" w:space="0" w:color="auto"/>
              <w:right w:val="single" w:sz="4" w:space="0" w:color="auto"/>
            </w:tcBorders>
            <w:shd w:val="clear" w:color="000000" w:fill="FFFFFF"/>
            <w:noWrap/>
            <w:vAlign w:val="center"/>
            <w:hideMark/>
          </w:tcPr>
          <w:p w14:paraId="0A12E2A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91" w:type="dxa"/>
            <w:tcBorders>
              <w:top w:val="nil"/>
              <w:left w:val="nil"/>
              <w:bottom w:val="single" w:sz="4" w:space="0" w:color="auto"/>
              <w:right w:val="single" w:sz="4" w:space="0" w:color="auto"/>
            </w:tcBorders>
            <w:shd w:val="clear" w:color="000000" w:fill="FFFFFF"/>
            <w:noWrap/>
            <w:vAlign w:val="center"/>
            <w:hideMark/>
          </w:tcPr>
          <w:p w14:paraId="118E5D9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93,69</w:t>
            </w:r>
          </w:p>
        </w:tc>
        <w:tc>
          <w:tcPr>
            <w:tcW w:w="1125" w:type="dxa"/>
            <w:tcBorders>
              <w:top w:val="nil"/>
              <w:left w:val="nil"/>
              <w:bottom w:val="single" w:sz="4" w:space="0" w:color="auto"/>
              <w:right w:val="single" w:sz="4" w:space="0" w:color="auto"/>
            </w:tcBorders>
            <w:shd w:val="clear" w:color="000000" w:fill="FFFFFF"/>
            <w:noWrap/>
            <w:vAlign w:val="center"/>
            <w:hideMark/>
          </w:tcPr>
          <w:p w14:paraId="1DA833E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13,69</w:t>
            </w:r>
          </w:p>
        </w:tc>
      </w:tr>
      <w:tr w:rsidR="00F56356" w:rsidRPr="00F56356" w14:paraId="5152C2A5"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32E4DC3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480</w:t>
            </w:r>
          </w:p>
        </w:tc>
        <w:tc>
          <w:tcPr>
            <w:tcW w:w="1581" w:type="dxa"/>
            <w:tcBorders>
              <w:top w:val="nil"/>
              <w:left w:val="nil"/>
              <w:bottom w:val="single" w:sz="4" w:space="0" w:color="auto"/>
              <w:right w:val="single" w:sz="4" w:space="0" w:color="auto"/>
            </w:tcBorders>
            <w:shd w:val="clear" w:color="000000" w:fill="FFFFFF"/>
            <w:noWrap/>
            <w:vAlign w:val="center"/>
            <w:hideMark/>
          </w:tcPr>
          <w:p w14:paraId="10E04EA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522" w:type="dxa"/>
            <w:tcBorders>
              <w:top w:val="nil"/>
              <w:left w:val="nil"/>
              <w:bottom w:val="single" w:sz="4" w:space="0" w:color="auto"/>
              <w:right w:val="single" w:sz="4" w:space="0" w:color="auto"/>
            </w:tcBorders>
            <w:shd w:val="clear" w:color="000000" w:fill="FFFFFF"/>
            <w:noWrap/>
            <w:vAlign w:val="center"/>
            <w:hideMark/>
          </w:tcPr>
          <w:p w14:paraId="0835D9A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73" w:type="dxa"/>
            <w:tcBorders>
              <w:top w:val="nil"/>
              <w:left w:val="nil"/>
              <w:bottom w:val="single" w:sz="4" w:space="0" w:color="auto"/>
              <w:right w:val="single" w:sz="4" w:space="0" w:color="auto"/>
            </w:tcBorders>
            <w:shd w:val="clear" w:color="000000" w:fill="FFFFFF"/>
            <w:noWrap/>
            <w:vAlign w:val="center"/>
            <w:hideMark/>
          </w:tcPr>
          <w:p w14:paraId="14EC6B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91" w:type="dxa"/>
            <w:tcBorders>
              <w:top w:val="nil"/>
              <w:left w:val="nil"/>
              <w:bottom w:val="single" w:sz="4" w:space="0" w:color="auto"/>
              <w:right w:val="single" w:sz="4" w:space="0" w:color="auto"/>
            </w:tcBorders>
            <w:shd w:val="clear" w:color="000000" w:fill="FFFFFF"/>
            <w:noWrap/>
            <w:vAlign w:val="center"/>
            <w:hideMark/>
          </w:tcPr>
          <w:p w14:paraId="4CD6D46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25" w:type="dxa"/>
            <w:tcBorders>
              <w:top w:val="nil"/>
              <w:left w:val="nil"/>
              <w:bottom w:val="single" w:sz="4" w:space="0" w:color="auto"/>
              <w:right w:val="single" w:sz="4" w:space="0" w:color="auto"/>
            </w:tcBorders>
            <w:shd w:val="clear" w:color="000000" w:fill="FFFFFF"/>
            <w:noWrap/>
            <w:vAlign w:val="center"/>
            <w:hideMark/>
          </w:tcPr>
          <w:p w14:paraId="689FB0E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r>
      <w:tr w:rsidR="00F56356" w:rsidRPr="00F56356" w14:paraId="1D3F98C9"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6F02124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483</w:t>
            </w:r>
          </w:p>
        </w:tc>
        <w:tc>
          <w:tcPr>
            <w:tcW w:w="1581" w:type="dxa"/>
            <w:tcBorders>
              <w:top w:val="nil"/>
              <w:left w:val="nil"/>
              <w:bottom w:val="single" w:sz="4" w:space="0" w:color="auto"/>
              <w:right w:val="single" w:sz="4" w:space="0" w:color="auto"/>
            </w:tcBorders>
            <w:shd w:val="clear" w:color="000000" w:fill="FFFFFF"/>
            <w:noWrap/>
            <w:vAlign w:val="center"/>
            <w:hideMark/>
          </w:tcPr>
          <w:p w14:paraId="3D83FB9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300.000,00</w:t>
            </w:r>
          </w:p>
        </w:tc>
        <w:tc>
          <w:tcPr>
            <w:tcW w:w="1522" w:type="dxa"/>
            <w:tcBorders>
              <w:top w:val="nil"/>
              <w:left w:val="nil"/>
              <w:bottom w:val="single" w:sz="4" w:space="0" w:color="auto"/>
              <w:right w:val="single" w:sz="4" w:space="0" w:color="auto"/>
            </w:tcBorders>
            <w:shd w:val="clear" w:color="000000" w:fill="FFFFFF"/>
            <w:noWrap/>
            <w:vAlign w:val="center"/>
            <w:hideMark/>
          </w:tcPr>
          <w:p w14:paraId="0B56D88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300.000,00</w:t>
            </w:r>
          </w:p>
        </w:tc>
        <w:tc>
          <w:tcPr>
            <w:tcW w:w="973" w:type="dxa"/>
            <w:tcBorders>
              <w:top w:val="nil"/>
              <w:left w:val="nil"/>
              <w:bottom w:val="single" w:sz="4" w:space="0" w:color="auto"/>
              <w:right w:val="single" w:sz="4" w:space="0" w:color="auto"/>
            </w:tcBorders>
            <w:shd w:val="clear" w:color="000000" w:fill="FFFFFF"/>
            <w:noWrap/>
            <w:vAlign w:val="center"/>
            <w:hideMark/>
          </w:tcPr>
          <w:p w14:paraId="1DBC4C6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1" w:type="dxa"/>
            <w:tcBorders>
              <w:top w:val="nil"/>
              <w:left w:val="nil"/>
              <w:bottom w:val="single" w:sz="4" w:space="0" w:color="auto"/>
              <w:right w:val="single" w:sz="4" w:space="0" w:color="auto"/>
            </w:tcBorders>
            <w:shd w:val="clear" w:color="000000" w:fill="FFFFFF"/>
            <w:noWrap/>
            <w:vAlign w:val="center"/>
            <w:hideMark/>
          </w:tcPr>
          <w:p w14:paraId="5BCC54E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25" w:type="dxa"/>
            <w:tcBorders>
              <w:top w:val="nil"/>
              <w:left w:val="nil"/>
              <w:bottom w:val="single" w:sz="4" w:space="0" w:color="auto"/>
              <w:right w:val="single" w:sz="4" w:space="0" w:color="auto"/>
            </w:tcBorders>
            <w:shd w:val="clear" w:color="000000" w:fill="FFFFFF"/>
            <w:noWrap/>
            <w:vAlign w:val="center"/>
            <w:hideMark/>
          </w:tcPr>
          <w:p w14:paraId="48E1E5F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436E9244" w14:textId="77777777" w:rsidTr="00F56356">
        <w:trPr>
          <w:trHeight w:val="240"/>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2BD5140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563</w:t>
            </w:r>
          </w:p>
        </w:tc>
        <w:tc>
          <w:tcPr>
            <w:tcW w:w="1581" w:type="dxa"/>
            <w:tcBorders>
              <w:top w:val="nil"/>
              <w:left w:val="nil"/>
              <w:bottom w:val="single" w:sz="4" w:space="0" w:color="auto"/>
              <w:right w:val="single" w:sz="4" w:space="0" w:color="auto"/>
            </w:tcBorders>
            <w:shd w:val="clear" w:color="000000" w:fill="FFFFFF"/>
            <w:noWrap/>
            <w:vAlign w:val="center"/>
            <w:hideMark/>
          </w:tcPr>
          <w:p w14:paraId="286D8B6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79.487,50</w:t>
            </w:r>
          </w:p>
        </w:tc>
        <w:tc>
          <w:tcPr>
            <w:tcW w:w="1522" w:type="dxa"/>
            <w:tcBorders>
              <w:top w:val="nil"/>
              <w:left w:val="nil"/>
              <w:bottom w:val="single" w:sz="4" w:space="0" w:color="auto"/>
              <w:right w:val="single" w:sz="4" w:space="0" w:color="auto"/>
            </w:tcBorders>
            <w:shd w:val="clear" w:color="000000" w:fill="FFFFFF"/>
            <w:noWrap/>
            <w:vAlign w:val="center"/>
            <w:hideMark/>
          </w:tcPr>
          <w:p w14:paraId="0D8915B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3" w:type="dxa"/>
            <w:tcBorders>
              <w:top w:val="nil"/>
              <w:left w:val="nil"/>
              <w:bottom w:val="single" w:sz="4" w:space="0" w:color="auto"/>
              <w:right w:val="single" w:sz="4" w:space="0" w:color="auto"/>
            </w:tcBorders>
            <w:shd w:val="clear" w:color="000000" w:fill="FFFFFF"/>
            <w:noWrap/>
            <w:vAlign w:val="center"/>
            <w:hideMark/>
          </w:tcPr>
          <w:p w14:paraId="5F1271D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91" w:type="dxa"/>
            <w:tcBorders>
              <w:top w:val="nil"/>
              <w:left w:val="nil"/>
              <w:bottom w:val="single" w:sz="4" w:space="0" w:color="auto"/>
              <w:right w:val="single" w:sz="4" w:space="0" w:color="auto"/>
            </w:tcBorders>
            <w:shd w:val="clear" w:color="000000" w:fill="FFFFFF"/>
            <w:noWrap/>
            <w:vAlign w:val="center"/>
            <w:hideMark/>
          </w:tcPr>
          <w:p w14:paraId="61A5D13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5" w:type="dxa"/>
            <w:tcBorders>
              <w:top w:val="nil"/>
              <w:left w:val="nil"/>
              <w:bottom w:val="single" w:sz="4" w:space="0" w:color="auto"/>
              <w:right w:val="single" w:sz="4" w:space="0" w:color="auto"/>
            </w:tcBorders>
            <w:shd w:val="clear" w:color="000000" w:fill="FFFFFF"/>
            <w:noWrap/>
            <w:vAlign w:val="center"/>
            <w:hideMark/>
          </w:tcPr>
          <w:p w14:paraId="315921B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r>
      <w:tr w:rsidR="00F56356" w:rsidRPr="00F56356" w14:paraId="2925D7D7" w14:textId="77777777" w:rsidTr="00F56356">
        <w:trPr>
          <w:trHeight w:val="315"/>
          <w:jc w:val="center"/>
        </w:trPr>
        <w:tc>
          <w:tcPr>
            <w:tcW w:w="468" w:type="dxa"/>
            <w:tcBorders>
              <w:top w:val="nil"/>
              <w:left w:val="single" w:sz="4" w:space="0" w:color="auto"/>
              <w:bottom w:val="single" w:sz="4" w:space="0" w:color="auto"/>
              <w:right w:val="single" w:sz="4" w:space="0" w:color="auto"/>
            </w:tcBorders>
            <w:shd w:val="clear" w:color="000000" w:fill="FFFFFF"/>
            <w:noWrap/>
            <w:vAlign w:val="center"/>
            <w:hideMark/>
          </w:tcPr>
          <w:p w14:paraId="03EE041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81" w:type="dxa"/>
            <w:tcBorders>
              <w:top w:val="nil"/>
              <w:left w:val="nil"/>
              <w:bottom w:val="single" w:sz="4" w:space="0" w:color="auto"/>
              <w:right w:val="single" w:sz="4" w:space="0" w:color="auto"/>
            </w:tcBorders>
            <w:shd w:val="clear" w:color="000000" w:fill="FFFFFF"/>
            <w:noWrap/>
            <w:vAlign w:val="center"/>
            <w:hideMark/>
          </w:tcPr>
          <w:p w14:paraId="5D1E869E"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40.048.753,30</w:t>
            </w:r>
          </w:p>
        </w:tc>
        <w:tc>
          <w:tcPr>
            <w:tcW w:w="1522" w:type="dxa"/>
            <w:tcBorders>
              <w:top w:val="nil"/>
              <w:left w:val="nil"/>
              <w:bottom w:val="single" w:sz="4" w:space="0" w:color="auto"/>
              <w:right w:val="single" w:sz="4" w:space="0" w:color="auto"/>
            </w:tcBorders>
            <w:shd w:val="clear" w:color="000000" w:fill="FFFFFF"/>
            <w:noWrap/>
            <w:vAlign w:val="center"/>
            <w:hideMark/>
          </w:tcPr>
          <w:p w14:paraId="771F4D10"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7.410.798,87</w:t>
            </w:r>
          </w:p>
        </w:tc>
        <w:tc>
          <w:tcPr>
            <w:tcW w:w="973" w:type="dxa"/>
            <w:tcBorders>
              <w:top w:val="nil"/>
              <w:left w:val="nil"/>
              <w:bottom w:val="nil"/>
              <w:right w:val="nil"/>
            </w:tcBorders>
            <w:shd w:val="clear" w:color="auto" w:fill="auto"/>
            <w:noWrap/>
            <w:vAlign w:val="center"/>
            <w:hideMark/>
          </w:tcPr>
          <w:p w14:paraId="06DC4DB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91" w:type="dxa"/>
            <w:tcBorders>
              <w:top w:val="nil"/>
              <w:left w:val="nil"/>
              <w:bottom w:val="nil"/>
              <w:right w:val="nil"/>
            </w:tcBorders>
            <w:shd w:val="clear" w:color="auto" w:fill="auto"/>
            <w:noWrap/>
            <w:vAlign w:val="center"/>
            <w:hideMark/>
          </w:tcPr>
          <w:p w14:paraId="4C9DEC0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25" w:type="dxa"/>
            <w:tcBorders>
              <w:top w:val="nil"/>
              <w:left w:val="nil"/>
              <w:bottom w:val="nil"/>
              <w:right w:val="nil"/>
            </w:tcBorders>
            <w:shd w:val="clear" w:color="auto" w:fill="auto"/>
            <w:noWrap/>
            <w:vAlign w:val="center"/>
            <w:hideMark/>
          </w:tcPr>
          <w:p w14:paraId="61738E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2BD626BA" w14:textId="6AED2BA6" w:rsidR="00F56356" w:rsidRDefault="00F56356" w:rsidP="00F56356">
      <w:pPr>
        <w:tabs>
          <w:tab w:val="left" w:pos="4035"/>
        </w:tabs>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ab/>
      </w:r>
    </w:p>
    <w:p w14:paraId="27B07F36" w14:textId="77777777" w:rsidR="0043213C" w:rsidRPr="00F56356" w:rsidRDefault="0043213C" w:rsidP="00F56356">
      <w:pPr>
        <w:tabs>
          <w:tab w:val="left" w:pos="4035"/>
        </w:tabs>
        <w:spacing w:after="0" w:line="360" w:lineRule="auto"/>
        <w:rPr>
          <w:rFonts w:ascii="Times New Roman" w:eastAsia="Times New Roman" w:hAnsi="Times New Roman" w:cs="Times New Roman"/>
          <w:sz w:val="24"/>
          <w:szCs w:val="24"/>
          <w:lang w:eastAsia="it-IT"/>
        </w:rPr>
      </w:pPr>
    </w:p>
    <w:p w14:paraId="51987C52" w14:textId="77777777" w:rsidR="00F56356" w:rsidRPr="00F56356" w:rsidRDefault="00F56356" w:rsidP="00F56356">
      <w:pPr>
        <w:tabs>
          <w:tab w:val="left" w:pos="4035"/>
        </w:tabs>
        <w:spacing w:after="0" w:line="360" w:lineRule="auto"/>
        <w:rPr>
          <w:rFonts w:ascii="Times New Roman" w:eastAsia="Times New Roman" w:hAnsi="Times New Roman" w:cs="Times New Roman"/>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56312B7F"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62BF4"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lastRenderedPageBreak/>
              <w:t>SPESE IN CONTO CAPITALE</w:t>
            </w:r>
          </w:p>
        </w:tc>
      </w:tr>
      <w:tr w:rsidR="00F56356" w:rsidRPr="00F56356" w14:paraId="3DACB766"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5E8AA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40F997CF"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4241BF0F"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6F4B7AA3"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31209F6A"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2604AB62"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1C2F9496"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68640AFE"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61069D92"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55D7C813"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5223592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FDEEC90"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4B90625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938</w:t>
            </w:r>
          </w:p>
        </w:tc>
        <w:tc>
          <w:tcPr>
            <w:tcW w:w="1574" w:type="dxa"/>
            <w:tcBorders>
              <w:top w:val="nil"/>
              <w:left w:val="nil"/>
              <w:bottom w:val="single" w:sz="4" w:space="0" w:color="auto"/>
              <w:right w:val="single" w:sz="4" w:space="0" w:color="auto"/>
            </w:tcBorders>
            <w:shd w:val="clear" w:color="auto" w:fill="auto"/>
            <w:noWrap/>
            <w:vAlign w:val="center"/>
            <w:hideMark/>
          </w:tcPr>
          <w:p w14:paraId="7D19DD0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64422B1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96" w:type="dxa"/>
            <w:tcBorders>
              <w:top w:val="nil"/>
              <w:left w:val="nil"/>
              <w:bottom w:val="single" w:sz="4" w:space="0" w:color="auto"/>
              <w:right w:val="single" w:sz="4" w:space="0" w:color="auto"/>
            </w:tcBorders>
            <w:shd w:val="clear" w:color="auto" w:fill="auto"/>
            <w:noWrap/>
            <w:vAlign w:val="center"/>
            <w:hideMark/>
          </w:tcPr>
          <w:p w14:paraId="597B020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single" w:sz="4" w:space="0" w:color="auto"/>
            </w:tcBorders>
            <w:shd w:val="clear" w:color="auto" w:fill="auto"/>
            <w:noWrap/>
            <w:vAlign w:val="center"/>
            <w:hideMark/>
          </w:tcPr>
          <w:p w14:paraId="5F09414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2" w:type="dxa"/>
            <w:tcBorders>
              <w:top w:val="nil"/>
              <w:left w:val="nil"/>
              <w:bottom w:val="single" w:sz="4" w:space="0" w:color="auto"/>
              <w:right w:val="single" w:sz="4" w:space="0" w:color="auto"/>
            </w:tcBorders>
            <w:shd w:val="clear" w:color="auto" w:fill="auto"/>
            <w:noWrap/>
            <w:vAlign w:val="center"/>
            <w:hideMark/>
          </w:tcPr>
          <w:p w14:paraId="011AE56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506629C5"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26265C35"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000000" w:fill="FFFFFF"/>
            <w:noWrap/>
            <w:vAlign w:val="center"/>
            <w:hideMark/>
          </w:tcPr>
          <w:p w14:paraId="28AC211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2,00</w:t>
            </w:r>
          </w:p>
        </w:tc>
        <w:tc>
          <w:tcPr>
            <w:tcW w:w="1440" w:type="dxa"/>
            <w:tcBorders>
              <w:top w:val="nil"/>
              <w:left w:val="nil"/>
              <w:bottom w:val="single" w:sz="4" w:space="0" w:color="auto"/>
              <w:right w:val="single" w:sz="4" w:space="0" w:color="auto"/>
            </w:tcBorders>
            <w:shd w:val="clear" w:color="000000" w:fill="FFFFFF"/>
            <w:noWrap/>
            <w:vAlign w:val="center"/>
            <w:hideMark/>
          </w:tcPr>
          <w:p w14:paraId="6E7D4B69"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2,00</w:t>
            </w:r>
          </w:p>
        </w:tc>
        <w:tc>
          <w:tcPr>
            <w:tcW w:w="996" w:type="dxa"/>
            <w:tcBorders>
              <w:top w:val="nil"/>
              <w:left w:val="nil"/>
              <w:bottom w:val="nil"/>
              <w:right w:val="nil"/>
            </w:tcBorders>
            <w:shd w:val="clear" w:color="auto" w:fill="auto"/>
            <w:noWrap/>
            <w:vAlign w:val="center"/>
            <w:hideMark/>
          </w:tcPr>
          <w:p w14:paraId="57C2EAD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6BB8F3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31637AA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A5D4C1F"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p>
    <w:p w14:paraId="683E2E21" w14:textId="77777777" w:rsidR="00F56356" w:rsidRPr="00F56356" w:rsidRDefault="00F56356" w:rsidP="00F56356">
      <w:pPr>
        <w:spacing w:after="0" w:line="360" w:lineRule="auto"/>
        <w:jc w:val="both"/>
        <w:rPr>
          <w:rFonts w:ascii="Times New Roman" w:eastAsiaTheme="minorEastAsia" w:hAnsi="Times New Roman" w:cs="Times New Roman"/>
          <w:b/>
          <w:sz w:val="12"/>
          <w:szCs w:val="12"/>
          <w:lang w:eastAsia="it-IT"/>
        </w:rPr>
      </w:pPr>
    </w:p>
    <w:p w14:paraId="347CA558"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b/>
          <w:sz w:val="24"/>
          <w:szCs w:val="24"/>
          <w:lang w:eastAsia="it-IT"/>
        </w:rPr>
        <w:t>2.2</w:t>
      </w:r>
      <w:r w:rsidRPr="00F56356">
        <w:rPr>
          <w:rFonts w:ascii="Times New Roman" w:eastAsiaTheme="minorEastAsia" w:hAnsi="Times New Roman" w:cs="Times New Roman"/>
          <w:sz w:val="24"/>
          <w:szCs w:val="24"/>
          <w:lang w:eastAsia="it-IT"/>
        </w:rPr>
        <w:t xml:space="preserve"> Le risorse impegnate di euro 328.939.747,50</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sono state destinate per euro 261.944,07 al funzionamento e per euro 328.677.803,43 agli interventi. </w:t>
      </w:r>
    </w:p>
    <w:p w14:paraId="2CDFF663"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2.2.1</w:t>
      </w:r>
      <w:r w:rsidRPr="00F56356">
        <w:rPr>
          <w:rFonts w:ascii="Times New Roman" w:eastAsiaTheme="minorEastAsia" w:hAnsi="Times New Roman" w:cs="Times New Roman"/>
          <w:color w:val="000000" w:themeColor="text1"/>
          <w:sz w:val="24"/>
          <w:szCs w:val="24"/>
          <w:lang w:eastAsia="it-IT"/>
        </w:rPr>
        <w:t xml:space="preserve"> Le risorse impegnate per il funzionamento di euro 261.944,07 sono state destinate al rimborso delle spese di missione (cap. 521), alle spese di rappresentanza (cap. 545), alle spese relative all’attività strumentale necessaria all’applicazione delle misure agevolative indirette dei crediti di imposta  (cap. 546) e alle spese per partecipazione a convegni e altre manifestazioni (cap. 558), in particolare  a coprire gli oneri generati dalla partecipazione di alcune strutture della Presidenza del Consiglio dei ministri al FORUM PA e all’Assemblea annuale ANCI. </w:t>
      </w:r>
    </w:p>
    <w:p w14:paraId="26FC1081"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8"/>
          <w:szCs w:val="8"/>
          <w:lang w:eastAsia="it-IT"/>
        </w:rPr>
      </w:pPr>
    </w:p>
    <w:p w14:paraId="2F11E4DA" w14:textId="77777777" w:rsidR="00F56356" w:rsidRPr="00F56356" w:rsidRDefault="00F56356" w:rsidP="00F56356">
      <w:pPr>
        <w:spacing w:line="360" w:lineRule="auto"/>
        <w:jc w:val="both"/>
        <w:rPr>
          <w:rFonts w:ascii="Times New Roman" w:eastAsiaTheme="minorEastAsia" w:hAnsi="Times New Roman" w:cs="Times New Roman"/>
          <w:sz w:val="24"/>
          <w:szCs w:val="24"/>
          <w:lang w:eastAsia="it-IT"/>
        </w:rPr>
      </w:pPr>
      <w:r w:rsidRPr="00F56356">
        <w:rPr>
          <w:rFonts w:eastAsiaTheme="minorEastAsia" w:cs="Times New Roman"/>
          <w:noProof/>
          <w:lang w:eastAsia="it-IT"/>
        </w:rPr>
        <w:drawing>
          <wp:anchor distT="0" distB="0" distL="114300" distR="114300" simplePos="0" relativeHeight="251697152" behindDoc="1" locked="0" layoutInCell="1" allowOverlap="1" wp14:anchorId="07AF93D5" wp14:editId="75C706C0">
            <wp:simplePos x="0" y="0"/>
            <wp:positionH relativeFrom="column">
              <wp:posOffset>184785</wp:posOffset>
            </wp:positionH>
            <wp:positionV relativeFrom="paragraph">
              <wp:posOffset>386080</wp:posOffset>
            </wp:positionV>
            <wp:extent cx="5953125" cy="1838325"/>
            <wp:effectExtent l="0" t="0" r="9525" b="9525"/>
            <wp:wrapTight wrapText="bothSides">
              <wp:wrapPolygon edited="0">
                <wp:start x="0" y="0"/>
                <wp:lineTo x="0" y="21488"/>
                <wp:lineTo x="11958" y="21488"/>
                <wp:lineTo x="21496" y="19474"/>
                <wp:lineTo x="21565" y="19250"/>
                <wp:lineTo x="21082" y="17907"/>
                <wp:lineTo x="21565" y="17683"/>
                <wp:lineTo x="21565" y="6267"/>
                <wp:lineTo x="21220" y="3581"/>
                <wp:lineTo x="21496" y="3581"/>
                <wp:lineTo x="21565" y="2686"/>
                <wp:lineTo x="21565" y="0"/>
                <wp:lineTo x="0" y="0"/>
              </wp:wrapPolygon>
            </wp:wrapTight>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53125" cy="183832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r>
      <w:r w:rsidRPr="00F56356">
        <w:rPr>
          <w:rFonts w:ascii="Times New Roman" w:eastAsiaTheme="minorEastAsia" w:hAnsi="Times New Roman" w:cs="Times New Roman"/>
          <w:b/>
          <w:sz w:val="24"/>
          <w:szCs w:val="24"/>
          <w:lang w:eastAsia="it-IT"/>
        </w:rPr>
        <w:tab/>
        <w:t xml:space="preserve">     </w:t>
      </w:r>
      <w:r w:rsidRPr="00F56356">
        <w:rPr>
          <w:rFonts w:ascii="Times New Roman" w:eastAsiaTheme="minorEastAsia" w:hAnsi="Times New Roman" w:cs="Times New Roman"/>
          <w:sz w:val="24"/>
          <w:szCs w:val="24"/>
          <w:lang w:eastAsia="it-IT"/>
        </w:rPr>
        <w:t xml:space="preserve">Indicatori di bilancio </w:t>
      </w:r>
    </w:p>
    <w:p w14:paraId="5C855DAE" w14:textId="77777777" w:rsidR="00F56356" w:rsidRPr="00F56356" w:rsidRDefault="00F56356" w:rsidP="00F56356">
      <w:pPr>
        <w:spacing w:line="360" w:lineRule="auto"/>
        <w:jc w:val="both"/>
        <w:rPr>
          <w:rFonts w:ascii="Times New Roman" w:eastAsiaTheme="minorEastAsia" w:hAnsi="Times New Roman" w:cs="Times New Roman"/>
          <w:sz w:val="24"/>
          <w:szCs w:val="24"/>
          <w:lang w:eastAsia="it-IT"/>
        </w:rPr>
      </w:pPr>
    </w:p>
    <w:p w14:paraId="0367B7ED" w14:textId="77777777" w:rsidR="00F56356" w:rsidRPr="00F56356" w:rsidRDefault="00F56356" w:rsidP="00F56356">
      <w:pPr>
        <w:tabs>
          <w:tab w:val="left" w:pos="0"/>
        </w:tabs>
        <w:spacing w:line="360" w:lineRule="auto"/>
        <w:jc w:val="both"/>
        <w:rPr>
          <w:rFonts w:ascii="Times New Roman" w:eastAsiaTheme="minorEastAsia" w:hAnsi="Times New Roman" w:cs="Times New Roman"/>
          <w:b/>
          <w:color w:val="000000" w:themeColor="text1"/>
          <w:sz w:val="6"/>
          <w:szCs w:val="24"/>
          <w:lang w:eastAsia="it-IT"/>
        </w:rPr>
      </w:pPr>
    </w:p>
    <w:p w14:paraId="3D07BF29" w14:textId="77777777" w:rsidR="00F56356" w:rsidRPr="00F56356" w:rsidRDefault="00F56356" w:rsidP="00F56356">
      <w:pPr>
        <w:tabs>
          <w:tab w:val="left" w:pos="0"/>
        </w:tabs>
        <w:spacing w:after="0" w:line="360" w:lineRule="auto"/>
        <w:jc w:val="both"/>
        <w:rPr>
          <w:rFonts w:ascii="Times New Roman" w:eastAsiaTheme="minorEastAsia" w:hAnsi="Times New Roman" w:cs="Times New Roman"/>
          <w:b/>
          <w:color w:val="000000" w:themeColor="text1"/>
          <w:sz w:val="2"/>
          <w:szCs w:val="24"/>
          <w:lang w:eastAsia="it-IT"/>
        </w:rPr>
      </w:pPr>
    </w:p>
    <w:p w14:paraId="6D3D6D58"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2.2.2</w:t>
      </w:r>
      <w:r w:rsidRPr="00F56356">
        <w:rPr>
          <w:rFonts w:ascii="Times New Roman" w:eastAsiaTheme="minorEastAsia" w:hAnsi="Times New Roman" w:cs="Times New Roman"/>
          <w:color w:val="000000" w:themeColor="text1"/>
          <w:sz w:val="24"/>
          <w:szCs w:val="24"/>
          <w:lang w:eastAsia="it-IT"/>
        </w:rPr>
        <w:t xml:space="preserve"> Le risorse impegnate relative agli interventi di euro 328.677.803,43,</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di cui euro 20.292,26 riferiti a reiscrizioni di residui passivi perenti, sono state destinate:</w:t>
      </w:r>
    </w:p>
    <w:p w14:paraId="6898C6EC"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Interventi a sostegno dell’editoria:</w:t>
      </w:r>
    </w:p>
    <w:p w14:paraId="4814329C"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a)</w:t>
      </w:r>
      <w:r w:rsidRPr="00F56356">
        <w:rPr>
          <w:rFonts w:ascii="Times New Roman" w:eastAsiaTheme="minorEastAsia" w:hAnsi="Times New Roman" w:cs="Times New Roman"/>
          <w:i/>
          <w:sz w:val="24"/>
          <w:szCs w:val="24"/>
          <w:lang w:eastAsia="it-IT"/>
        </w:rPr>
        <w:t xml:space="preserve"> “</w:t>
      </w:r>
      <w:r w:rsidRPr="00F56356">
        <w:rPr>
          <w:rFonts w:ascii="Times New Roman" w:eastAsiaTheme="minorEastAsia" w:hAnsi="Times New Roman" w:cs="Times New Roman"/>
          <w:i/>
          <w:color w:val="000000" w:themeColor="text1"/>
          <w:sz w:val="24"/>
          <w:szCs w:val="24"/>
          <w:lang w:eastAsia="it-IT"/>
        </w:rPr>
        <w:t xml:space="preserve">Contributi alle imprese radiofoniche e alle imprese televisive (Legge n. 67/1987 e successive modificazioni ed integrazioni)” </w:t>
      </w:r>
      <w:r w:rsidRPr="00F56356">
        <w:rPr>
          <w:rFonts w:ascii="Times New Roman" w:eastAsiaTheme="minorEastAsia" w:hAnsi="Times New Roman" w:cs="Times New Roman"/>
          <w:color w:val="000000" w:themeColor="text1"/>
          <w:sz w:val="24"/>
          <w:szCs w:val="24"/>
          <w:lang w:eastAsia="it-IT"/>
        </w:rPr>
        <w:t>(cap. 465)</w:t>
      </w:r>
    </w:p>
    <w:p w14:paraId="49E67392"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color w:val="000000" w:themeColor="text1"/>
          <w:sz w:val="24"/>
          <w:szCs w:val="24"/>
          <w:lang w:eastAsia="it-IT"/>
        </w:rPr>
        <w:t>- euro 4.002.396,70 alla liquidazione dei contributi diretti, previsti dall’articolo 4 della legge 7 agosto 1990, n. 250, a favore delle imprese radiofoniche private che abbiano svolto attività d’informazione di interesse generale e al saldo, a seguito di pignoramento presso terzi, di crediti maturati dalle imprese radio-televisive per provvidenze relative ad anni pregressi;</w:t>
      </w:r>
    </w:p>
    <w:p w14:paraId="28EC8D45"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highlight w:val="yellow"/>
          <w:lang w:eastAsia="it-IT"/>
        </w:rPr>
      </w:pPr>
      <w:r w:rsidRPr="00F56356">
        <w:rPr>
          <w:rFonts w:ascii="Times New Roman" w:eastAsiaTheme="minorEastAsia" w:hAnsi="Times New Roman" w:cs="Times New Roman"/>
          <w:color w:val="000000" w:themeColor="text1"/>
          <w:sz w:val="24"/>
          <w:szCs w:val="24"/>
          <w:lang w:eastAsia="it-IT"/>
        </w:rPr>
        <w:t xml:space="preserve"> </w:t>
      </w:r>
    </w:p>
    <w:p w14:paraId="15F452C1"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b)</w:t>
      </w:r>
      <w:r w:rsidRPr="00F56356">
        <w:rPr>
          <w:rFonts w:ascii="Times New Roman" w:eastAsiaTheme="minorEastAsia" w:hAnsi="Times New Roman" w:cs="Times New Roman"/>
          <w:i/>
          <w:color w:val="000000" w:themeColor="text1"/>
          <w:sz w:val="24"/>
          <w:szCs w:val="24"/>
          <w:lang w:eastAsia="it-IT"/>
        </w:rPr>
        <w:t xml:space="preserve"> “Contributi alle imprese editrici di quotidiani e periodici (Legge n. 250/1990 e successive modificazioni ed integrazioni; decreto legge n. 63/2012 convertito con modificazioni dalla legge n. 103/2012)” </w:t>
      </w:r>
      <w:r w:rsidRPr="00F56356">
        <w:rPr>
          <w:rFonts w:ascii="Times New Roman" w:eastAsiaTheme="minorEastAsia" w:hAnsi="Times New Roman" w:cs="Times New Roman"/>
          <w:color w:val="000000" w:themeColor="text1"/>
          <w:sz w:val="24"/>
          <w:szCs w:val="24"/>
          <w:lang w:eastAsia="it-IT"/>
        </w:rPr>
        <w:t>(cap. 466)</w:t>
      </w:r>
    </w:p>
    <w:p w14:paraId="591782EA"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188.752.309,90 all’erogazione dei contributi diretti alla stampa, previsti dalla legge 7 agosto 1990, n. 250, e successive modificazioni, a favore di imprese editrici di giornali quotidiani e periodici, nonché all’erogazione dei contributi, predeterminati per legge, destinati alla stampa periodica all’estero, ai quotidiani in lingua slovena editi in Italia e alla stampa periodica edita da associazioni dei consumatori; in particolare:</w:t>
      </w:r>
    </w:p>
    <w:p w14:paraId="76062BD0"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94.707.334,90 alla liquidazione del saldo del contributo 2020 a favore delle imprese per le quali non si era concluso il procedimento nell’esercizio 2021, alla liquidazione dei contributi a favore della stampa periodica edita e diffusa all’estero per l’anno 2020, ai contributi diretti per l’anno 2021 a favore delle imprese editrici di quotidiani e periodici di cui al decreto legislativo 15 maggio 2017, n. 70 e alla liquidazione dei contenziosi promossi da imprese editrici non ammesse ai contributi;</w:t>
      </w:r>
    </w:p>
    <w:p w14:paraId="65CBBE79"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94.044.975,00 alla liquidazione dei contributi diretti per l’anno 2022 a favore delle imprese editrici di quotidiani e periodici di cui al decreto legislativo 15 maggio 2017, n. 70, alla liquidazione del contributo fisso previsto per legge a favore dei quotidiani in lingua slovena editi in Italia (legge 14 agosto 1981, n. 278) per l’anno 2021, alla liquidazione dei contributi per l’anno 2022 a sostegno della stampa periodica italiana diffusa all’estero, alla liquidazione dei contributi per l’anno 2022 a sostegno dell’editoria speciale periodica a tutela dei consumatori e degli utenti e alla liquidazione dei contenziosi promossi da imprese editrici non ammesse al contributo per l’anno 2022;</w:t>
      </w:r>
    </w:p>
    <w:p w14:paraId="54572829"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 </w:t>
      </w:r>
      <w:r w:rsidRPr="00F56356">
        <w:rPr>
          <w:rFonts w:ascii="Times New Roman" w:eastAsiaTheme="minorEastAsia" w:hAnsi="Times New Roman" w:cs="Times New Roman"/>
          <w:i/>
          <w:color w:val="000000" w:themeColor="text1"/>
          <w:sz w:val="24"/>
          <w:szCs w:val="24"/>
          <w:lang w:eastAsia="it-IT"/>
        </w:rPr>
        <w:t>“Somme da corrispondere a titolo di rimborso delle riduzioni tariffarie concesse alle imprese radiofoniche e televisive (Legge n. 67/1987 e successive modificazioni e integrazioni)”</w:t>
      </w:r>
      <w:r w:rsidRPr="00F56356">
        <w:rPr>
          <w:rFonts w:ascii="Times New Roman" w:eastAsiaTheme="minorEastAsia" w:hAnsi="Times New Roman" w:cs="Times New Roman"/>
          <w:color w:val="000000" w:themeColor="text1"/>
          <w:sz w:val="24"/>
          <w:szCs w:val="24"/>
          <w:lang w:eastAsia="it-IT"/>
        </w:rPr>
        <w:t xml:space="preserve"> (cap. 468)</w:t>
      </w:r>
    </w:p>
    <w:p w14:paraId="2EAC7E91"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24.524,20 al pagamento di somme alle imprese radio-televisive a seguito di accordi transattivi, approvati dall’Avvocatura dello Stato, per la risoluzione di contenziosi instaurati per ottenere il rimborso dei canoni elettrici e satellitari relativi ad annualità pregresse e alla liquidazione di somme oggetto di sentenze o ordinanze in esito a procedimenti giudiziari, che hanno visto l’Amministrazione soccombente, instaurati per il rimborso dei canoni elettrici e satellitari per anni pregressi;</w:t>
      </w:r>
    </w:p>
    <w:p w14:paraId="2A805A11"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sz w:val="24"/>
          <w:szCs w:val="24"/>
          <w:lang w:eastAsia="it-IT"/>
        </w:rPr>
        <w:t xml:space="preserve">d) </w:t>
      </w:r>
      <w:r w:rsidRPr="00F56356">
        <w:rPr>
          <w:rFonts w:ascii="Times New Roman" w:eastAsiaTheme="minorEastAsia" w:hAnsi="Times New Roman" w:cs="Times New Roman"/>
          <w:i/>
          <w:color w:val="000000" w:themeColor="text1"/>
          <w:sz w:val="24"/>
          <w:szCs w:val="24"/>
          <w:lang w:eastAsia="it-IT"/>
        </w:rPr>
        <w:t>“Contributo a favore dell’editoria speciale periodica per non vedenti, prodotta con caratteri tipografici normali su nastro magnetico e in braille (Legge n. 266/2005, art.1, comma 462)”</w:t>
      </w:r>
      <w:r w:rsidRPr="00F56356">
        <w:rPr>
          <w:rFonts w:ascii="Times New Roman" w:eastAsiaTheme="minorEastAsia" w:hAnsi="Times New Roman" w:cs="Times New Roman"/>
          <w:color w:val="000000" w:themeColor="text1"/>
          <w:sz w:val="24"/>
          <w:szCs w:val="24"/>
          <w:lang w:eastAsia="it-IT"/>
        </w:rPr>
        <w:t xml:space="preserve"> (cap. 469)</w:t>
      </w:r>
    </w:p>
    <w:p w14:paraId="190C0C67"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1.999.807,96 all’erogazione di contributi a favore dell’editoria speciale per non vedenti;</w:t>
      </w:r>
    </w:p>
    <w:p w14:paraId="7E44972B"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e) </w:t>
      </w:r>
      <w:r w:rsidRPr="00F56356">
        <w:rPr>
          <w:rFonts w:ascii="Times New Roman" w:eastAsiaTheme="minorEastAsia" w:hAnsi="Times New Roman" w:cs="Times New Roman"/>
          <w:i/>
          <w:color w:val="000000" w:themeColor="text1"/>
          <w:sz w:val="24"/>
          <w:szCs w:val="24"/>
          <w:lang w:eastAsia="it-IT"/>
        </w:rPr>
        <w:t xml:space="preserve">“Rimborso alle Poste Italiane S.p.A. dei maggiori oneri sostenuti per le agevolazioni tariffarie concesse per i prodotti editoriali compresi gli importi afferenti </w:t>
      </w:r>
      <w:proofErr w:type="gramStart"/>
      <w:r w:rsidRPr="00F56356">
        <w:rPr>
          <w:rFonts w:ascii="Times New Roman" w:eastAsiaTheme="minorEastAsia" w:hAnsi="Times New Roman" w:cs="Times New Roman"/>
          <w:i/>
          <w:color w:val="000000" w:themeColor="text1"/>
          <w:sz w:val="24"/>
          <w:szCs w:val="24"/>
          <w:lang w:eastAsia="it-IT"/>
        </w:rPr>
        <w:t>gli</w:t>
      </w:r>
      <w:proofErr w:type="gramEnd"/>
      <w:r w:rsidRPr="00F56356">
        <w:rPr>
          <w:rFonts w:ascii="Times New Roman" w:eastAsiaTheme="minorEastAsia" w:hAnsi="Times New Roman" w:cs="Times New Roman"/>
          <w:i/>
          <w:color w:val="000000" w:themeColor="text1"/>
          <w:sz w:val="24"/>
          <w:szCs w:val="24"/>
          <w:lang w:eastAsia="it-IT"/>
        </w:rPr>
        <w:t xml:space="preserve"> anni pregressi”</w:t>
      </w:r>
      <w:r w:rsidRPr="00F56356">
        <w:rPr>
          <w:rFonts w:ascii="Times New Roman" w:eastAsiaTheme="minorEastAsia" w:hAnsi="Times New Roman" w:cs="Times New Roman"/>
          <w:color w:val="000000" w:themeColor="text1"/>
          <w:sz w:val="24"/>
          <w:szCs w:val="24"/>
          <w:lang w:eastAsia="it-IT"/>
        </w:rPr>
        <w:t xml:space="preserve"> (cap. 480)</w:t>
      </w:r>
    </w:p>
    <w:p w14:paraId="28683EF7"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 euro 40.708.279,75 alle compensazioni dovute a Poste Italiane S.p.A. per le agevolazioni tariffarie da questa concesse, nel quarto trimestre 2021 e nei primi due trimestri 2022, per le spedizioni di prodotti editoriali da parte delle imprese editrici e delle associazioni e organizzazioni senza fini di lucro, ai sensi dell’articolo 2, commi 4 e 5, del decreto-legge 30 dicembre 2016, n. 24, convertito, con modificazioni, dalla legge 27 febbraio 2017, n. 19;</w:t>
      </w:r>
    </w:p>
    <w:p w14:paraId="42444466"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f) “</w:t>
      </w:r>
      <w:r w:rsidRPr="00F56356">
        <w:rPr>
          <w:rFonts w:ascii="Times New Roman" w:eastAsiaTheme="minorEastAsia" w:hAnsi="Times New Roman" w:cs="Times New Roman"/>
          <w:i/>
          <w:color w:val="000000" w:themeColor="text1"/>
          <w:sz w:val="24"/>
          <w:szCs w:val="24"/>
          <w:lang w:eastAsia="it-IT"/>
        </w:rPr>
        <w:t xml:space="preserve">Finanziamenti alle imprese editrici per la realizzazione di progetti innovativi, ai sensi dell’art. 57-bis, comma 3, del decreto-legge 24 aprile 2017, n. 50, </w:t>
      </w:r>
      <w:proofErr w:type="spellStart"/>
      <w:r w:rsidRPr="00F56356">
        <w:rPr>
          <w:rFonts w:ascii="Times New Roman" w:eastAsiaTheme="minorEastAsia" w:hAnsi="Times New Roman" w:cs="Times New Roman"/>
          <w:i/>
          <w:color w:val="000000" w:themeColor="text1"/>
          <w:sz w:val="24"/>
          <w:szCs w:val="24"/>
          <w:lang w:eastAsia="it-IT"/>
        </w:rPr>
        <w:t>conv</w:t>
      </w:r>
      <w:proofErr w:type="spellEnd"/>
      <w:r w:rsidRPr="00F56356">
        <w:rPr>
          <w:rFonts w:ascii="Times New Roman" w:eastAsiaTheme="minorEastAsia" w:hAnsi="Times New Roman" w:cs="Times New Roman"/>
          <w:i/>
          <w:color w:val="000000" w:themeColor="text1"/>
          <w:sz w:val="24"/>
          <w:szCs w:val="24"/>
          <w:lang w:eastAsia="it-IT"/>
        </w:rPr>
        <w:t>. con modificazioni dalla legge 21 giugno 2017, n. 96”</w:t>
      </w:r>
      <w:r w:rsidRPr="00F56356">
        <w:rPr>
          <w:rFonts w:ascii="Times New Roman" w:eastAsiaTheme="minorEastAsia" w:hAnsi="Times New Roman" w:cs="Times New Roman"/>
          <w:color w:val="000000" w:themeColor="text1"/>
          <w:sz w:val="24"/>
          <w:szCs w:val="24"/>
          <w:lang w:eastAsia="it-IT"/>
        </w:rPr>
        <w:t xml:space="preserve"> (cap. 483) </w:t>
      </w:r>
    </w:p>
    <w:p w14:paraId="5000DF83"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1.000.000,00 ai finanziamenti alle imprese editrici per la realizzazione dei progetti innovativi, ai sensi dall’articolo 57-bis, comma 3, del decreto-legge 24 aprile 2017, n. 50, </w:t>
      </w:r>
      <w:r w:rsidRPr="00F56356">
        <w:rPr>
          <w:rFonts w:ascii="Times New Roman" w:eastAsiaTheme="minorEastAsia" w:hAnsi="Times New Roman" w:cs="Times New Roman"/>
          <w:iCs/>
          <w:color w:val="000000"/>
          <w:sz w:val="24"/>
          <w:szCs w:val="24"/>
          <w:lang w:eastAsia="it-IT"/>
        </w:rPr>
        <w:t>convertito, con modificazioni, dalla legge 21 giugno 2017, n. 96;</w:t>
      </w:r>
    </w:p>
    <w:p w14:paraId="4C8B71FE"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 </w:t>
      </w:r>
      <w:r w:rsidRPr="00F56356">
        <w:rPr>
          <w:rFonts w:ascii="Times New Roman" w:eastAsiaTheme="minorEastAsia" w:hAnsi="Times New Roman" w:cs="Times New Roman"/>
          <w:i/>
          <w:color w:val="000000" w:themeColor="text1"/>
          <w:sz w:val="24"/>
          <w:szCs w:val="24"/>
          <w:lang w:eastAsia="it-IT"/>
        </w:rPr>
        <w:t>“Interventi di sostegno diretti alle scuole ed agli studenti per la promozione della lettura, articolo 1, commi da 389 a 392, della legge 27 dicembre 2019, n. 160</w:t>
      </w:r>
      <w:r w:rsidRPr="00F56356">
        <w:rPr>
          <w:rFonts w:ascii="Times New Roman" w:eastAsiaTheme="minorEastAsia" w:hAnsi="Times New Roman" w:cs="Times New Roman"/>
          <w:color w:val="000000" w:themeColor="text1"/>
          <w:sz w:val="24"/>
          <w:szCs w:val="24"/>
          <w:lang w:eastAsia="it-IT"/>
        </w:rPr>
        <w:t>” (cap. 499)</w:t>
      </w:r>
    </w:p>
    <w:p w14:paraId="1CA0E91A"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color w:val="000000" w:themeColor="text1"/>
          <w:sz w:val="24"/>
          <w:szCs w:val="24"/>
          <w:lang w:eastAsia="it-IT"/>
        </w:rPr>
        <w:t>- euro 518.932,60 ai contributi a favore delle istituzioni scolastiche e degli studenti per l’acquisto di abbonamenti a quotidiani, periodici e riviste scientifiche e di settore, per un importo totale fino a 20 milioni di euro annui, nell’ambito delle risorse del Fondo per il pluralismo e l’innovazione dell’informazione, di cui all’articolo 1 della legge 26 ottobre 2016,</w:t>
      </w:r>
      <w:r w:rsidRPr="00F56356">
        <w:rPr>
          <w:rFonts w:ascii="Times New Roman" w:eastAsia="Times New Roman" w:hAnsi="Times New Roman" w:cs="Times New Roman"/>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n. 198, destinate agli interventi di competenza della Presidenza del Consiglio dei ministri, ai sensi dell’articolo 1, commi da 389 a 392, della legge 27 dicembre 2019, n. 160. </w:t>
      </w:r>
    </w:p>
    <w:p w14:paraId="641B5D64"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Attività di informazione e comunicazione istituzionale:</w:t>
      </w:r>
    </w:p>
    <w:p w14:paraId="08DAA218"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a) “</w:t>
      </w:r>
      <w:r w:rsidRPr="00F56356">
        <w:rPr>
          <w:rFonts w:ascii="Times New Roman" w:eastAsiaTheme="minorEastAsia" w:hAnsi="Times New Roman" w:cs="Times New Roman"/>
          <w:i/>
          <w:color w:val="000000" w:themeColor="text1"/>
          <w:sz w:val="24"/>
          <w:szCs w:val="24"/>
          <w:lang w:eastAsia="it-IT"/>
        </w:rPr>
        <w:t xml:space="preserve">Somme da corrispondere alla RAI per i servizi speciali aggiuntivi a quelli in concessione finalizzati all’offerta televisiva e multimediale per l’estero (Legge n. 103/1975, art. 19 punto c)” </w:t>
      </w:r>
      <w:r w:rsidRPr="00F56356">
        <w:rPr>
          <w:rFonts w:ascii="Times New Roman" w:eastAsiaTheme="minorEastAsia" w:hAnsi="Times New Roman" w:cs="Times New Roman"/>
          <w:color w:val="000000" w:themeColor="text1"/>
          <w:sz w:val="24"/>
          <w:szCs w:val="24"/>
          <w:lang w:eastAsia="it-IT"/>
        </w:rPr>
        <w:t xml:space="preserve">(cap. 470) </w:t>
      </w:r>
    </w:p>
    <w:p w14:paraId="46892140"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euro 9.669.863,00 alla realizzazione e trasmissione dei programmi per l’estero previsti dalla convenzione stipulata con la Rai </w:t>
      </w:r>
      <w:proofErr w:type="spellStart"/>
      <w:r w:rsidRPr="00F56356">
        <w:rPr>
          <w:rFonts w:ascii="Times New Roman" w:eastAsiaTheme="minorEastAsia" w:hAnsi="Times New Roman" w:cs="Times New Roman"/>
          <w:color w:val="000000" w:themeColor="text1"/>
          <w:sz w:val="24"/>
          <w:szCs w:val="24"/>
          <w:lang w:eastAsia="it-IT"/>
        </w:rPr>
        <w:t>Com</w:t>
      </w:r>
      <w:proofErr w:type="spellEnd"/>
      <w:r w:rsidRPr="00F56356">
        <w:rPr>
          <w:rFonts w:ascii="Times New Roman" w:eastAsiaTheme="minorEastAsia" w:hAnsi="Times New Roman" w:cs="Times New Roman"/>
          <w:color w:val="000000" w:themeColor="text1"/>
          <w:sz w:val="24"/>
          <w:szCs w:val="24"/>
          <w:lang w:eastAsia="it-IT"/>
        </w:rPr>
        <w:t xml:space="preserve"> S.p.A., al fine di diffondere nel mondo i programmi radiofonici e televisivi in lingua italiana attraverso l’emittente Rai Italia, sulla base degli articoli 19 e 20 della legge 14 aprile 1975, n. 103, recante “Nuove norme in materia di diffusione radiofonica e televisiva”. In particolare, l’importo è relativo all’ultimo rinnovo bimestrale della Convenzione stipulata nel 2017 e alla stipula della nuova Convenzione con la RAI per l’offerta per l’estero, firmata il 31 marzo 2022, con decorrenza dal 1° aprile 2022. La liquidazione della somma impegnata sul capitolo avviene fisiologicamente nell’esercizio successivo, in quanto il pagamento alla RAI può avvenire solo dopo il termine delle attività che hanno una periodicità annuale, nonché dopo la verifica della documentazione tecnico-amministrativa di supporto; </w:t>
      </w:r>
    </w:p>
    <w:p w14:paraId="15CD6660"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b) “</w:t>
      </w:r>
      <w:r w:rsidRPr="00F56356">
        <w:rPr>
          <w:rFonts w:ascii="Times New Roman" w:eastAsiaTheme="minorEastAsia" w:hAnsi="Times New Roman" w:cs="Times New Roman"/>
          <w:i/>
          <w:color w:val="000000" w:themeColor="text1"/>
          <w:sz w:val="24"/>
          <w:szCs w:val="24"/>
          <w:lang w:eastAsia="it-IT"/>
        </w:rPr>
        <w:t xml:space="preserve">Contributo all’Associazione della Stampa Estera (Legge n. 291/1978)” </w:t>
      </w:r>
      <w:r w:rsidRPr="00F56356">
        <w:rPr>
          <w:rFonts w:ascii="Times New Roman" w:eastAsiaTheme="minorEastAsia" w:hAnsi="Times New Roman" w:cs="Times New Roman"/>
          <w:color w:val="000000" w:themeColor="text1"/>
          <w:sz w:val="24"/>
          <w:szCs w:val="24"/>
          <w:lang w:eastAsia="it-IT"/>
        </w:rPr>
        <w:t>(cap. 473)</w:t>
      </w:r>
    </w:p>
    <w:p w14:paraId="03DD275A"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 euro 9.000,00 all’erogazione del contributo, dovuto ai sensi della legge 6 giugno 1978, n. 291, all’Associazione della stampa estera in Italia;</w:t>
      </w:r>
    </w:p>
    <w:p w14:paraId="563B5D31"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c) “</w:t>
      </w:r>
      <w:r w:rsidRPr="00F56356">
        <w:rPr>
          <w:rFonts w:ascii="Times New Roman" w:eastAsiaTheme="minorEastAsia" w:hAnsi="Times New Roman" w:cs="Times New Roman"/>
          <w:i/>
          <w:color w:val="000000" w:themeColor="text1"/>
          <w:sz w:val="24"/>
          <w:szCs w:val="24"/>
          <w:lang w:eastAsia="it-IT"/>
        </w:rPr>
        <w:t xml:space="preserve">Spese per pubblicazioni istituzionali, strumenti di comunicazione e sondaggi” </w:t>
      </w:r>
      <w:r w:rsidRPr="00F56356">
        <w:rPr>
          <w:rFonts w:ascii="Times New Roman" w:eastAsiaTheme="minorEastAsia" w:hAnsi="Times New Roman" w:cs="Times New Roman"/>
          <w:color w:val="000000" w:themeColor="text1"/>
          <w:sz w:val="24"/>
          <w:szCs w:val="24"/>
          <w:lang w:eastAsia="it-IT"/>
        </w:rPr>
        <w:t>(cap. 474)</w:t>
      </w:r>
    </w:p>
    <w:p w14:paraId="3E73152A"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205.583,62 alla realizzazione dei sondaggi richiesti dalle Autorità politiche e dalle altre strutture della Presidenza del Consiglio dei ministri;</w:t>
      </w:r>
    </w:p>
    <w:p w14:paraId="5FFFC978"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d) “</w:t>
      </w:r>
      <w:r w:rsidRPr="00F56356">
        <w:rPr>
          <w:rFonts w:ascii="Times New Roman" w:eastAsiaTheme="minorEastAsia" w:hAnsi="Times New Roman" w:cs="Times New Roman"/>
          <w:i/>
          <w:color w:val="000000" w:themeColor="text1"/>
          <w:sz w:val="24"/>
          <w:szCs w:val="24"/>
          <w:lang w:eastAsia="it-IT"/>
        </w:rPr>
        <w:t xml:space="preserve">Somme da corrispondere alla Rai per i servizi speciali aggiuntivi a quelli in concessione alle Regioni autonome Friuli Venezia Giulia e Valle d’Aosta (Legge n. 103/1975, art. 19, punto c)” </w:t>
      </w:r>
      <w:r w:rsidRPr="00F56356">
        <w:rPr>
          <w:rFonts w:ascii="Times New Roman" w:eastAsiaTheme="minorEastAsia" w:hAnsi="Times New Roman" w:cs="Times New Roman"/>
          <w:color w:val="000000" w:themeColor="text1"/>
          <w:sz w:val="24"/>
          <w:szCs w:val="24"/>
          <w:lang w:eastAsia="it-IT"/>
        </w:rPr>
        <w:t>(cap. 475)</w:t>
      </w:r>
    </w:p>
    <w:p w14:paraId="72E0D8EE"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31.599.999,97 alla stipula e al successivo rinnovo annuale delle quattro convenzioni stipulate il 29 ottobre 2021 con la RAI; in particolare:</w:t>
      </w:r>
    </w:p>
    <w:p w14:paraId="36EF2895"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15.799.999,97 per la stipula delle quattro convenzioni, rispettivamente per la tutela della lingua sarda (1.000.000,00 euro) in Sardegna, della lingua friulana (1.000.000,00 euro) e della lingua slovena (11.599.999,98 euro) in Friuli Venezia Giulia e della lingua francese (2.199.999,99 euro) in Valle d’Aosta;</w:t>
      </w:r>
    </w:p>
    <w:p w14:paraId="0FF4BB5E"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 euro 15.800.000,00 per il rinnovo annuale;  </w:t>
      </w:r>
    </w:p>
    <w:p w14:paraId="3AC4B374"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e) “</w:t>
      </w:r>
      <w:r w:rsidRPr="00F56356">
        <w:rPr>
          <w:rFonts w:ascii="Times New Roman" w:eastAsiaTheme="minorEastAsia" w:hAnsi="Times New Roman" w:cs="Times New Roman"/>
          <w:i/>
          <w:color w:val="000000" w:themeColor="text1"/>
          <w:sz w:val="24"/>
          <w:szCs w:val="24"/>
          <w:lang w:eastAsia="it-IT"/>
        </w:rPr>
        <w:t>Somma da corrispondere</w:t>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i/>
          <w:color w:val="000000" w:themeColor="text1"/>
          <w:sz w:val="24"/>
          <w:szCs w:val="24"/>
          <w:lang w:eastAsia="it-IT"/>
        </w:rPr>
        <w:t xml:space="preserve">alla RAI in attuazione degli accordi di collaborazione in materia radio-televisiva fra la Repubblica Italiana e la Repubblica di S. Marino (Accordo internazionale del 5 marzo 2008)” </w:t>
      </w:r>
      <w:r w:rsidRPr="00F56356">
        <w:rPr>
          <w:rFonts w:ascii="Times New Roman" w:eastAsiaTheme="minorEastAsia" w:hAnsi="Times New Roman" w:cs="Times New Roman"/>
          <w:color w:val="000000" w:themeColor="text1"/>
          <w:sz w:val="24"/>
          <w:szCs w:val="24"/>
          <w:lang w:eastAsia="it-IT"/>
        </w:rPr>
        <w:t>(cap. 476)</w:t>
      </w:r>
    </w:p>
    <w:p w14:paraId="27254CB9"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2.878.569,00 quale contributo alla RAI previsto dalla Convenzione stipulata tra la Presidenza del Consiglio dei ministri e la Rai per l’espletamento del servizio pubblico di radiodiffusione nella Repubblica di San Marino, in attuazione dell’accordo internazionale, adottato in data 5 marzo 2008 e ratificato con la legge 29 settembre 2015, n. 164, tra la Repubblica Italiana e la Repubblica di San Marino per gli accordi di collaborazione in materia radio-televisiva fra i due Stati. L</w:t>
      </w:r>
      <w:r w:rsidRPr="00F56356">
        <w:rPr>
          <w:rFonts w:ascii="Times New Roman" w:eastAsiaTheme="minorEastAsia" w:hAnsi="Times New Roman" w:cs="Times New Roman"/>
          <w:bCs/>
          <w:color w:val="000000" w:themeColor="text1"/>
          <w:sz w:val="24"/>
          <w:szCs w:val="24"/>
          <w:lang w:eastAsia="it-IT"/>
        </w:rPr>
        <w:t>a predetta convenzione prevede che il corrispettivo alla RAI sia versato in un’unica soluzione l’anno successivo a quello di competenza, a seguito della presentazione della fattura posticipata, accompagnata da una relazione delle attività svolte;</w:t>
      </w:r>
      <w:r w:rsidRPr="00F56356">
        <w:rPr>
          <w:rFonts w:ascii="Times New Roman" w:eastAsiaTheme="minorEastAsia" w:hAnsi="Times New Roman" w:cs="Times New Roman"/>
          <w:i/>
          <w:color w:val="000000" w:themeColor="text1"/>
          <w:sz w:val="24"/>
          <w:szCs w:val="24"/>
          <w:lang w:eastAsia="it-IT"/>
        </w:rPr>
        <w:t xml:space="preserve"> </w:t>
      </w:r>
    </w:p>
    <w:p w14:paraId="5CFD180B"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f) “</w:t>
      </w:r>
      <w:r w:rsidRPr="00F56356">
        <w:rPr>
          <w:rFonts w:ascii="Times New Roman" w:eastAsiaTheme="minorEastAsia" w:hAnsi="Times New Roman" w:cs="Times New Roman"/>
          <w:i/>
          <w:color w:val="000000" w:themeColor="text1"/>
          <w:sz w:val="24"/>
          <w:szCs w:val="24"/>
          <w:lang w:eastAsia="it-IT"/>
        </w:rPr>
        <w:t>Spese</w:t>
      </w:r>
      <w:r w:rsidRPr="00F56356">
        <w:rPr>
          <w:rFonts w:ascii="Times New Roman" w:eastAsiaTheme="minorEastAsia" w:hAnsi="Times New Roman" w:cs="Times New Roman"/>
          <w:color w:val="000000" w:themeColor="text1"/>
          <w:sz w:val="24"/>
          <w:szCs w:val="24"/>
          <w:lang w:eastAsia="it-IT"/>
        </w:rPr>
        <w:t xml:space="preserve"> </w:t>
      </w:r>
      <w:r w:rsidRPr="00F56356">
        <w:rPr>
          <w:rFonts w:ascii="Times New Roman" w:eastAsiaTheme="minorEastAsia" w:hAnsi="Times New Roman" w:cs="Times New Roman"/>
          <w:i/>
          <w:color w:val="000000" w:themeColor="text1"/>
          <w:sz w:val="24"/>
          <w:szCs w:val="24"/>
          <w:lang w:eastAsia="it-IT"/>
        </w:rPr>
        <w:t>per l’acquisizione dalle agenzie di stampa di servizi giornalistici e informativi per la P.A. e della rete diplomatica e consolare”</w:t>
      </w:r>
      <w:r w:rsidRPr="00F56356">
        <w:rPr>
          <w:rFonts w:ascii="Times New Roman" w:eastAsiaTheme="minorEastAsia" w:hAnsi="Times New Roman" w:cs="Times New Roman"/>
          <w:color w:val="000000" w:themeColor="text1"/>
          <w:sz w:val="24"/>
          <w:szCs w:val="24"/>
          <w:lang w:eastAsia="it-IT"/>
        </w:rPr>
        <w:t xml:space="preserve"> (cap. 479)</w:t>
      </w:r>
    </w:p>
    <w:p w14:paraId="749038BB" w14:textId="77777777" w:rsidR="00F56356" w:rsidRPr="00F56356" w:rsidRDefault="00F56356" w:rsidP="00F56356">
      <w:pPr>
        <w:tabs>
          <w:tab w:val="left" w:pos="0"/>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46.025.327,28 alle spese per la fornitura di servizi giornalistici alle amministrazioni dello Stato e per le esigenze del Ministero degli affari esteri e della cooperazione internazionale e della Rete diplomatica e consolare, tramite i 15 contratti stipulati con le principali agenzie nazionali di stampa, a seguito dell’espletamento delle due procedure di gara europea, in scadenza il 31 marzo 2020 e prorogati per il periodo 1° gennaio 2022 - 31 dicembre 2022, ai sensi dell’articolo 14, comma 2, del decreto-legge del 30 dicembre 2021, n. 228, convertito, con modificazioni, dalla legge 25 febbraio 2022, n. 15;</w:t>
      </w:r>
    </w:p>
    <w:p w14:paraId="5BDD5CDC"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bookmarkStart w:id="52" w:name="OLE_LINK1"/>
      <w:r w:rsidRPr="00F56356">
        <w:rPr>
          <w:rFonts w:ascii="Times New Roman" w:eastAsiaTheme="minorEastAsia" w:hAnsi="Times New Roman" w:cs="Times New Roman"/>
          <w:color w:val="000000" w:themeColor="text1"/>
          <w:sz w:val="24"/>
          <w:szCs w:val="24"/>
          <w:lang w:eastAsia="it-IT"/>
        </w:rPr>
        <w:lastRenderedPageBreak/>
        <w:t>g) “</w:t>
      </w:r>
      <w:r w:rsidRPr="00F56356">
        <w:rPr>
          <w:rFonts w:ascii="Times New Roman" w:eastAsiaTheme="minorEastAsia" w:hAnsi="Times New Roman" w:cs="Times New Roman"/>
          <w:i/>
          <w:color w:val="000000" w:themeColor="text1"/>
          <w:sz w:val="24"/>
          <w:szCs w:val="24"/>
          <w:lang w:eastAsia="it-IT"/>
        </w:rPr>
        <w:t xml:space="preserve">Somme da destinare ad attività di comunicazione istituzionale delle Amministrazioni dello Stato” </w:t>
      </w:r>
      <w:r w:rsidRPr="00F56356">
        <w:rPr>
          <w:rFonts w:ascii="Times New Roman" w:eastAsiaTheme="minorEastAsia" w:hAnsi="Times New Roman" w:cs="Times New Roman"/>
          <w:color w:val="000000" w:themeColor="text1"/>
          <w:sz w:val="24"/>
          <w:szCs w:val="24"/>
          <w:lang w:eastAsia="it-IT"/>
        </w:rPr>
        <w:t>(cap. 563)</w:t>
      </w:r>
    </w:p>
    <w:bookmarkEnd w:id="52"/>
    <w:p w14:paraId="564058BC"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1.273.209,45, di cui euro 20.292,26 riferiti a reiscrizioni di residui passivi perenti, alla realizzazione di n. 25 campagne di comunicazione istituzionale. Dopo la comunicazione per la campagna vaccinale contro il Covid-19, rappresentato dalla campagna per il secondo richiamo, la cosiddetta “quarta dose”, la comunicazione istituzionale si è concentrata sullo sviluppo e l’accompagnamento del Piano Nazionale di Ripresa e Resilienza. Una delle più importanti iniziative su questo tema è stata la pianificazione su stampa locale del ciclo di eventi organizzati sul territorio dall’Ufficio per la comunicazione istituzionale e i rapporti con i media di Palazzo Chigi, finalizzati a divulgare nella dimensione locale le opportunità offerte dal Piano. Un’altra iniziativa di rilievo, collegata alla precedente, è stata la campagna di comunicazione istituzionale denominata “PNRR Italia domani” volta a promuovere la partecipazione dei cittadini e delle imprese all’implementazione del Piano, in uno spirito di partecipazione e di collaborazione fra Istituzioni e mondo delle imprese. Altre campagne sui temi del PNRR sono state: “Bando PNRR asili nido” e “</w:t>
      </w:r>
      <w:proofErr w:type="spellStart"/>
      <w:r w:rsidRPr="00F56356">
        <w:rPr>
          <w:rFonts w:ascii="Times New Roman" w:eastAsiaTheme="minorEastAsia" w:hAnsi="Times New Roman" w:cs="Times New Roman"/>
          <w:color w:val="000000" w:themeColor="text1"/>
          <w:sz w:val="24"/>
          <w:szCs w:val="24"/>
          <w:lang w:eastAsia="it-IT"/>
        </w:rPr>
        <w:t>Ri</w:t>
      </w:r>
      <w:proofErr w:type="spellEnd"/>
      <w:r w:rsidRPr="00F56356">
        <w:rPr>
          <w:rFonts w:ascii="Times New Roman" w:eastAsiaTheme="minorEastAsia" w:hAnsi="Times New Roman" w:cs="Times New Roman"/>
          <w:color w:val="000000" w:themeColor="text1"/>
          <w:sz w:val="24"/>
          <w:szCs w:val="24"/>
          <w:lang w:eastAsia="it-IT"/>
        </w:rPr>
        <w:t>-formare la P.A.”. Nel corso dell’estate sono state realizzate due campagne di comunicazione armonizzate fra loro dal punto di vista stilistico, su temi di grande rilevanza strategica: il risparmio idrico e il risparmio energetico. Altre campagne di comunicazione su temi diversi dal PNRR sono state: “25 novembre Giornata internazionale contro la violenza sulle donne”, l’adattamento della campagna di comunicazione del Dipartimento della protezione civile “Io non rischio” più alcune campagne la cui realizzazione è cominciata nel corso del 2022 e la diffusione è proseguita nel 2023, ovverosia la campagna per il “Fondo per il sostegno alle vittime dei reati di tipo mafioso”, la campagna per la prevenzione degli incidenti stradali correlati all’uso di alcol e droga e la campagna per il Servizio civile universale;</w:t>
      </w:r>
    </w:p>
    <w:p w14:paraId="7D9904F3"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h) “</w:t>
      </w:r>
      <w:r w:rsidRPr="00F56356">
        <w:rPr>
          <w:rFonts w:ascii="Times New Roman" w:eastAsiaTheme="minorEastAsia" w:hAnsi="Times New Roman" w:cs="Times New Roman"/>
          <w:i/>
          <w:color w:val="000000" w:themeColor="text1"/>
          <w:sz w:val="24"/>
          <w:szCs w:val="24"/>
          <w:lang w:eastAsia="it-IT"/>
        </w:rPr>
        <w:t>Premi e sovvenzioni per scrittori, editori, librai”</w:t>
      </w:r>
      <w:r w:rsidRPr="00F56356">
        <w:rPr>
          <w:rFonts w:ascii="Times New Roman" w:eastAsiaTheme="minorEastAsia" w:hAnsi="Times New Roman" w:cs="Times New Roman"/>
          <w:color w:val="000000" w:themeColor="text1"/>
          <w:sz w:val="24"/>
          <w:szCs w:val="24"/>
          <w:lang w:eastAsia="it-IT"/>
        </w:rPr>
        <w:t xml:space="preserve"> (cap. 566)</w:t>
      </w:r>
    </w:p>
    <w:p w14:paraId="725FEA9E" w14:textId="77777777" w:rsidR="00F56356" w:rsidRPr="00F56356" w:rsidRDefault="00F56356" w:rsidP="00F56356">
      <w:pPr>
        <w:tabs>
          <w:tab w:val="left" w:pos="284"/>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euro 10.000,00 alla realizzazione dei premi letterari “Penna d’oro” e “Penna d’oro giovani talenti”, istituiti con decreto del Presidente del Consiglio dei ministri del 16 giugno 2022. I due premi, di euro 5.000,00 ciascuno, sono stati interamente liquidati ai due vincitori.</w:t>
      </w:r>
    </w:p>
    <w:p w14:paraId="64B8917A" w14:textId="77777777" w:rsidR="00F56356" w:rsidRPr="00F56356" w:rsidRDefault="00F56356" w:rsidP="00F56356">
      <w:pPr>
        <w:tabs>
          <w:tab w:val="left" w:pos="284"/>
        </w:tabs>
        <w:spacing w:after="0" w:line="360" w:lineRule="auto"/>
        <w:jc w:val="both"/>
        <w:rPr>
          <w:rFonts w:ascii="Times New Roman" w:eastAsiaTheme="minorEastAsia" w:hAnsi="Times New Roman" w:cs="Times New Roman"/>
          <w:color w:val="FF0000"/>
          <w:sz w:val="24"/>
          <w:szCs w:val="24"/>
          <w:lang w:eastAsia="it-IT"/>
        </w:rPr>
      </w:pPr>
    </w:p>
    <w:p w14:paraId="17B1ECAF"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1FD1B69D"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4B5771FC"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74BCBF4A"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0803658F"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055BD32E"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2EC12FFA"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445A605D"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5A2FA1C1"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6"/>
          <w:szCs w:val="24"/>
          <w:lang w:eastAsia="it-IT"/>
        </w:rPr>
      </w:pPr>
    </w:p>
    <w:p w14:paraId="705D5E60"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2"/>
          <w:szCs w:val="24"/>
          <w:lang w:eastAsia="it-IT"/>
        </w:rPr>
      </w:pPr>
    </w:p>
    <w:p w14:paraId="48FA6CFB"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sz w:val="24"/>
          <w:szCs w:val="24"/>
          <w:lang w:eastAsia="it-IT"/>
        </w:rPr>
      </w:pPr>
      <w:r w:rsidRPr="00F56356">
        <w:rPr>
          <w:rFonts w:eastAsiaTheme="minorEastAsia" w:cs="Times New Roman"/>
          <w:noProof/>
          <w:lang w:eastAsia="it-IT"/>
        </w:rPr>
        <w:lastRenderedPageBreak/>
        <w:drawing>
          <wp:anchor distT="0" distB="0" distL="114300" distR="114300" simplePos="0" relativeHeight="251698176" behindDoc="1" locked="0" layoutInCell="1" allowOverlap="1" wp14:anchorId="6F5AF2AD" wp14:editId="0F1CCBAA">
            <wp:simplePos x="0" y="0"/>
            <wp:positionH relativeFrom="margin">
              <wp:align>right</wp:align>
            </wp:positionH>
            <wp:positionV relativeFrom="paragraph">
              <wp:posOffset>261620</wp:posOffset>
            </wp:positionV>
            <wp:extent cx="5905500" cy="3280410"/>
            <wp:effectExtent l="0" t="0" r="0" b="0"/>
            <wp:wrapTight wrapText="bothSides">
              <wp:wrapPolygon edited="0">
                <wp:start x="0" y="0"/>
                <wp:lineTo x="0" y="21449"/>
                <wp:lineTo x="11915" y="21449"/>
                <wp:lineTo x="21530" y="20321"/>
                <wp:lineTo x="21530" y="3512"/>
                <wp:lineTo x="21182" y="2007"/>
                <wp:lineTo x="21461" y="2007"/>
                <wp:lineTo x="21530" y="1505"/>
                <wp:lineTo x="21530" y="0"/>
                <wp:lineTo x="0" y="0"/>
              </wp:wrapPolygon>
            </wp:wrapTight>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05500" cy="3280410"/>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sz w:val="24"/>
          <w:szCs w:val="24"/>
          <w:lang w:eastAsia="it-IT"/>
        </w:rPr>
        <w:t>Indicatori di bilancio</w:t>
      </w:r>
    </w:p>
    <w:p w14:paraId="4A33A66F"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24"/>
          <w:szCs w:val="24"/>
          <w:lang w:eastAsia="it-IT"/>
        </w:rPr>
      </w:pPr>
    </w:p>
    <w:p w14:paraId="3A84D494" w14:textId="77777777" w:rsidR="00F56356" w:rsidRPr="00F56356" w:rsidRDefault="00F56356" w:rsidP="00F56356">
      <w:pPr>
        <w:tabs>
          <w:tab w:val="left" w:pos="0"/>
        </w:tabs>
        <w:spacing w:after="0" w:line="360" w:lineRule="auto"/>
        <w:jc w:val="center"/>
        <w:rPr>
          <w:rFonts w:ascii="Times New Roman" w:eastAsiaTheme="minorEastAsia" w:hAnsi="Times New Roman" w:cs="Times New Roman"/>
          <w:color w:val="FF0000"/>
          <w:sz w:val="8"/>
          <w:szCs w:val="24"/>
          <w:lang w:eastAsia="it-IT"/>
        </w:rPr>
      </w:pPr>
    </w:p>
    <w:p w14:paraId="14DC0CF5"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2.2.3</w:t>
      </w:r>
      <w:r w:rsidRPr="00F56356">
        <w:rPr>
          <w:rFonts w:ascii="Times New Roman" w:eastAsia="Times New Roman" w:hAnsi="Times New Roman" w:cs="Times New Roman"/>
          <w:color w:val="000000" w:themeColor="text1"/>
          <w:sz w:val="24"/>
          <w:szCs w:val="24"/>
          <w:lang w:eastAsia="it-IT"/>
        </w:rPr>
        <w:t xml:space="preserve"> Le risorse per le spese in conto capitale pari a euro 90.000.000,00 relative al “Fondo straordinario per gli interventi di sostegno all’editoria”, istituito dall’articolo 1, commi 375-377, della legge 30 dicembre 2021, n. 234 (legge di bilancio 2022), non sono state impegnate in quanto il decreto di riparto del Fondo è stato adottato a fine esercizio finanziario.</w:t>
      </w:r>
    </w:p>
    <w:p w14:paraId="58E9C8A7"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Secondo quanto previsto dall’articolo 1, comma 377, della medesima legge n. 234 del 2021, previa ricognizione delle specifiche esigenze e sentite le organizzazioni sindacali più rappresentative, in data 28 settembre 2022 è stato adottato il decreto del Presidente del Consiglio dei ministri, di concerto con il Ministro del lavoro e delle politiche sociali, il Ministro dello sviluppo economico e il Ministro dell’economia e delle finanze, che ha definito la ripartizione delle risorse del Fondo. Il suddetto decreto è stato registrato alla Corte dei conti in data 2 novembre 2022 al n. 2733 e pubblicato sulla G.U. Serie Generale n. 268 del 16 novembre 2022.</w:t>
      </w:r>
    </w:p>
    <w:p w14:paraId="1BC38A9C"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noProof/>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37A93147" w14:textId="77777777" w:rsidR="00F56356" w:rsidRPr="00F56356" w:rsidRDefault="00F56356" w:rsidP="00F56356">
      <w:pPr>
        <w:tabs>
          <w:tab w:val="left" w:pos="567"/>
        </w:tabs>
        <w:spacing w:after="0" w:line="360" w:lineRule="auto"/>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699200" behindDoc="1" locked="0" layoutInCell="1" allowOverlap="1" wp14:anchorId="5EBDF320" wp14:editId="3824FF92">
            <wp:simplePos x="0" y="0"/>
            <wp:positionH relativeFrom="column">
              <wp:posOffset>184785</wp:posOffset>
            </wp:positionH>
            <wp:positionV relativeFrom="paragraph">
              <wp:posOffset>257810</wp:posOffset>
            </wp:positionV>
            <wp:extent cx="5953125" cy="1117600"/>
            <wp:effectExtent l="0" t="0" r="9525" b="6350"/>
            <wp:wrapTight wrapText="bothSides">
              <wp:wrapPolygon edited="0">
                <wp:start x="0" y="0"/>
                <wp:lineTo x="0" y="21355"/>
                <wp:lineTo x="11958" y="21355"/>
                <wp:lineTo x="12511" y="20986"/>
                <wp:lineTo x="21565" y="18041"/>
                <wp:lineTo x="21565" y="10309"/>
                <wp:lineTo x="21220" y="5891"/>
                <wp:lineTo x="21496" y="5891"/>
                <wp:lineTo x="21565" y="4418"/>
                <wp:lineTo x="21565" y="0"/>
                <wp:lineTo x="0" y="0"/>
              </wp:wrapPolygon>
            </wp:wrapTight>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53125" cy="111760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Indicatori di bilancio </w:t>
      </w:r>
    </w:p>
    <w:p w14:paraId="70D449E1" w14:textId="77777777" w:rsidR="00F56356" w:rsidRPr="00F56356" w:rsidRDefault="00F56356" w:rsidP="00F56356">
      <w:pPr>
        <w:tabs>
          <w:tab w:val="left" w:pos="567"/>
        </w:tabs>
        <w:spacing w:after="0" w:line="360" w:lineRule="auto"/>
        <w:contextualSpacing/>
        <w:jc w:val="both"/>
        <w:rPr>
          <w:rFonts w:ascii="Times New Roman" w:eastAsia="Times New Roman" w:hAnsi="Times New Roman" w:cs="Times New Roman"/>
          <w:color w:val="000000" w:themeColor="text1"/>
          <w:sz w:val="24"/>
          <w:szCs w:val="24"/>
          <w:lang w:eastAsia="it-IT"/>
        </w:rPr>
      </w:pPr>
    </w:p>
    <w:p w14:paraId="1B233BD2" w14:textId="698258F9" w:rsid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489C425D" w14:textId="77777777" w:rsidR="00673DBE" w:rsidRPr="00F56356" w:rsidRDefault="00673DBE"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31BA9D2A"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Gli scostamenti tra gli indicatori di bilancio attesi e realizzati, sia per il funzionamento che per gli interventi, sono stati determinati:</w:t>
      </w:r>
    </w:p>
    <w:p w14:paraId="5F2C1EBC"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per il </w:t>
      </w:r>
      <w:bookmarkStart w:id="53" w:name="_Hlk133582953"/>
      <w:r w:rsidRPr="00F56356">
        <w:rPr>
          <w:rFonts w:ascii="Times New Roman" w:eastAsiaTheme="minorEastAsia" w:hAnsi="Times New Roman" w:cs="Times New Roman"/>
          <w:color w:val="000000" w:themeColor="text1"/>
          <w:sz w:val="24"/>
          <w:szCs w:val="24"/>
          <w:lang w:eastAsia="it-IT"/>
        </w:rPr>
        <w:t>capitolo</w:t>
      </w:r>
      <w:bookmarkEnd w:id="53"/>
      <w:r w:rsidRPr="00F56356">
        <w:rPr>
          <w:rFonts w:ascii="Times New Roman" w:eastAsiaTheme="minorEastAsia" w:hAnsi="Times New Roman" w:cs="Times New Roman"/>
          <w:color w:val="000000" w:themeColor="text1"/>
          <w:sz w:val="24"/>
          <w:szCs w:val="24"/>
          <w:lang w:eastAsia="it-IT"/>
        </w:rPr>
        <w:t xml:space="preserve"> 528 – </w:t>
      </w:r>
      <w:r w:rsidRPr="00F56356">
        <w:rPr>
          <w:rFonts w:ascii="Times New Roman" w:eastAsiaTheme="minorEastAsia" w:hAnsi="Times New Roman" w:cs="Times New Roman"/>
          <w:i/>
          <w:iCs/>
          <w:color w:val="000000" w:themeColor="text1"/>
          <w:sz w:val="24"/>
          <w:szCs w:val="24"/>
          <w:lang w:eastAsia="it-IT"/>
        </w:rPr>
        <w:t>Spese per acquisto</w:t>
      </w:r>
      <w:r w:rsidRPr="00F56356">
        <w:rPr>
          <w:rFonts w:ascii="Times New Roman" w:eastAsiaTheme="minorEastAsia" w:hAnsi="Times New Roman" w:cs="Times New Roman"/>
          <w:i/>
          <w:color w:val="000000" w:themeColor="text1"/>
          <w:sz w:val="24"/>
          <w:szCs w:val="24"/>
          <w:lang w:eastAsia="it-IT"/>
        </w:rPr>
        <w:t xml:space="preserve"> giornali, riviste e periodici</w:t>
      </w:r>
      <w:r w:rsidRPr="00F56356">
        <w:rPr>
          <w:rFonts w:ascii="Times New Roman" w:eastAsiaTheme="minorEastAsia" w:hAnsi="Times New Roman" w:cs="Times New Roman"/>
          <w:color w:val="000000" w:themeColor="text1"/>
          <w:sz w:val="24"/>
          <w:szCs w:val="24"/>
          <w:lang w:eastAsia="it-IT"/>
        </w:rPr>
        <w:t>, in quanto nel corso dell’esercizio finanziario 2022 non sono emerse, da parte dell’Autorità politica, esigenze di acquisto di pubblicazioni giornalistiche;</w:t>
      </w:r>
    </w:p>
    <w:p w14:paraId="3AA40144"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b) per il capitolo 540 – </w:t>
      </w:r>
      <w:r w:rsidRPr="00F56356">
        <w:rPr>
          <w:rFonts w:ascii="Times New Roman" w:eastAsiaTheme="minorEastAsia" w:hAnsi="Times New Roman" w:cs="Times New Roman"/>
          <w:i/>
          <w:color w:val="000000" w:themeColor="text1"/>
          <w:sz w:val="24"/>
          <w:szCs w:val="24"/>
          <w:lang w:eastAsia="it-IT"/>
        </w:rPr>
        <w:t xml:space="preserve">Spese inerenti </w:t>
      </w:r>
      <w:proofErr w:type="gramStart"/>
      <w:r w:rsidRPr="00F56356">
        <w:rPr>
          <w:rFonts w:ascii="Times New Roman" w:eastAsiaTheme="minorEastAsia" w:hAnsi="Times New Roman" w:cs="Times New Roman"/>
          <w:i/>
          <w:color w:val="000000" w:themeColor="text1"/>
          <w:sz w:val="24"/>
          <w:szCs w:val="24"/>
          <w:lang w:eastAsia="it-IT"/>
        </w:rPr>
        <w:t>i</w:t>
      </w:r>
      <w:proofErr w:type="gramEnd"/>
      <w:r w:rsidRPr="00F56356">
        <w:rPr>
          <w:rFonts w:ascii="Times New Roman" w:eastAsiaTheme="minorEastAsia" w:hAnsi="Times New Roman" w:cs="Times New Roman"/>
          <w:i/>
          <w:color w:val="000000" w:themeColor="text1"/>
          <w:sz w:val="24"/>
          <w:szCs w:val="24"/>
          <w:lang w:eastAsia="it-IT"/>
        </w:rPr>
        <w:t xml:space="preserve"> servizi tecnici del centro audiovisivi e cineteca, radioelettrici, telex e grafic</w:t>
      </w:r>
      <w:r w:rsidRPr="00F56356">
        <w:rPr>
          <w:rFonts w:ascii="Times New Roman" w:eastAsiaTheme="minorEastAsia" w:hAnsi="Times New Roman" w:cs="Times New Roman"/>
          <w:color w:val="000000" w:themeColor="text1"/>
          <w:sz w:val="24"/>
          <w:szCs w:val="24"/>
          <w:lang w:eastAsia="it-IT"/>
        </w:rPr>
        <w:t xml:space="preserve">i, in quanto da parte dell’Autorità politica non sono emerse esigenze in tal senso; </w:t>
      </w:r>
    </w:p>
    <w:p w14:paraId="40D167EB"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bCs/>
          <w:strike/>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 per il capitolo 545 – </w:t>
      </w:r>
      <w:r w:rsidRPr="00F56356">
        <w:rPr>
          <w:rFonts w:ascii="Times New Roman" w:eastAsiaTheme="minorEastAsia" w:hAnsi="Times New Roman" w:cs="Times New Roman"/>
          <w:i/>
          <w:color w:val="000000" w:themeColor="text1"/>
          <w:sz w:val="24"/>
          <w:szCs w:val="24"/>
          <w:lang w:eastAsia="it-IT"/>
        </w:rPr>
        <w:t>Spese di rappresentanza</w:t>
      </w:r>
      <w:r w:rsidRPr="00F56356">
        <w:rPr>
          <w:rFonts w:ascii="Times New Roman" w:eastAsiaTheme="minorEastAsia" w:hAnsi="Times New Roman" w:cs="Times New Roman"/>
          <w:color w:val="000000" w:themeColor="text1"/>
          <w:sz w:val="24"/>
          <w:szCs w:val="24"/>
          <w:lang w:eastAsia="it-IT"/>
        </w:rPr>
        <w:t>, in quanto non sono pervenute dall’Autorità politica ulteriori richieste in tal senso;</w:t>
      </w:r>
      <w:r w:rsidRPr="00F56356">
        <w:rPr>
          <w:rFonts w:ascii="Times New Roman" w:eastAsiaTheme="minorEastAsia" w:hAnsi="Times New Roman" w:cs="Times New Roman"/>
          <w:bCs/>
          <w:strike/>
          <w:color w:val="000000" w:themeColor="text1"/>
          <w:sz w:val="24"/>
          <w:szCs w:val="24"/>
          <w:lang w:eastAsia="it-IT"/>
        </w:rPr>
        <w:t xml:space="preserve"> </w:t>
      </w:r>
    </w:p>
    <w:p w14:paraId="3C8C7086"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iCs/>
          <w:color w:val="000000"/>
          <w:sz w:val="24"/>
          <w:szCs w:val="24"/>
          <w:lang w:eastAsia="it-IT"/>
        </w:rPr>
      </w:pPr>
      <w:r w:rsidRPr="00F56356">
        <w:rPr>
          <w:rFonts w:ascii="Times New Roman" w:eastAsiaTheme="minorEastAsia" w:hAnsi="Times New Roman" w:cs="Times New Roman"/>
          <w:bCs/>
          <w:color w:val="000000" w:themeColor="text1"/>
          <w:sz w:val="24"/>
          <w:szCs w:val="24"/>
          <w:lang w:eastAsia="it-IT"/>
        </w:rPr>
        <w:t xml:space="preserve">d) per il capitolo 480 - </w:t>
      </w:r>
      <w:r w:rsidRPr="00F56356">
        <w:rPr>
          <w:rFonts w:ascii="Times New Roman" w:eastAsiaTheme="minorEastAsia" w:hAnsi="Times New Roman" w:cs="Times New Roman"/>
          <w:bCs/>
          <w:i/>
          <w:color w:val="000000" w:themeColor="text1"/>
          <w:sz w:val="24"/>
          <w:szCs w:val="24"/>
          <w:lang w:eastAsia="it-IT"/>
        </w:rPr>
        <w:t>Rimborso alle Poste italiane S.p.A. dei maggiori oneri sostenuti per le agevolazioni tariffarie concesse per i prodotti editoriali compresi gli importi afferenti gli anni pregressi</w:t>
      </w:r>
      <w:r w:rsidRPr="00F56356">
        <w:rPr>
          <w:rFonts w:ascii="Times New Roman" w:eastAsiaTheme="minorEastAsia" w:hAnsi="Times New Roman" w:cs="Times New Roman"/>
          <w:bCs/>
          <w:color w:val="000000" w:themeColor="text1"/>
          <w:sz w:val="24"/>
          <w:szCs w:val="24"/>
          <w:lang w:eastAsia="it-IT"/>
        </w:rPr>
        <w:t xml:space="preserve">, dalla circostanza che </w:t>
      </w:r>
      <w:r w:rsidRPr="00F56356">
        <w:rPr>
          <w:rFonts w:ascii="Times New Roman" w:eastAsiaTheme="minorEastAsia" w:hAnsi="Times New Roman" w:cs="Times New Roman"/>
          <w:iCs/>
          <w:color w:val="000000"/>
          <w:sz w:val="24"/>
          <w:szCs w:val="24"/>
          <w:lang w:eastAsia="it-IT"/>
        </w:rPr>
        <w:t>Poste Italiane S.p.A. non ha presentato le fatture relative alle compensazioni per le agevolazioni tariffarie applicate al terzo e al quarto trimestre 2022; pertanto, non esistendo un’obbligazione giuridica per l’assunzione del relativo impegno, nelle more della presentazione di tali fatture, è stato chiesto il riporto in bilancio delle somme non impegnate nell’esercizio finanziario 2022;</w:t>
      </w:r>
    </w:p>
    <w:p w14:paraId="72C58976"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iCs/>
          <w:color w:val="000000"/>
          <w:sz w:val="24"/>
          <w:szCs w:val="24"/>
          <w:lang w:eastAsia="it-IT"/>
        </w:rPr>
      </w:pPr>
      <w:r w:rsidRPr="00F56356">
        <w:rPr>
          <w:rFonts w:ascii="Times New Roman" w:eastAsiaTheme="minorEastAsia" w:hAnsi="Times New Roman" w:cs="Times New Roman"/>
          <w:iCs/>
          <w:color w:val="000000"/>
          <w:sz w:val="24"/>
          <w:szCs w:val="24"/>
          <w:lang w:eastAsia="it-IT"/>
        </w:rPr>
        <w:t xml:space="preserve">e) per il capitolo 483 - </w:t>
      </w:r>
      <w:r w:rsidRPr="00F56356">
        <w:rPr>
          <w:rFonts w:ascii="Times New Roman" w:eastAsiaTheme="minorEastAsia" w:hAnsi="Times New Roman" w:cs="Times New Roman"/>
          <w:i/>
          <w:iCs/>
          <w:color w:val="000000"/>
          <w:sz w:val="24"/>
          <w:szCs w:val="24"/>
          <w:lang w:eastAsia="it-IT"/>
        </w:rPr>
        <w:t xml:space="preserve">Finanziamenti alle imprese editrici per la realizzazione di progetti innovativi, ai sensi dell’art. 57-bis, comma 3, del decreto-legge 24 aprile 2017, n. 50, </w:t>
      </w:r>
      <w:proofErr w:type="spellStart"/>
      <w:r w:rsidRPr="00F56356">
        <w:rPr>
          <w:rFonts w:ascii="Times New Roman" w:eastAsiaTheme="minorEastAsia" w:hAnsi="Times New Roman" w:cs="Times New Roman"/>
          <w:i/>
          <w:iCs/>
          <w:color w:val="000000"/>
          <w:sz w:val="24"/>
          <w:szCs w:val="24"/>
          <w:lang w:eastAsia="it-IT"/>
        </w:rPr>
        <w:t>conv</w:t>
      </w:r>
      <w:proofErr w:type="spellEnd"/>
      <w:r w:rsidRPr="00F56356">
        <w:rPr>
          <w:rFonts w:ascii="Times New Roman" w:eastAsiaTheme="minorEastAsia" w:hAnsi="Times New Roman" w:cs="Times New Roman"/>
          <w:i/>
          <w:iCs/>
          <w:color w:val="000000"/>
          <w:sz w:val="24"/>
          <w:szCs w:val="24"/>
          <w:lang w:eastAsia="it-IT"/>
        </w:rPr>
        <w:t>. con modificazioni dalla legge 21 giugno 2017, n. 96,</w:t>
      </w:r>
      <w:r w:rsidRPr="00F56356">
        <w:rPr>
          <w:rFonts w:eastAsiaTheme="minorEastAsia" w:cs="Times New Roman"/>
          <w:lang w:eastAsia="it-IT"/>
        </w:rPr>
        <w:t xml:space="preserve"> da</w:t>
      </w:r>
      <w:r w:rsidRPr="00F56356">
        <w:rPr>
          <w:rFonts w:ascii="Times New Roman" w:eastAsiaTheme="minorEastAsia" w:hAnsi="Times New Roman" w:cs="Times New Roman"/>
          <w:iCs/>
          <w:color w:val="000000"/>
          <w:sz w:val="24"/>
          <w:szCs w:val="24"/>
          <w:lang w:eastAsia="it-IT"/>
        </w:rPr>
        <w:t>l fatto che la procedura concorsuale, relativa ai bandi emanati dal Dipartimento il 2 agosto 2022, non si è conclusa nell’esercizio 2022.</w:t>
      </w:r>
    </w:p>
    <w:p w14:paraId="1F376A55"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iCs/>
          <w:color w:val="000000"/>
          <w:sz w:val="16"/>
          <w:szCs w:val="24"/>
          <w:lang w:eastAsia="it-IT"/>
        </w:rPr>
      </w:pPr>
    </w:p>
    <w:p w14:paraId="2BF6F91A" w14:textId="77777777" w:rsidR="00F56356" w:rsidRPr="00F56356" w:rsidRDefault="00F56356" w:rsidP="00F56356">
      <w:pPr>
        <w:tabs>
          <w:tab w:val="left" w:pos="567"/>
        </w:tabs>
        <w:spacing w:after="0" w:line="360" w:lineRule="auto"/>
        <w:ind w:left="284"/>
        <w:jc w:val="both"/>
        <w:rPr>
          <w:rFonts w:ascii="Times New Roman" w:eastAsiaTheme="minorEastAsia" w:hAnsi="Times New Roman" w:cs="Times New Roman"/>
          <w:bCs/>
          <w:color w:val="000000" w:themeColor="text1"/>
          <w:sz w:val="24"/>
          <w:szCs w:val="24"/>
          <w:lang w:eastAsia="it-IT"/>
        </w:rPr>
      </w:pPr>
      <w:r w:rsidRPr="00F56356">
        <w:rPr>
          <w:rFonts w:ascii="Times New Roman" w:eastAsiaTheme="minorEastAsia" w:hAnsi="Times New Roman" w:cs="Times New Roman"/>
          <w:iCs/>
          <w:color w:val="000000"/>
          <w:sz w:val="24"/>
          <w:szCs w:val="24"/>
          <w:lang w:eastAsia="it-IT"/>
        </w:rPr>
        <w:t xml:space="preserve">Si evidenzia, inoltre, che: </w:t>
      </w:r>
    </w:p>
    <w:p w14:paraId="3CBF1317"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per il capitolo 489 - </w:t>
      </w:r>
      <w:r w:rsidRPr="00F56356">
        <w:rPr>
          <w:rFonts w:ascii="Times New Roman" w:eastAsiaTheme="minorEastAsia" w:hAnsi="Times New Roman" w:cs="Times New Roman"/>
          <w:i/>
          <w:color w:val="000000" w:themeColor="text1"/>
          <w:sz w:val="24"/>
          <w:szCs w:val="24"/>
          <w:lang w:eastAsia="it-IT"/>
        </w:rPr>
        <w:t>Somme per gli interventi a favore dell’editoria da stabilire ai sensi dell’art. 1, c. 6, della l. 198/2016</w:t>
      </w:r>
      <w:r w:rsidRPr="00F56356">
        <w:rPr>
          <w:rFonts w:ascii="Times New Roman" w:eastAsiaTheme="minorEastAsia" w:hAnsi="Times New Roman" w:cs="Times New Roman"/>
          <w:color w:val="000000" w:themeColor="text1"/>
          <w:sz w:val="24"/>
          <w:szCs w:val="24"/>
          <w:lang w:eastAsia="it-IT"/>
        </w:rPr>
        <w:t>, non si è proceduto all’impegno delle risorse allocate sul capitolo, istituito appositamente nel 2022, a seguito dell’avvicendamento dei vertici politici conseguente al cambio di Governo; ciò non ha consentito l’individuazione degli interventi di competenza cui destinare le risorse entro l’esercizio finanziario 2022. Conseguentemente, per tali somme è stato chiesto il riporto in bilancio nell’esercizio finanziario 2023, per la cui finalizzazione sarà necessario predisporre uno (o più) decreti di ripartizione delle risorse, ai sensi dell’articolo 1, comma 6, della legge n. 198 del 2016.</w:t>
      </w:r>
    </w:p>
    <w:p w14:paraId="094C3F7D"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6"/>
          <w:szCs w:val="24"/>
          <w:lang w:eastAsia="it-IT"/>
        </w:rPr>
      </w:pPr>
    </w:p>
    <w:p w14:paraId="4D2C41A0"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6"/>
          <w:szCs w:val="24"/>
          <w:lang w:eastAsia="it-IT"/>
        </w:rPr>
      </w:pPr>
    </w:p>
    <w:p w14:paraId="35DE7F34"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6"/>
          <w:szCs w:val="24"/>
          <w:lang w:eastAsia="it-IT"/>
        </w:rPr>
      </w:pPr>
    </w:p>
    <w:p w14:paraId="33C2ACD5"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6"/>
          <w:szCs w:val="24"/>
          <w:lang w:eastAsia="it-IT"/>
        </w:rPr>
      </w:pPr>
    </w:p>
    <w:p w14:paraId="4E6D3108" w14:textId="77777777" w:rsidR="00F56356" w:rsidRPr="00F56356" w:rsidRDefault="00F56356" w:rsidP="00F56356">
      <w:pPr>
        <w:spacing w:after="0" w:line="360" w:lineRule="auto"/>
        <w:ind w:left="284"/>
        <w:jc w:val="both"/>
        <w:rPr>
          <w:rFonts w:ascii="Times New Roman" w:eastAsiaTheme="minorEastAsia" w:hAnsi="Times New Roman" w:cs="Times New Roman"/>
          <w:color w:val="FF0000"/>
          <w:sz w:val="6"/>
          <w:szCs w:val="24"/>
          <w:lang w:eastAsia="it-IT"/>
        </w:rPr>
      </w:pPr>
    </w:p>
    <w:p w14:paraId="4821C176" w14:textId="2DAAD7EE" w:rsidR="00F56356" w:rsidRDefault="00F56356" w:rsidP="00F56356">
      <w:pPr>
        <w:spacing w:after="0" w:line="360" w:lineRule="auto"/>
        <w:ind w:left="284"/>
        <w:jc w:val="both"/>
        <w:rPr>
          <w:rFonts w:ascii="Times New Roman" w:eastAsiaTheme="minorEastAsia" w:hAnsi="Times New Roman" w:cs="Times New Roman"/>
          <w:color w:val="FF0000"/>
          <w:sz w:val="6"/>
          <w:szCs w:val="24"/>
          <w:lang w:eastAsia="it-IT"/>
        </w:rPr>
      </w:pPr>
    </w:p>
    <w:p w14:paraId="0E2A9FC1" w14:textId="143F5DDF" w:rsidR="00673DBE" w:rsidRDefault="00673DBE"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5E00F4AC" w14:textId="65B76152" w:rsidR="00673DBE" w:rsidRDefault="00673DBE"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471D63C6" w14:textId="77777777" w:rsidR="00673DBE" w:rsidRPr="00F56356" w:rsidRDefault="00673DBE"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p>
    <w:p w14:paraId="520795E5"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lastRenderedPageBreak/>
        <w:t>Si riporta qui di seguito l’andamento delle politiche attive (interventi ed investimenti) nel corso del triennio 2020-2022:</w:t>
      </w:r>
    </w:p>
    <w:p w14:paraId="080E5DB8"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2A2E020F"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sz w:val="24"/>
          <w:szCs w:val="24"/>
          <w:lang w:eastAsia="it-IT"/>
        </w:rPr>
      </w:pPr>
    </w:p>
    <w:p w14:paraId="4211C55A" w14:textId="77777777" w:rsidR="00F56356" w:rsidRPr="00F56356" w:rsidRDefault="00F56356" w:rsidP="00F56356">
      <w:pPr>
        <w:spacing w:after="0" w:line="360" w:lineRule="auto"/>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7E6D61EC" wp14:editId="45528B6D">
            <wp:extent cx="3369183" cy="368269"/>
            <wp:effectExtent l="0" t="0" r="3175"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30635" cy="374986"/>
                    </a:xfrm>
                    <a:prstGeom prst="rect">
                      <a:avLst/>
                    </a:prstGeom>
                    <a:noFill/>
                    <a:ln>
                      <a:noFill/>
                    </a:ln>
                  </pic:spPr>
                </pic:pic>
              </a:graphicData>
            </a:graphic>
          </wp:inline>
        </w:drawing>
      </w:r>
    </w:p>
    <w:p w14:paraId="3ECCE79C" w14:textId="77777777" w:rsidR="00F56356" w:rsidRPr="00F56356" w:rsidRDefault="00F56356" w:rsidP="00F56356">
      <w:pPr>
        <w:spacing w:after="0" w:line="360" w:lineRule="auto"/>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color w:val="FF0000"/>
          <w:sz w:val="24"/>
          <w:szCs w:val="24"/>
          <w:lang w:eastAsia="it-IT"/>
        </w:rPr>
        <w:drawing>
          <wp:inline distT="0" distB="0" distL="0" distR="0" wp14:anchorId="0ABBB5A2" wp14:editId="5E33C3F1">
            <wp:extent cx="3430270" cy="2030980"/>
            <wp:effectExtent l="0" t="0" r="0" b="762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48839" cy="2041974"/>
                    </a:xfrm>
                    <a:prstGeom prst="rect">
                      <a:avLst/>
                    </a:prstGeom>
                    <a:noFill/>
                  </pic:spPr>
                </pic:pic>
              </a:graphicData>
            </a:graphic>
          </wp:inline>
        </w:drawing>
      </w:r>
    </w:p>
    <w:p w14:paraId="55DE2450"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4623E655"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6A48197A"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6B064BEA"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6B9B2DBE"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B36B4DB"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CC4FF83"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6C8B2924"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1B64124"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7EDCDAE"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8F8709E"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2E052029"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15AF98AB"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0C808E73"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AE57957"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106CD4DA"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3A2E654B"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20F0CDA2"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510D7C18"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0D5E800F"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7D638308"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6DA6C3F6" w14:textId="77777777" w:rsidR="00F56356" w:rsidRPr="00F56356" w:rsidRDefault="00F56356" w:rsidP="00F56356">
      <w:pPr>
        <w:spacing w:after="0" w:line="360" w:lineRule="auto"/>
        <w:ind w:left="284"/>
        <w:jc w:val="both"/>
        <w:rPr>
          <w:rFonts w:ascii="Times New Roman" w:eastAsiaTheme="minorEastAsia" w:hAnsi="Times New Roman" w:cs="Times New Roman"/>
          <w:color w:val="000000" w:themeColor="text1"/>
          <w:lang w:eastAsia="it-IT"/>
        </w:rPr>
      </w:pPr>
      <w:r w:rsidRPr="00F56356">
        <w:rPr>
          <w:rFonts w:eastAsiaTheme="minorEastAsia" w:cs="Times New Roman"/>
          <w:noProof/>
          <w:lang w:eastAsia="it-IT"/>
        </w:rPr>
        <w:lastRenderedPageBreak/>
        <w:drawing>
          <wp:anchor distT="0" distB="0" distL="114300" distR="114300" simplePos="0" relativeHeight="251746304" behindDoc="1" locked="0" layoutInCell="1" allowOverlap="1" wp14:anchorId="02F0E852" wp14:editId="6F0D3740">
            <wp:simplePos x="0" y="0"/>
            <wp:positionH relativeFrom="margin">
              <wp:align>right</wp:align>
            </wp:positionH>
            <wp:positionV relativeFrom="paragraph">
              <wp:posOffset>476885</wp:posOffset>
            </wp:positionV>
            <wp:extent cx="5970270" cy="8448675"/>
            <wp:effectExtent l="0" t="0" r="0" b="9525"/>
            <wp:wrapTight wrapText="bothSides">
              <wp:wrapPolygon edited="0">
                <wp:start x="0" y="0"/>
                <wp:lineTo x="0" y="21283"/>
                <wp:lineTo x="620" y="21576"/>
                <wp:lineTo x="19643" y="21576"/>
                <wp:lineTo x="21504" y="21527"/>
                <wp:lineTo x="21504" y="19968"/>
                <wp:lineTo x="21159" y="19822"/>
                <wp:lineTo x="19643" y="19481"/>
                <wp:lineTo x="19643" y="18702"/>
                <wp:lineTo x="21504" y="18556"/>
                <wp:lineTo x="21504" y="18459"/>
                <wp:lineTo x="19643" y="17923"/>
                <wp:lineTo x="19643" y="17144"/>
                <wp:lineTo x="21504" y="17144"/>
                <wp:lineTo x="21504" y="17095"/>
                <wp:lineTo x="19712" y="16364"/>
                <wp:lineTo x="21504" y="15585"/>
                <wp:lineTo x="19643" y="14806"/>
                <wp:lineTo x="21504" y="14514"/>
                <wp:lineTo x="21504" y="14416"/>
                <wp:lineTo x="19643" y="14027"/>
                <wp:lineTo x="19643" y="13247"/>
                <wp:lineTo x="21504" y="12760"/>
                <wp:lineTo x="21504" y="12663"/>
                <wp:lineTo x="19643" y="12468"/>
                <wp:lineTo x="19643" y="11689"/>
                <wp:lineTo x="21504" y="11251"/>
                <wp:lineTo x="21504" y="11153"/>
                <wp:lineTo x="19643" y="10910"/>
                <wp:lineTo x="21504" y="10471"/>
                <wp:lineTo x="21504" y="10374"/>
                <wp:lineTo x="19643" y="10130"/>
                <wp:lineTo x="21504" y="9887"/>
                <wp:lineTo x="21504" y="9789"/>
                <wp:lineTo x="19643" y="9351"/>
                <wp:lineTo x="19643" y="8572"/>
                <wp:lineTo x="21504" y="8231"/>
                <wp:lineTo x="21504" y="8133"/>
                <wp:lineTo x="19643" y="7793"/>
                <wp:lineTo x="19643" y="7013"/>
                <wp:lineTo x="21504" y="6721"/>
                <wp:lineTo x="21504" y="6624"/>
                <wp:lineTo x="19643" y="6234"/>
                <wp:lineTo x="19643" y="5455"/>
                <wp:lineTo x="21504" y="5016"/>
                <wp:lineTo x="21504" y="4919"/>
                <wp:lineTo x="19643" y="4676"/>
                <wp:lineTo x="19643" y="3896"/>
                <wp:lineTo x="21504" y="3361"/>
                <wp:lineTo x="21504" y="3263"/>
                <wp:lineTo x="19643" y="3117"/>
                <wp:lineTo x="19643" y="2338"/>
                <wp:lineTo x="20676" y="2338"/>
                <wp:lineTo x="21504" y="1997"/>
                <wp:lineTo x="21504" y="0"/>
                <wp:lineTo x="0" y="0"/>
              </wp:wrapPolygon>
            </wp:wrapTight>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0270" cy="844867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lang w:eastAsia="it-IT"/>
        </w:rPr>
        <w:t xml:space="preserve">Nelle Tabelle sottostanti è indicata la ripartizione delle risorse relative agli interventi/investimenti per destinatari finali, comprensive delle risorse relative ai residui passivi perenti </w:t>
      </w:r>
      <w:proofErr w:type="spellStart"/>
      <w:r w:rsidRPr="00F56356">
        <w:rPr>
          <w:rFonts w:ascii="Times New Roman" w:eastAsiaTheme="minorEastAsia" w:hAnsi="Times New Roman" w:cs="Times New Roman"/>
          <w:color w:val="000000" w:themeColor="text1"/>
          <w:lang w:eastAsia="it-IT"/>
        </w:rPr>
        <w:t>reiscritti</w:t>
      </w:r>
      <w:proofErr w:type="spellEnd"/>
      <w:r w:rsidRPr="00F56356">
        <w:rPr>
          <w:rFonts w:ascii="Times New Roman" w:eastAsiaTheme="minorEastAsia" w:hAnsi="Times New Roman" w:cs="Times New Roman"/>
          <w:color w:val="000000" w:themeColor="text1"/>
          <w:lang w:eastAsia="it-IT"/>
        </w:rPr>
        <w:t>:</w:t>
      </w:r>
    </w:p>
    <w:p w14:paraId="31B8B086"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045E5166" w14:textId="77777777" w:rsidTr="00F56356">
        <w:trPr>
          <w:trHeight w:val="510"/>
        </w:trPr>
        <w:tc>
          <w:tcPr>
            <w:tcW w:w="340" w:type="dxa"/>
            <w:tcBorders>
              <w:top w:val="nil"/>
              <w:left w:val="nil"/>
              <w:bottom w:val="nil"/>
              <w:right w:val="nil"/>
            </w:tcBorders>
            <w:shd w:val="clear" w:color="auto" w:fill="auto"/>
            <w:noWrap/>
            <w:vAlign w:val="bottom"/>
            <w:hideMark/>
          </w:tcPr>
          <w:p w14:paraId="1558DDC6"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40A74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3E9651B1" w14:textId="77777777" w:rsidTr="00F56356">
        <w:trPr>
          <w:trHeight w:val="690"/>
        </w:trPr>
        <w:tc>
          <w:tcPr>
            <w:tcW w:w="340" w:type="dxa"/>
            <w:tcBorders>
              <w:top w:val="nil"/>
              <w:left w:val="nil"/>
              <w:bottom w:val="nil"/>
              <w:right w:val="nil"/>
            </w:tcBorders>
            <w:shd w:val="clear" w:color="auto" w:fill="auto"/>
            <w:noWrap/>
            <w:vAlign w:val="center"/>
            <w:hideMark/>
          </w:tcPr>
          <w:p w14:paraId="31655A2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84112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373051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15 - Comunicazioni </w:t>
            </w:r>
          </w:p>
        </w:tc>
      </w:tr>
      <w:tr w:rsidR="00F56356" w:rsidRPr="00F56356" w14:paraId="23455454" w14:textId="77777777" w:rsidTr="00F56356">
        <w:trPr>
          <w:trHeight w:val="690"/>
        </w:trPr>
        <w:tc>
          <w:tcPr>
            <w:tcW w:w="340" w:type="dxa"/>
            <w:tcBorders>
              <w:top w:val="nil"/>
              <w:left w:val="nil"/>
              <w:bottom w:val="nil"/>
              <w:right w:val="nil"/>
            </w:tcBorders>
            <w:shd w:val="clear" w:color="auto" w:fill="auto"/>
            <w:noWrap/>
            <w:vAlign w:val="center"/>
            <w:hideMark/>
          </w:tcPr>
          <w:p w14:paraId="27C8B81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4AF41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882F6D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15.4 - Sostegno al pluralismo dell’informazione</w:t>
            </w:r>
          </w:p>
        </w:tc>
      </w:tr>
      <w:tr w:rsidR="00F56356" w:rsidRPr="00F56356" w14:paraId="06824DF9" w14:textId="77777777" w:rsidTr="00F56356">
        <w:trPr>
          <w:trHeight w:val="690"/>
        </w:trPr>
        <w:tc>
          <w:tcPr>
            <w:tcW w:w="340" w:type="dxa"/>
            <w:tcBorders>
              <w:top w:val="nil"/>
              <w:left w:val="nil"/>
              <w:bottom w:val="nil"/>
              <w:right w:val="nil"/>
            </w:tcBorders>
            <w:shd w:val="clear" w:color="auto" w:fill="auto"/>
            <w:noWrap/>
            <w:vAlign w:val="center"/>
            <w:hideMark/>
          </w:tcPr>
          <w:p w14:paraId="35C0DE6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320DE9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F09655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9 - Informazione ed editoria</w:t>
            </w:r>
          </w:p>
        </w:tc>
      </w:tr>
      <w:tr w:rsidR="00F56356" w:rsidRPr="00F56356" w14:paraId="25BB6367" w14:textId="77777777" w:rsidTr="00F56356">
        <w:trPr>
          <w:trHeight w:val="720"/>
        </w:trPr>
        <w:tc>
          <w:tcPr>
            <w:tcW w:w="340" w:type="dxa"/>
            <w:tcBorders>
              <w:top w:val="nil"/>
              <w:left w:val="nil"/>
              <w:bottom w:val="nil"/>
              <w:right w:val="nil"/>
            </w:tcBorders>
            <w:shd w:val="clear" w:color="auto" w:fill="auto"/>
            <w:noWrap/>
            <w:vAlign w:val="center"/>
            <w:hideMark/>
          </w:tcPr>
          <w:p w14:paraId="4FF5EAE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8406DA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ABBE7E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Realizzazione delle pubblicazioni e dei sondaggi commissionati dall’Autorità politica e dalle strutture della PCM </w:t>
            </w:r>
          </w:p>
        </w:tc>
      </w:tr>
      <w:tr w:rsidR="00F56356" w:rsidRPr="00F56356" w14:paraId="66E9E38B" w14:textId="77777777" w:rsidTr="00F56356">
        <w:trPr>
          <w:trHeight w:val="960"/>
        </w:trPr>
        <w:tc>
          <w:tcPr>
            <w:tcW w:w="340" w:type="dxa"/>
            <w:tcBorders>
              <w:top w:val="nil"/>
              <w:left w:val="nil"/>
              <w:bottom w:val="nil"/>
              <w:right w:val="nil"/>
            </w:tcBorders>
            <w:shd w:val="clear" w:color="auto" w:fill="auto"/>
            <w:noWrap/>
            <w:vAlign w:val="center"/>
            <w:hideMark/>
          </w:tcPr>
          <w:p w14:paraId="20E136E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B03A5D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5FD065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Il DIE provvede all’acquisto di servizi per la realizzazione di pubblicazioni istituzionali, nonché per la realizzazione di studi e sondaggi.</w:t>
            </w:r>
          </w:p>
        </w:tc>
      </w:tr>
      <w:tr w:rsidR="00F56356" w:rsidRPr="00F56356" w14:paraId="1B97616F" w14:textId="77777777" w:rsidTr="00F56356">
        <w:trPr>
          <w:trHeight w:val="360"/>
        </w:trPr>
        <w:tc>
          <w:tcPr>
            <w:tcW w:w="340" w:type="dxa"/>
            <w:tcBorders>
              <w:top w:val="nil"/>
              <w:left w:val="nil"/>
              <w:bottom w:val="nil"/>
              <w:right w:val="nil"/>
            </w:tcBorders>
            <w:shd w:val="clear" w:color="auto" w:fill="auto"/>
            <w:noWrap/>
            <w:vAlign w:val="center"/>
            <w:hideMark/>
          </w:tcPr>
          <w:p w14:paraId="35CB297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023EC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7301B6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57DEE3C" w14:textId="77777777" w:rsidTr="00F56356">
        <w:trPr>
          <w:trHeight w:val="360"/>
        </w:trPr>
        <w:tc>
          <w:tcPr>
            <w:tcW w:w="340" w:type="dxa"/>
            <w:tcBorders>
              <w:top w:val="nil"/>
              <w:left w:val="nil"/>
              <w:bottom w:val="nil"/>
              <w:right w:val="nil"/>
            </w:tcBorders>
            <w:shd w:val="clear" w:color="auto" w:fill="auto"/>
            <w:noWrap/>
            <w:vAlign w:val="center"/>
            <w:hideMark/>
          </w:tcPr>
          <w:p w14:paraId="1981A93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E450D7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A22D62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0D38CED" w14:textId="77777777" w:rsidTr="00F56356">
        <w:trPr>
          <w:trHeight w:val="525"/>
        </w:trPr>
        <w:tc>
          <w:tcPr>
            <w:tcW w:w="340" w:type="dxa"/>
            <w:tcBorders>
              <w:top w:val="nil"/>
              <w:left w:val="nil"/>
              <w:bottom w:val="nil"/>
              <w:right w:val="nil"/>
            </w:tcBorders>
            <w:shd w:val="clear" w:color="auto" w:fill="auto"/>
            <w:noWrap/>
            <w:vAlign w:val="bottom"/>
            <w:hideMark/>
          </w:tcPr>
          <w:p w14:paraId="4B292E6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5E58DD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7E5C7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474</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4AD733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2A74E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A8F86D0" w14:textId="77777777" w:rsidTr="00F56356">
        <w:trPr>
          <w:trHeight w:val="1305"/>
        </w:trPr>
        <w:tc>
          <w:tcPr>
            <w:tcW w:w="340" w:type="dxa"/>
            <w:tcBorders>
              <w:top w:val="nil"/>
              <w:left w:val="nil"/>
              <w:bottom w:val="nil"/>
              <w:right w:val="nil"/>
            </w:tcBorders>
            <w:shd w:val="clear" w:color="auto" w:fill="auto"/>
            <w:noWrap/>
            <w:vAlign w:val="bottom"/>
            <w:hideMark/>
          </w:tcPr>
          <w:p w14:paraId="4ED20CC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B402BD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7DED9B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B52BF4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1082094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7AA988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6AA1B3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6E2818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60708E1" w14:textId="77777777" w:rsidTr="00F56356">
        <w:trPr>
          <w:trHeight w:val="720"/>
        </w:trPr>
        <w:tc>
          <w:tcPr>
            <w:tcW w:w="340" w:type="dxa"/>
            <w:tcBorders>
              <w:top w:val="nil"/>
              <w:left w:val="nil"/>
              <w:bottom w:val="nil"/>
              <w:right w:val="nil"/>
            </w:tcBorders>
            <w:shd w:val="clear" w:color="auto" w:fill="auto"/>
            <w:noWrap/>
            <w:vAlign w:val="bottom"/>
            <w:hideMark/>
          </w:tcPr>
          <w:p w14:paraId="3F33959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8FE3B9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C3FD34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79883E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150.000,00</w:t>
            </w:r>
          </w:p>
        </w:tc>
        <w:tc>
          <w:tcPr>
            <w:tcW w:w="1140" w:type="dxa"/>
            <w:tcBorders>
              <w:top w:val="nil"/>
              <w:left w:val="nil"/>
              <w:bottom w:val="single" w:sz="4" w:space="0" w:color="auto"/>
              <w:right w:val="single" w:sz="4" w:space="0" w:color="auto"/>
            </w:tcBorders>
            <w:shd w:val="clear" w:color="auto" w:fill="auto"/>
            <w:noWrap/>
            <w:vAlign w:val="center"/>
            <w:hideMark/>
          </w:tcPr>
          <w:p w14:paraId="010961E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246.800,00</w:t>
            </w:r>
          </w:p>
        </w:tc>
        <w:tc>
          <w:tcPr>
            <w:tcW w:w="1180" w:type="dxa"/>
            <w:tcBorders>
              <w:top w:val="nil"/>
              <w:left w:val="nil"/>
              <w:bottom w:val="single" w:sz="4" w:space="0" w:color="auto"/>
              <w:right w:val="single" w:sz="4" w:space="0" w:color="auto"/>
            </w:tcBorders>
            <w:shd w:val="clear" w:color="auto" w:fill="auto"/>
            <w:noWrap/>
            <w:vAlign w:val="center"/>
            <w:hideMark/>
          </w:tcPr>
          <w:p w14:paraId="5FFEAA9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196.292,86</w:t>
            </w:r>
          </w:p>
        </w:tc>
        <w:tc>
          <w:tcPr>
            <w:tcW w:w="1340" w:type="dxa"/>
            <w:tcBorders>
              <w:top w:val="nil"/>
              <w:left w:val="nil"/>
              <w:bottom w:val="single" w:sz="4" w:space="0" w:color="auto"/>
              <w:right w:val="single" w:sz="4" w:space="0" w:color="auto"/>
            </w:tcBorders>
            <w:shd w:val="clear" w:color="auto" w:fill="auto"/>
            <w:noWrap/>
            <w:vAlign w:val="center"/>
            <w:hideMark/>
          </w:tcPr>
          <w:p w14:paraId="47E37FD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9.290,76</w:t>
            </w:r>
          </w:p>
        </w:tc>
        <w:tc>
          <w:tcPr>
            <w:tcW w:w="1140" w:type="dxa"/>
            <w:tcBorders>
              <w:top w:val="nil"/>
              <w:left w:val="nil"/>
              <w:bottom w:val="single" w:sz="4" w:space="0" w:color="auto"/>
              <w:right w:val="single" w:sz="4" w:space="0" w:color="auto"/>
            </w:tcBorders>
            <w:shd w:val="clear" w:color="auto" w:fill="auto"/>
            <w:noWrap/>
            <w:vAlign w:val="center"/>
            <w:hideMark/>
          </w:tcPr>
          <w:p w14:paraId="7DABE1E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205.583,62</w:t>
            </w:r>
          </w:p>
        </w:tc>
      </w:tr>
      <w:tr w:rsidR="00F56356" w:rsidRPr="00F56356" w14:paraId="52B348E2" w14:textId="77777777" w:rsidTr="00F56356">
        <w:trPr>
          <w:trHeight w:val="330"/>
        </w:trPr>
        <w:tc>
          <w:tcPr>
            <w:tcW w:w="340" w:type="dxa"/>
            <w:tcBorders>
              <w:top w:val="nil"/>
              <w:left w:val="nil"/>
              <w:bottom w:val="nil"/>
              <w:right w:val="nil"/>
            </w:tcBorders>
            <w:shd w:val="clear" w:color="auto" w:fill="auto"/>
            <w:noWrap/>
            <w:vAlign w:val="bottom"/>
            <w:hideMark/>
          </w:tcPr>
          <w:p w14:paraId="16EC7A2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917F36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76E1953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725BD1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DD4D77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95B4A4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E3D28E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B5839E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CE9AC47" w14:textId="77777777" w:rsidTr="00F56356">
        <w:trPr>
          <w:trHeight w:val="540"/>
        </w:trPr>
        <w:tc>
          <w:tcPr>
            <w:tcW w:w="340" w:type="dxa"/>
            <w:tcBorders>
              <w:top w:val="nil"/>
              <w:left w:val="nil"/>
              <w:bottom w:val="nil"/>
              <w:right w:val="nil"/>
            </w:tcBorders>
            <w:shd w:val="clear" w:color="auto" w:fill="auto"/>
            <w:noWrap/>
            <w:vAlign w:val="bottom"/>
            <w:hideMark/>
          </w:tcPr>
          <w:p w14:paraId="42FFF5B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70836C9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7FC230C2" w14:textId="77777777" w:rsidTr="00F56356">
        <w:trPr>
          <w:trHeight w:val="345"/>
        </w:trPr>
        <w:tc>
          <w:tcPr>
            <w:tcW w:w="340" w:type="dxa"/>
            <w:tcBorders>
              <w:top w:val="nil"/>
              <w:left w:val="nil"/>
              <w:bottom w:val="nil"/>
              <w:right w:val="nil"/>
            </w:tcBorders>
            <w:shd w:val="clear" w:color="auto" w:fill="auto"/>
            <w:noWrap/>
            <w:vAlign w:val="bottom"/>
            <w:hideMark/>
          </w:tcPr>
          <w:p w14:paraId="2B830E5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DC8E9E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37EFE166" w14:textId="77777777" w:rsidTr="00F56356">
        <w:trPr>
          <w:trHeight w:val="345"/>
        </w:trPr>
        <w:tc>
          <w:tcPr>
            <w:tcW w:w="340" w:type="dxa"/>
            <w:tcBorders>
              <w:top w:val="nil"/>
              <w:left w:val="nil"/>
              <w:bottom w:val="nil"/>
              <w:right w:val="nil"/>
            </w:tcBorders>
            <w:shd w:val="clear" w:color="auto" w:fill="auto"/>
            <w:noWrap/>
            <w:vAlign w:val="bottom"/>
            <w:hideMark/>
          </w:tcPr>
          <w:p w14:paraId="57D58D9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36A6CC14"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4B34B7CD" w14:textId="77777777" w:rsidTr="00F56356">
        <w:trPr>
          <w:trHeight w:val="480"/>
        </w:trPr>
        <w:tc>
          <w:tcPr>
            <w:tcW w:w="340" w:type="dxa"/>
            <w:tcBorders>
              <w:top w:val="nil"/>
              <w:left w:val="nil"/>
              <w:bottom w:val="nil"/>
              <w:right w:val="nil"/>
            </w:tcBorders>
            <w:shd w:val="clear" w:color="auto" w:fill="auto"/>
            <w:noWrap/>
            <w:vAlign w:val="bottom"/>
            <w:hideMark/>
          </w:tcPr>
          <w:p w14:paraId="08A6E07F"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FF24D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0A7F6FF" w14:textId="77777777" w:rsidTr="00F56356">
        <w:trPr>
          <w:trHeight w:val="690"/>
        </w:trPr>
        <w:tc>
          <w:tcPr>
            <w:tcW w:w="340" w:type="dxa"/>
            <w:tcBorders>
              <w:top w:val="nil"/>
              <w:left w:val="nil"/>
              <w:bottom w:val="nil"/>
              <w:right w:val="nil"/>
            </w:tcBorders>
            <w:shd w:val="clear" w:color="auto" w:fill="auto"/>
            <w:noWrap/>
            <w:vAlign w:val="center"/>
            <w:hideMark/>
          </w:tcPr>
          <w:p w14:paraId="407C04B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0CCF69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21D7F4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realizzazione delle pubblicazioni e dei sondaggi commissionati dall’Autorità politica</w:t>
            </w:r>
          </w:p>
        </w:tc>
      </w:tr>
      <w:tr w:rsidR="00F56356" w:rsidRPr="00F56356" w14:paraId="77E0F1FB" w14:textId="77777777" w:rsidTr="00F56356">
        <w:trPr>
          <w:trHeight w:val="690"/>
        </w:trPr>
        <w:tc>
          <w:tcPr>
            <w:tcW w:w="340" w:type="dxa"/>
            <w:tcBorders>
              <w:top w:val="nil"/>
              <w:left w:val="nil"/>
              <w:bottom w:val="nil"/>
              <w:right w:val="nil"/>
            </w:tcBorders>
            <w:shd w:val="clear" w:color="auto" w:fill="auto"/>
            <w:noWrap/>
            <w:vAlign w:val="center"/>
            <w:hideMark/>
          </w:tcPr>
          <w:p w14:paraId="06BB5D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CF7E49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D0A1C0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PEC. PROTOCOLLO / EMAIL </w:t>
            </w:r>
          </w:p>
        </w:tc>
      </w:tr>
      <w:tr w:rsidR="00F56356" w:rsidRPr="00F56356" w14:paraId="7E25AD37" w14:textId="77777777" w:rsidTr="00F56356">
        <w:trPr>
          <w:trHeight w:val="1650"/>
        </w:trPr>
        <w:tc>
          <w:tcPr>
            <w:tcW w:w="340" w:type="dxa"/>
            <w:tcBorders>
              <w:top w:val="nil"/>
              <w:left w:val="nil"/>
              <w:bottom w:val="nil"/>
              <w:right w:val="nil"/>
            </w:tcBorders>
            <w:shd w:val="clear" w:color="auto" w:fill="auto"/>
            <w:noWrap/>
            <w:vAlign w:val="center"/>
            <w:hideMark/>
          </w:tcPr>
          <w:p w14:paraId="0BB01D0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E5740B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45B2AE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Numero di pubblicazioni e sondaggi realizzati / numero di pubblicazioni e sondaggi richiesti dall’Autorità politica e dalle strutture della PCM</w:t>
            </w:r>
          </w:p>
        </w:tc>
        <w:tc>
          <w:tcPr>
            <w:tcW w:w="1180" w:type="dxa"/>
            <w:tcBorders>
              <w:top w:val="nil"/>
              <w:left w:val="nil"/>
              <w:bottom w:val="single" w:sz="4" w:space="0" w:color="auto"/>
              <w:right w:val="nil"/>
            </w:tcBorders>
            <w:shd w:val="clear" w:color="auto" w:fill="auto"/>
            <w:vAlign w:val="center"/>
            <w:hideMark/>
          </w:tcPr>
          <w:p w14:paraId="688B0D5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98B4F1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067188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0E831DB8" w14:textId="77777777" w:rsidTr="00F56356">
        <w:trPr>
          <w:trHeight w:val="615"/>
        </w:trPr>
        <w:tc>
          <w:tcPr>
            <w:tcW w:w="340" w:type="dxa"/>
            <w:tcBorders>
              <w:top w:val="nil"/>
              <w:left w:val="nil"/>
              <w:bottom w:val="nil"/>
              <w:right w:val="nil"/>
            </w:tcBorders>
            <w:shd w:val="clear" w:color="auto" w:fill="auto"/>
            <w:noWrap/>
            <w:vAlign w:val="bottom"/>
            <w:hideMark/>
          </w:tcPr>
          <w:p w14:paraId="0673089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061CB0F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5BDCB1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D254FF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0B7A181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65FBF8C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r>
    </w:tbl>
    <w:p w14:paraId="5717DD41"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p w14:paraId="498FF668" w14:textId="77777777" w:rsidR="00F56356" w:rsidRPr="00F56356" w:rsidRDefault="00F56356" w:rsidP="00F56356">
      <w:pPr>
        <w:spacing w:after="0" w:line="360" w:lineRule="auto"/>
        <w:jc w:val="both"/>
        <w:rPr>
          <w:rFonts w:ascii="Times New Roman" w:eastAsiaTheme="minorEastAsia" w:hAnsi="Times New Roman" w:cs="Times New Roman"/>
          <w:color w:val="000000" w:themeColor="text1"/>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634B0946" w14:textId="77777777" w:rsidTr="00F56356">
        <w:trPr>
          <w:trHeight w:val="510"/>
        </w:trPr>
        <w:tc>
          <w:tcPr>
            <w:tcW w:w="340" w:type="dxa"/>
            <w:tcBorders>
              <w:top w:val="nil"/>
              <w:left w:val="nil"/>
              <w:bottom w:val="nil"/>
              <w:right w:val="nil"/>
            </w:tcBorders>
            <w:shd w:val="clear" w:color="auto" w:fill="auto"/>
            <w:noWrap/>
            <w:vAlign w:val="bottom"/>
            <w:hideMark/>
          </w:tcPr>
          <w:p w14:paraId="32ECCDE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49DE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7FF24D63" w14:textId="77777777" w:rsidTr="00F56356">
        <w:trPr>
          <w:trHeight w:val="319"/>
        </w:trPr>
        <w:tc>
          <w:tcPr>
            <w:tcW w:w="340" w:type="dxa"/>
            <w:tcBorders>
              <w:top w:val="nil"/>
              <w:left w:val="nil"/>
              <w:bottom w:val="nil"/>
              <w:right w:val="nil"/>
            </w:tcBorders>
            <w:shd w:val="clear" w:color="auto" w:fill="auto"/>
            <w:noWrap/>
            <w:vAlign w:val="center"/>
            <w:hideMark/>
          </w:tcPr>
          <w:p w14:paraId="50AFB88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04683F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C4220D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15 - Comunicazioni </w:t>
            </w:r>
          </w:p>
        </w:tc>
      </w:tr>
      <w:tr w:rsidR="00F56356" w:rsidRPr="00F56356" w14:paraId="5C631901" w14:textId="77777777" w:rsidTr="00F56356">
        <w:trPr>
          <w:trHeight w:val="422"/>
        </w:trPr>
        <w:tc>
          <w:tcPr>
            <w:tcW w:w="340" w:type="dxa"/>
            <w:tcBorders>
              <w:top w:val="nil"/>
              <w:left w:val="nil"/>
              <w:bottom w:val="nil"/>
              <w:right w:val="nil"/>
            </w:tcBorders>
            <w:shd w:val="clear" w:color="auto" w:fill="auto"/>
            <w:noWrap/>
            <w:vAlign w:val="center"/>
            <w:hideMark/>
          </w:tcPr>
          <w:p w14:paraId="0D8FDE8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358BBC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E28C03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15.4 - Sostegno al pluralismo dell’informazione</w:t>
            </w:r>
          </w:p>
        </w:tc>
      </w:tr>
      <w:tr w:rsidR="00F56356" w:rsidRPr="00F56356" w14:paraId="6BB7EA2B" w14:textId="77777777" w:rsidTr="00F56356">
        <w:trPr>
          <w:trHeight w:val="415"/>
        </w:trPr>
        <w:tc>
          <w:tcPr>
            <w:tcW w:w="340" w:type="dxa"/>
            <w:tcBorders>
              <w:top w:val="nil"/>
              <w:left w:val="nil"/>
              <w:bottom w:val="nil"/>
              <w:right w:val="nil"/>
            </w:tcBorders>
            <w:shd w:val="clear" w:color="auto" w:fill="auto"/>
            <w:noWrap/>
            <w:vAlign w:val="center"/>
            <w:hideMark/>
          </w:tcPr>
          <w:p w14:paraId="60C3347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BBFE7A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C26131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9 - Informazione ed editoria</w:t>
            </w:r>
          </w:p>
        </w:tc>
      </w:tr>
      <w:tr w:rsidR="00F56356" w:rsidRPr="00F56356" w14:paraId="3004A39B" w14:textId="77777777" w:rsidTr="00F56356">
        <w:trPr>
          <w:trHeight w:val="1256"/>
        </w:trPr>
        <w:tc>
          <w:tcPr>
            <w:tcW w:w="340" w:type="dxa"/>
            <w:tcBorders>
              <w:top w:val="nil"/>
              <w:left w:val="nil"/>
              <w:bottom w:val="nil"/>
              <w:right w:val="nil"/>
            </w:tcBorders>
            <w:shd w:val="clear" w:color="auto" w:fill="auto"/>
            <w:noWrap/>
            <w:vAlign w:val="center"/>
            <w:hideMark/>
          </w:tcPr>
          <w:p w14:paraId="099F5B0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173C22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0EB5AB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Corresponsione a Rai </w:t>
            </w:r>
            <w:proofErr w:type="spellStart"/>
            <w:r w:rsidRPr="00F56356">
              <w:rPr>
                <w:rFonts w:ascii="Times New Roman" w:eastAsia="Times New Roman" w:hAnsi="Times New Roman" w:cs="Times New Roman"/>
                <w:color w:val="000000"/>
                <w:sz w:val="20"/>
                <w:szCs w:val="20"/>
                <w:lang w:eastAsia="it-IT"/>
              </w:rPr>
              <w:t>Com</w:t>
            </w:r>
            <w:proofErr w:type="spellEnd"/>
            <w:r w:rsidRPr="00F56356">
              <w:rPr>
                <w:rFonts w:ascii="Times New Roman" w:eastAsia="Times New Roman" w:hAnsi="Times New Roman" w:cs="Times New Roman"/>
                <w:color w:val="000000"/>
                <w:sz w:val="20"/>
                <w:szCs w:val="20"/>
                <w:lang w:eastAsia="it-IT"/>
              </w:rPr>
              <w:t xml:space="preserve"> S.p.a. del contributo previsto dalla Convenzione stipulata tra la Presidenza del Consiglio dei Ministri - Dipartimento per l’informazione e l’editoria e la Rai per l’espletamento del servizio pubblico di radiodiffusione nella Repubblica di San Marino del 30 dicembre 1991 e dal successivo Accordo tra la Repubblica Italiana e la Repubblica di San Marino del 2008.</w:t>
            </w:r>
          </w:p>
        </w:tc>
      </w:tr>
      <w:tr w:rsidR="00F56356" w:rsidRPr="00F56356" w14:paraId="7FFE352A" w14:textId="77777777" w:rsidTr="00F56356">
        <w:trPr>
          <w:trHeight w:val="1006"/>
        </w:trPr>
        <w:tc>
          <w:tcPr>
            <w:tcW w:w="340" w:type="dxa"/>
            <w:tcBorders>
              <w:top w:val="nil"/>
              <w:left w:val="nil"/>
              <w:bottom w:val="nil"/>
              <w:right w:val="nil"/>
            </w:tcBorders>
            <w:shd w:val="clear" w:color="auto" w:fill="auto"/>
            <w:noWrap/>
            <w:vAlign w:val="center"/>
            <w:hideMark/>
          </w:tcPr>
          <w:p w14:paraId="3D054B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3AA15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74B54B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Il DIE provvede al pagamento del contributo come sopra descritto ai sensi della Convenzione fra PCM e Rai e dell’Accordo sopra citati, nonché della legge 29 settembre 2015, n. 164 di ratifica dell’Accordo stesso, a seguito di presentazione di fattura annuale posticipata. </w:t>
            </w:r>
          </w:p>
        </w:tc>
      </w:tr>
      <w:tr w:rsidR="00F56356" w:rsidRPr="00F56356" w14:paraId="4A1D25D5" w14:textId="77777777" w:rsidTr="00F56356">
        <w:trPr>
          <w:trHeight w:val="360"/>
        </w:trPr>
        <w:tc>
          <w:tcPr>
            <w:tcW w:w="340" w:type="dxa"/>
            <w:tcBorders>
              <w:top w:val="nil"/>
              <w:left w:val="nil"/>
              <w:bottom w:val="nil"/>
              <w:right w:val="nil"/>
            </w:tcBorders>
            <w:shd w:val="clear" w:color="auto" w:fill="auto"/>
            <w:noWrap/>
            <w:vAlign w:val="center"/>
            <w:hideMark/>
          </w:tcPr>
          <w:p w14:paraId="564A850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3DEC9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4DF005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9563DDA" w14:textId="77777777" w:rsidTr="00F56356">
        <w:trPr>
          <w:trHeight w:val="360"/>
        </w:trPr>
        <w:tc>
          <w:tcPr>
            <w:tcW w:w="340" w:type="dxa"/>
            <w:tcBorders>
              <w:top w:val="nil"/>
              <w:left w:val="nil"/>
              <w:bottom w:val="nil"/>
              <w:right w:val="nil"/>
            </w:tcBorders>
            <w:shd w:val="clear" w:color="auto" w:fill="auto"/>
            <w:noWrap/>
            <w:vAlign w:val="center"/>
            <w:hideMark/>
          </w:tcPr>
          <w:p w14:paraId="5B412B8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E2EC68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382507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9F15658" w14:textId="77777777" w:rsidTr="00F56356">
        <w:trPr>
          <w:trHeight w:val="525"/>
        </w:trPr>
        <w:tc>
          <w:tcPr>
            <w:tcW w:w="340" w:type="dxa"/>
            <w:tcBorders>
              <w:top w:val="nil"/>
              <w:left w:val="nil"/>
              <w:bottom w:val="nil"/>
              <w:right w:val="nil"/>
            </w:tcBorders>
            <w:shd w:val="clear" w:color="auto" w:fill="auto"/>
            <w:noWrap/>
            <w:vAlign w:val="bottom"/>
            <w:hideMark/>
          </w:tcPr>
          <w:p w14:paraId="4C8F8C6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A09BB0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2581E0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476</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84FEB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E2D465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369CCAC" w14:textId="77777777" w:rsidTr="00F56356">
        <w:trPr>
          <w:trHeight w:val="1305"/>
        </w:trPr>
        <w:tc>
          <w:tcPr>
            <w:tcW w:w="340" w:type="dxa"/>
            <w:tcBorders>
              <w:top w:val="nil"/>
              <w:left w:val="nil"/>
              <w:bottom w:val="nil"/>
              <w:right w:val="nil"/>
            </w:tcBorders>
            <w:shd w:val="clear" w:color="auto" w:fill="auto"/>
            <w:noWrap/>
            <w:vAlign w:val="bottom"/>
            <w:hideMark/>
          </w:tcPr>
          <w:p w14:paraId="1A8A51D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772D08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AB72EC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08955D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FADF32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F55791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D13DBA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0DDEB24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EB5D5A8" w14:textId="77777777" w:rsidTr="00F56356">
        <w:trPr>
          <w:trHeight w:val="720"/>
        </w:trPr>
        <w:tc>
          <w:tcPr>
            <w:tcW w:w="340" w:type="dxa"/>
            <w:tcBorders>
              <w:top w:val="nil"/>
              <w:left w:val="nil"/>
              <w:bottom w:val="nil"/>
              <w:right w:val="nil"/>
            </w:tcBorders>
            <w:shd w:val="clear" w:color="auto" w:fill="auto"/>
            <w:noWrap/>
            <w:vAlign w:val="bottom"/>
            <w:hideMark/>
          </w:tcPr>
          <w:p w14:paraId="7CDDA08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D641DC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4D83BA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67665D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2.878.569,00</w:t>
            </w:r>
          </w:p>
        </w:tc>
        <w:tc>
          <w:tcPr>
            <w:tcW w:w="1140" w:type="dxa"/>
            <w:tcBorders>
              <w:top w:val="nil"/>
              <w:left w:val="nil"/>
              <w:bottom w:val="single" w:sz="4" w:space="0" w:color="auto"/>
              <w:right w:val="single" w:sz="4" w:space="0" w:color="auto"/>
            </w:tcBorders>
            <w:shd w:val="clear" w:color="auto" w:fill="auto"/>
            <w:noWrap/>
            <w:vAlign w:val="center"/>
            <w:hideMark/>
          </w:tcPr>
          <w:p w14:paraId="172EBF7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2.878.569,00</w:t>
            </w:r>
          </w:p>
        </w:tc>
        <w:tc>
          <w:tcPr>
            <w:tcW w:w="1180" w:type="dxa"/>
            <w:tcBorders>
              <w:top w:val="nil"/>
              <w:left w:val="nil"/>
              <w:bottom w:val="single" w:sz="4" w:space="0" w:color="auto"/>
              <w:right w:val="single" w:sz="4" w:space="0" w:color="auto"/>
            </w:tcBorders>
            <w:shd w:val="clear" w:color="auto" w:fill="auto"/>
            <w:noWrap/>
            <w:vAlign w:val="center"/>
            <w:hideMark/>
          </w:tcPr>
          <w:p w14:paraId="77739BC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92B3A6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2.878.569,00</w:t>
            </w:r>
          </w:p>
        </w:tc>
        <w:tc>
          <w:tcPr>
            <w:tcW w:w="1140" w:type="dxa"/>
            <w:tcBorders>
              <w:top w:val="nil"/>
              <w:left w:val="nil"/>
              <w:bottom w:val="single" w:sz="4" w:space="0" w:color="auto"/>
              <w:right w:val="single" w:sz="4" w:space="0" w:color="auto"/>
            </w:tcBorders>
            <w:shd w:val="clear" w:color="auto" w:fill="auto"/>
            <w:noWrap/>
            <w:vAlign w:val="center"/>
            <w:hideMark/>
          </w:tcPr>
          <w:p w14:paraId="7A6CE5B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2.878.569,00</w:t>
            </w:r>
          </w:p>
        </w:tc>
      </w:tr>
      <w:tr w:rsidR="00F56356" w:rsidRPr="00F56356" w14:paraId="3EAEF0C2" w14:textId="77777777" w:rsidTr="00F56356">
        <w:trPr>
          <w:trHeight w:val="330"/>
        </w:trPr>
        <w:tc>
          <w:tcPr>
            <w:tcW w:w="340" w:type="dxa"/>
            <w:tcBorders>
              <w:top w:val="nil"/>
              <w:left w:val="nil"/>
              <w:bottom w:val="nil"/>
              <w:right w:val="nil"/>
            </w:tcBorders>
            <w:shd w:val="clear" w:color="auto" w:fill="auto"/>
            <w:noWrap/>
            <w:vAlign w:val="bottom"/>
            <w:hideMark/>
          </w:tcPr>
          <w:p w14:paraId="60D253C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7FE54A57"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A61E34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85884B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6E73DB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038416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93283D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1F853A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8923859" w14:textId="77777777" w:rsidTr="00F56356">
        <w:trPr>
          <w:trHeight w:val="540"/>
        </w:trPr>
        <w:tc>
          <w:tcPr>
            <w:tcW w:w="340" w:type="dxa"/>
            <w:tcBorders>
              <w:top w:val="nil"/>
              <w:left w:val="nil"/>
              <w:bottom w:val="nil"/>
              <w:right w:val="nil"/>
            </w:tcBorders>
            <w:shd w:val="clear" w:color="auto" w:fill="auto"/>
            <w:noWrap/>
            <w:vAlign w:val="bottom"/>
            <w:hideMark/>
          </w:tcPr>
          <w:p w14:paraId="5857254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23F119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5ECA04C4" w14:textId="77777777" w:rsidTr="00F56356">
        <w:trPr>
          <w:trHeight w:val="345"/>
        </w:trPr>
        <w:tc>
          <w:tcPr>
            <w:tcW w:w="340" w:type="dxa"/>
            <w:tcBorders>
              <w:top w:val="nil"/>
              <w:left w:val="nil"/>
              <w:bottom w:val="nil"/>
              <w:right w:val="nil"/>
            </w:tcBorders>
            <w:shd w:val="clear" w:color="auto" w:fill="auto"/>
            <w:noWrap/>
            <w:vAlign w:val="bottom"/>
            <w:hideMark/>
          </w:tcPr>
          <w:p w14:paraId="4C88A98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1DBF81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0F6CA31C" w14:textId="77777777" w:rsidTr="00F56356">
        <w:trPr>
          <w:trHeight w:val="345"/>
        </w:trPr>
        <w:tc>
          <w:tcPr>
            <w:tcW w:w="340" w:type="dxa"/>
            <w:tcBorders>
              <w:top w:val="nil"/>
              <w:left w:val="nil"/>
              <w:bottom w:val="nil"/>
              <w:right w:val="nil"/>
            </w:tcBorders>
            <w:shd w:val="clear" w:color="auto" w:fill="auto"/>
            <w:noWrap/>
            <w:vAlign w:val="bottom"/>
            <w:hideMark/>
          </w:tcPr>
          <w:p w14:paraId="0725AEB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4BAB8DD3"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4794FC21" w14:textId="77777777" w:rsidTr="00F56356">
        <w:trPr>
          <w:trHeight w:val="480"/>
        </w:trPr>
        <w:tc>
          <w:tcPr>
            <w:tcW w:w="340" w:type="dxa"/>
            <w:tcBorders>
              <w:top w:val="nil"/>
              <w:left w:val="nil"/>
              <w:bottom w:val="nil"/>
              <w:right w:val="nil"/>
            </w:tcBorders>
            <w:shd w:val="clear" w:color="auto" w:fill="auto"/>
            <w:noWrap/>
            <w:vAlign w:val="bottom"/>
            <w:hideMark/>
          </w:tcPr>
          <w:p w14:paraId="55BA1946"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6883C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9DEED81" w14:textId="77777777" w:rsidTr="00F56356">
        <w:trPr>
          <w:trHeight w:val="418"/>
        </w:trPr>
        <w:tc>
          <w:tcPr>
            <w:tcW w:w="340" w:type="dxa"/>
            <w:tcBorders>
              <w:top w:val="nil"/>
              <w:left w:val="nil"/>
              <w:bottom w:val="nil"/>
              <w:right w:val="nil"/>
            </w:tcBorders>
            <w:shd w:val="clear" w:color="auto" w:fill="auto"/>
            <w:noWrap/>
            <w:vAlign w:val="center"/>
            <w:hideMark/>
          </w:tcPr>
          <w:p w14:paraId="399961B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C46A09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C8C9FE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Tempestività nel pagamento della fattura</w:t>
            </w:r>
          </w:p>
        </w:tc>
      </w:tr>
      <w:tr w:rsidR="00F56356" w:rsidRPr="00F56356" w14:paraId="77B3F7A5" w14:textId="77777777" w:rsidTr="00F56356">
        <w:trPr>
          <w:trHeight w:val="428"/>
        </w:trPr>
        <w:tc>
          <w:tcPr>
            <w:tcW w:w="340" w:type="dxa"/>
            <w:tcBorders>
              <w:top w:val="nil"/>
              <w:left w:val="nil"/>
              <w:bottom w:val="nil"/>
              <w:right w:val="nil"/>
            </w:tcBorders>
            <w:shd w:val="clear" w:color="auto" w:fill="auto"/>
            <w:noWrap/>
            <w:vAlign w:val="center"/>
            <w:hideMark/>
          </w:tcPr>
          <w:p w14:paraId="084A5B7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A473E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AFFF05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PEC. PROTOCOLLO / EMAIL </w:t>
            </w:r>
          </w:p>
        </w:tc>
      </w:tr>
      <w:tr w:rsidR="00F56356" w:rsidRPr="00F56356" w14:paraId="27ADE5F5" w14:textId="77777777" w:rsidTr="00F56356">
        <w:trPr>
          <w:trHeight w:val="1650"/>
        </w:trPr>
        <w:tc>
          <w:tcPr>
            <w:tcW w:w="340" w:type="dxa"/>
            <w:tcBorders>
              <w:top w:val="nil"/>
              <w:left w:val="nil"/>
              <w:bottom w:val="nil"/>
              <w:right w:val="nil"/>
            </w:tcBorders>
            <w:shd w:val="clear" w:color="auto" w:fill="auto"/>
            <w:noWrap/>
            <w:vAlign w:val="center"/>
            <w:hideMark/>
          </w:tcPr>
          <w:p w14:paraId="4E305E1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95860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343517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Pagamento della fattura relativa all’anno precedente entro il 31 dicembre del 2022, ove ne ricorrano i presupposti previsti dalla legge e dalla Convenzione in vigore. </w:t>
            </w:r>
          </w:p>
        </w:tc>
        <w:tc>
          <w:tcPr>
            <w:tcW w:w="1180" w:type="dxa"/>
            <w:tcBorders>
              <w:top w:val="nil"/>
              <w:left w:val="nil"/>
              <w:bottom w:val="single" w:sz="4" w:space="0" w:color="auto"/>
              <w:right w:val="nil"/>
            </w:tcBorders>
            <w:shd w:val="clear" w:color="auto" w:fill="auto"/>
            <w:vAlign w:val="center"/>
            <w:hideMark/>
          </w:tcPr>
          <w:p w14:paraId="789958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DEF07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600CC6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6753577" w14:textId="77777777" w:rsidTr="00F56356">
        <w:trPr>
          <w:trHeight w:val="615"/>
        </w:trPr>
        <w:tc>
          <w:tcPr>
            <w:tcW w:w="340" w:type="dxa"/>
            <w:tcBorders>
              <w:top w:val="nil"/>
              <w:left w:val="nil"/>
              <w:bottom w:val="nil"/>
              <w:right w:val="nil"/>
            </w:tcBorders>
            <w:shd w:val="clear" w:color="auto" w:fill="auto"/>
            <w:noWrap/>
            <w:vAlign w:val="bottom"/>
            <w:hideMark/>
          </w:tcPr>
          <w:p w14:paraId="555BA25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771037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59E7D6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gg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2C3D2FA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340" w:type="dxa"/>
            <w:tcBorders>
              <w:top w:val="nil"/>
              <w:left w:val="nil"/>
              <w:bottom w:val="single" w:sz="4" w:space="0" w:color="auto"/>
              <w:right w:val="nil"/>
            </w:tcBorders>
            <w:shd w:val="clear" w:color="auto" w:fill="auto"/>
            <w:vAlign w:val="center"/>
            <w:hideMark/>
          </w:tcPr>
          <w:p w14:paraId="425A211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6B3454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0991086D"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1BFCEA2F"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50B0C379"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2847CDDA"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65B0F651" w14:textId="77777777" w:rsidR="00F56356" w:rsidRPr="00F56356" w:rsidRDefault="00F56356" w:rsidP="00F56356">
      <w:pPr>
        <w:jc w:val="center"/>
        <w:rPr>
          <w:rFonts w:ascii="Times New Roman" w:eastAsiaTheme="minorEastAsia" w:hAnsi="Times New Roman" w:cs="Times New Roman"/>
          <w:sz w:val="12"/>
          <w:szCs w:val="12"/>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F56356" w:rsidRPr="00F56356" w14:paraId="12CFF4E5" w14:textId="77777777" w:rsidTr="00F56356">
        <w:trPr>
          <w:trHeight w:val="510"/>
        </w:trPr>
        <w:tc>
          <w:tcPr>
            <w:tcW w:w="340" w:type="dxa"/>
            <w:tcBorders>
              <w:top w:val="nil"/>
              <w:left w:val="nil"/>
              <w:bottom w:val="nil"/>
              <w:right w:val="nil"/>
            </w:tcBorders>
            <w:shd w:val="clear" w:color="auto" w:fill="auto"/>
            <w:noWrap/>
            <w:vAlign w:val="bottom"/>
            <w:hideMark/>
          </w:tcPr>
          <w:p w14:paraId="50E65E4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BB0C3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120B3811" w14:textId="77777777" w:rsidTr="00F56356">
        <w:trPr>
          <w:trHeight w:val="461"/>
        </w:trPr>
        <w:tc>
          <w:tcPr>
            <w:tcW w:w="340" w:type="dxa"/>
            <w:tcBorders>
              <w:top w:val="nil"/>
              <w:left w:val="nil"/>
              <w:bottom w:val="nil"/>
              <w:right w:val="nil"/>
            </w:tcBorders>
            <w:shd w:val="clear" w:color="auto" w:fill="auto"/>
            <w:noWrap/>
            <w:vAlign w:val="center"/>
            <w:hideMark/>
          </w:tcPr>
          <w:p w14:paraId="4EF2AC0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BED3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9D6D73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15 - Comunicazioni </w:t>
            </w:r>
          </w:p>
        </w:tc>
      </w:tr>
      <w:tr w:rsidR="00F56356" w:rsidRPr="00F56356" w14:paraId="20262E20" w14:textId="77777777" w:rsidTr="00F56356">
        <w:trPr>
          <w:trHeight w:val="470"/>
        </w:trPr>
        <w:tc>
          <w:tcPr>
            <w:tcW w:w="340" w:type="dxa"/>
            <w:tcBorders>
              <w:top w:val="nil"/>
              <w:left w:val="nil"/>
              <w:bottom w:val="nil"/>
              <w:right w:val="nil"/>
            </w:tcBorders>
            <w:shd w:val="clear" w:color="auto" w:fill="auto"/>
            <w:noWrap/>
            <w:vAlign w:val="center"/>
            <w:hideMark/>
          </w:tcPr>
          <w:p w14:paraId="5372AAE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13721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20D37E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15.4 - Sostegno al pluralismo dell’informazione</w:t>
            </w:r>
          </w:p>
        </w:tc>
      </w:tr>
      <w:tr w:rsidR="00F56356" w:rsidRPr="00F56356" w14:paraId="09A44EF4" w14:textId="77777777" w:rsidTr="00F56356">
        <w:trPr>
          <w:trHeight w:val="479"/>
        </w:trPr>
        <w:tc>
          <w:tcPr>
            <w:tcW w:w="340" w:type="dxa"/>
            <w:tcBorders>
              <w:top w:val="nil"/>
              <w:left w:val="nil"/>
              <w:bottom w:val="nil"/>
              <w:right w:val="nil"/>
            </w:tcBorders>
            <w:shd w:val="clear" w:color="auto" w:fill="auto"/>
            <w:noWrap/>
            <w:vAlign w:val="center"/>
            <w:hideMark/>
          </w:tcPr>
          <w:p w14:paraId="73C4449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88FD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16C0FB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9 - Informazione ed editoria</w:t>
            </w:r>
          </w:p>
        </w:tc>
      </w:tr>
      <w:tr w:rsidR="00F56356" w:rsidRPr="00F56356" w14:paraId="16846446" w14:textId="77777777" w:rsidTr="00F56356">
        <w:trPr>
          <w:trHeight w:val="720"/>
        </w:trPr>
        <w:tc>
          <w:tcPr>
            <w:tcW w:w="340" w:type="dxa"/>
            <w:tcBorders>
              <w:top w:val="nil"/>
              <w:left w:val="nil"/>
              <w:bottom w:val="nil"/>
              <w:right w:val="nil"/>
            </w:tcBorders>
            <w:shd w:val="clear" w:color="auto" w:fill="auto"/>
            <w:noWrap/>
            <w:vAlign w:val="center"/>
            <w:hideMark/>
          </w:tcPr>
          <w:p w14:paraId="7F75AE3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A89FE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00B8F4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Acquisto di servizi giornalistici e informativi per la P.A e per la rete diplomatica e consolare</w:t>
            </w:r>
          </w:p>
        </w:tc>
      </w:tr>
      <w:tr w:rsidR="00F56356" w:rsidRPr="00F56356" w14:paraId="1B5AA113" w14:textId="77777777" w:rsidTr="00F56356">
        <w:trPr>
          <w:trHeight w:val="1575"/>
        </w:trPr>
        <w:tc>
          <w:tcPr>
            <w:tcW w:w="340" w:type="dxa"/>
            <w:tcBorders>
              <w:top w:val="nil"/>
              <w:left w:val="nil"/>
              <w:bottom w:val="nil"/>
              <w:right w:val="nil"/>
            </w:tcBorders>
            <w:shd w:val="clear" w:color="auto" w:fill="auto"/>
            <w:noWrap/>
            <w:vAlign w:val="center"/>
            <w:hideMark/>
          </w:tcPr>
          <w:p w14:paraId="70077DD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74561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C184D5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Il DIE provvede alla copertura del fabbisogno di servizi di informazione primaria delle Amministrazioni statali, ai sensi della Legge 23/12/2014, n. 190 art. 1, comma 321, della Legge 15/5/1954, n. 237 così come interpretata dalla Legge 27/12/1997, n. 449 art. 55, comma 24. A partire dal 2017, i servizi informativi sono stati acquistati tramite le procedure di gara europea previste dal D. Lgs n. 50/2016. </w:t>
            </w:r>
          </w:p>
        </w:tc>
      </w:tr>
      <w:tr w:rsidR="00F56356" w:rsidRPr="00F56356" w14:paraId="68D02DAA" w14:textId="77777777" w:rsidTr="00F56356">
        <w:trPr>
          <w:trHeight w:val="360"/>
        </w:trPr>
        <w:tc>
          <w:tcPr>
            <w:tcW w:w="340" w:type="dxa"/>
            <w:tcBorders>
              <w:top w:val="nil"/>
              <w:left w:val="nil"/>
              <w:bottom w:val="nil"/>
              <w:right w:val="nil"/>
            </w:tcBorders>
            <w:shd w:val="clear" w:color="auto" w:fill="auto"/>
            <w:noWrap/>
            <w:vAlign w:val="center"/>
            <w:hideMark/>
          </w:tcPr>
          <w:p w14:paraId="7EE2136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20FCE9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374F46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DAD0578" w14:textId="77777777" w:rsidTr="00F56356">
        <w:trPr>
          <w:trHeight w:val="360"/>
        </w:trPr>
        <w:tc>
          <w:tcPr>
            <w:tcW w:w="340" w:type="dxa"/>
            <w:tcBorders>
              <w:top w:val="nil"/>
              <w:left w:val="nil"/>
              <w:bottom w:val="nil"/>
              <w:right w:val="nil"/>
            </w:tcBorders>
            <w:shd w:val="clear" w:color="auto" w:fill="auto"/>
            <w:noWrap/>
            <w:vAlign w:val="center"/>
            <w:hideMark/>
          </w:tcPr>
          <w:p w14:paraId="1574B97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9FCA50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C532B3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491D527" w14:textId="77777777" w:rsidTr="00F56356">
        <w:trPr>
          <w:trHeight w:val="525"/>
        </w:trPr>
        <w:tc>
          <w:tcPr>
            <w:tcW w:w="340" w:type="dxa"/>
            <w:tcBorders>
              <w:top w:val="nil"/>
              <w:left w:val="nil"/>
              <w:bottom w:val="nil"/>
              <w:right w:val="nil"/>
            </w:tcBorders>
            <w:shd w:val="clear" w:color="auto" w:fill="auto"/>
            <w:noWrap/>
            <w:vAlign w:val="bottom"/>
            <w:hideMark/>
          </w:tcPr>
          <w:p w14:paraId="41B77A1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6D30E8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9E24DC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479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9CDBBB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4A7CDE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51658954" w14:textId="77777777" w:rsidTr="00F56356">
        <w:trPr>
          <w:trHeight w:val="1305"/>
        </w:trPr>
        <w:tc>
          <w:tcPr>
            <w:tcW w:w="340" w:type="dxa"/>
            <w:tcBorders>
              <w:top w:val="nil"/>
              <w:left w:val="nil"/>
              <w:bottom w:val="nil"/>
              <w:right w:val="nil"/>
            </w:tcBorders>
            <w:shd w:val="clear" w:color="auto" w:fill="auto"/>
            <w:noWrap/>
            <w:vAlign w:val="bottom"/>
            <w:hideMark/>
          </w:tcPr>
          <w:p w14:paraId="19AB1DA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49D331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DBE8FC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29F115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2B6867E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5F67F9F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2EC734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40F7E1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619A2BC" w14:textId="77777777" w:rsidTr="00F56356">
        <w:trPr>
          <w:trHeight w:val="720"/>
        </w:trPr>
        <w:tc>
          <w:tcPr>
            <w:tcW w:w="340" w:type="dxa"/>
            <w:tcBorders>
              <w:top w:val="nil"/>
              <w:left w:val="nil"/>
              <w:bottom w:val="nil"/>
              <w:right w:val="nil"/>
            </w:tcBorders>
            <w:shd w:val="clear" w:color="auto" w:fill="auto"/>
            <w:noWrap/>
            <w:vAlign w:val="bottom"/>
            <w:hideMark/>
          </w:tcPr>
          <w:p w14:paraId="3F524C3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3426E4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68DC8F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7863EC3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46.000.000,00</w:t>
            </w:r>
          </w:p>
        </w:tc>
        <w:tc>
          <w:tcPr>
            <w:tcW w:w="1140" w:type="dxa"/>
            <w:tcBorders>
              <w:top w:val="nil"/>
              <w:left w:val="nil"/>
              <w:bottom w:val="single" w:sz="4" w:space="0" w:color="auto"/>
              <w:right w:val="single" w:sz="4" w:space="0" w:color="auto"/>
            </w:tcBorders>
            <w:shd w:val="clear" w:color="auto" w:fill="auto"/>
            <w:noWrap/>
            <w:vAlign w:val="center"/>
            <w:hideMark/>
          </w:tcPr>
          <w:p w14:paraId="2C6A128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47.657.171,35</w:t>
            </w:r>
          </w:p>
        </w:tc>
        <w:tc>
          <w:tcPr>
            <w:tcW w:w="1180" w:type="dxa"/>
            <w:tcBorders>
              <w:top w:val="nil"/>
              <w:left w:val="nil"/>
              <w:bottom w:val="single" w:sz="4" w:space="0" w:color="auto"/>
              <w:right w:val="single" w:sz="4" w:space="0" w:color="auto"/>
            </w:tcBorders>
            <w:shd w:val="clear" w:color="auto" w:fill="auto"/>
            <w:noWrap/>
            <w:vAlign w:val="center"/>
            <w:hideMark/>
          </w:tcPr>
          <w:p w14:paraId="7C55E4B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45.501.793,30</w:t>
            </w:r>
          </w:p>
        </w:tc>
        <w:tc>
          <w:tcPr>
            <w:tcW w:w="1340" w:type="dxa"/>
            <w:tcBorders>
              <w:top w:val="nil"/>
              <w:left w:val="nil"/>
              <w:bottom w:val="single" w:sz="4" w:space="0" w:color="auto"/>
              <w:right w:val="single" w:sz="4" w:space="0" w:color="auto"/>
            </w:tcBorders>
            <w:shd w:val="clear" w:color="auto" w:fill="auto"/>
            <w:noWrap/>
            <w:vAlign w:val="center"/>
            <w:hideMark/>
          </w:tcPr>
          <w:p w14:paraId="06341D3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523.533,98</w:t>
            </w:r>
          </w:p>
        </w:tc>
        <w:tc>
          <w:tcPr>
            <w:tcW w:w="1140" w:type="dxa"/>
            <w:tcBorders>
              <w:top w:val="nil"/>
              <w:left w:val="nil"/>
              <w:bottom w:val="single" w:sz="4" w:space="0" w:color="auto"/>
              <w:right w:val="single" w:sz="4" w:space="0" w:color="auto"/>
            </w:tcBorders>
            <w:shd w:val="clear" w:color="auto" w:fill="auto"/>
            <w:noWrap/>
            <w:vAlign w:val="center"/>
            <w:hideMark/>
          </w:tcPr>
          <w:p w14:paraId="1852A89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46.025.327,28</w:t>
            </w:r>
          </w:p>
        </w:tc>
      </w:tr>
      <w:tr w:rsidR="00F56356" w:rsidRPr="00F56356" w14:paraId="71C9BCDD" w14:textId="77777777" w:rsidTr="00F56356">
        <w:trPr>
          <w:trHeight w:val="330"/>
        </w:trPr>
        <w:tc>
          <w:tcPr>
            <w:tcW w:w="340" w:type="dxa"/>
            <w:tcBorders>
              <w:top w:val="nil"/>
              <w:left w:val="nil"/>
              <w:bottom w:val="nil"/>
              <w:right w:val="nil"/>
            </w:tcBorders>
            <w:shd w:val="clear" w:color="auto" w:fill="auto"/>
            <w:noWrap/>
            <w:vAlign w:val="bottom"/>
            <w:hideMark/>
          </w:tcPr>
          <w:p w14:paraId="1084DAE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3CE397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97E6B0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1DC061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0E27C7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BCCDE0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6D6EB0B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4A7E7E8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576B54C" w14:textId="77777777" w:rsidTr="00F56356">
        <w:trPr>
          <w:trHeight w:val="540"/>
        </w:trPr>
        <w:tc>
          <w:tcPr>
            <w:tcW w:w="340" w:type="dxa"/>
            <w:tcBorders>
              <w:top w:val="nil"/>
              <w:left w:val="nil"/>
              <w:bottom w:val="nil"/>
              <w:right w:val="nil"/>
            </w:tcBorders>
            <w:shd w:val="clear" w:color="auto" w:fill="auto"/>
            <w:noWrap/>
            <w:vAlign w:val="bottom"/>
            <w:hideMark/>
          </w:tcPr>
          <w:p w14:paraId="635F5BB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C4EC8B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636B88E5" w14:textId="77777777" w:rsidTr="00F56356">
        <w:trPr>
          <w:trHeight w:val="345"/>
        </w:trPr>
        <w:tc>
          <w:tcPr>
            <w:tcW w:w="340" w:type="dxa"/>
            <w:tcBorders>
              <w:top w:val="nil"/>
              <w:left w:val="nil"/>
              <w:bottom w:val="nil"/>
              <w:right w:val="nil"/>
            </w:tcBorders>
            <w:shd w:val="clear" w:color="auto" w:fill="auto"/>
            <w:noWrap/>
            <w:vAlign w:val="bottom"/>
            <w:hideMark/>
          </w:tcPr>
          <w:p w14:paraId="461613E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8056E7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6DFDB8B6" w14:textId="77777777" w:rsidTr="00F56356">
        <w:trPr>
          <w:trHeight w:val="345"/>
        </w:trPr>
        <w:tc>
          <w:tcPr>
            <w:tcW w:w="340" w:type="dxa"/>
            <w:tcBorders>
              <w:top w:val="nil"/>
              <w:left w:val="nil"/>
              <w:bottom w:val="nil"/>
              <w:right w:val="nil"/>
            </w:tcBorders>
            <w:shd w:val="clear" w:color="auto" w:fill="auto"/>
            <w:noWrap/>
            <w:vAlign w:val="bottom"/>
            <w:hideMark/>
          </w:tcPr>
          <w:p w14:paraId="2F6FA5D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939EB1D"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2B576CCD" w14:textId="77777777" w:rsidTr="00F56356">
        <w:trPr>
          <w:trHeight w:val="480"/>
        </w:trPr>
        <w:tc>
          <w:tcPr>
            <w:tcW w:w="340" w:type="dxa"/>
            <w:tcBorders>
              <w:top w:val="nil"/>
              <w:left w:val="nil"/>
              <w:bottom w:val="nil"/>
              <w:right w:val="nil"/>
            </w:tcBorders>
            <w:shd w:val="clear" w:color="auto" w:fill="auto"/>
            <w:noWrap/>
            <w:vAlign w:val="bottom"/>
            <w:hideMark/>
          </w:tcPr>
          <w:p w14:paraId="39A3FDA7"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46B9E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67259DD1" w14:textId="77777777" w:rsidTr="00F56356">
        <w:trPr>
          <w:trHeight w:val="690"/>
        </w:trPr>
        <w:tc>
          <w:tcPr>
            <w:tcW w:w="340" w:type="dxa"/>
            <w:tcBorders>
              <w:top w:val="nil"/>
              <w:left w:val="nil"/>
              <w:bottom w:val="nil"/>
              <w:right w:val="nil"/>
            </w:tcBorders>
            <w:shd w:val="clear" w:color="auto" w:fill="auto"/>
            <w:noWrap/>
            <w:vAlign w:val="center"/>
            <w:hideMark/>
          </w:tcPr>
          <w:p w14:paraId="53F5B4A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42190F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6C3231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Tempestività della liquidazione dei corrispettivi alle Agenzie di stampa</w:t>
            </w:r>
          </w:p>
        </w:tc>
      </w:tr>
      <w:tr w:rsidR="00F56356" w:rsidRPr="00F56356" w14:paraId="48D3C657" w14:textId="77777777" w:rsidTr="00F56356">
        <w:trPr>
          <w:trHeight w:val="690"/>
        </w:trPr>
        <w:tc>
          <w:tcPr>
            <w:tcW w:w="340" w:type="dxa"/>
            <w:tcBorders>
              <w:top w:val="nil"/>
              <w:left w:val="nil"/>
              <w:bottom w:val="nil"/>
              <w:right w:val="nil"/>
            </w:tcBorders>
            <w:shd w:val="clear" w:color="auto" w:fill="auto"/>
            <w:noWrap/>
            <w:vAlign w:val="center"/>
            <w:hideMark/>
          </w:tcPr>
          <w:p w14:paraId="292435D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31531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84C793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PEC. PROTOCOLLO / EMAIL </w:t>
            </w:r>
          </w:p>
        </w:tc>
      </w:tr>
      <w:tr w:rsidR="00F56356" w:rsidRPr="00F56356" w14:paraId="01725DC2" w14:textId="77777777" w:rsidTr="00F56356">
        <w:trPr>
          <w:trHeight w:val="1314"/>
        </w:trPr>
        <w:tc>
          <w:tcPr>
            <w:tcW w:w="340" w:type="dxa"/>
            <w:tcBorders>
              <w:top w:val="nil"/>
              <w:left w:val="nil"/>
              <w:bottom w:val="nil"/>
              <w:right w:val="nil"/>
            </w:tcBorders>
            <w:shd w:val="clear" w:color="auto" w:fill="auto"/>
            <w:noWrap/>
            <w:vAlign w:val="center"/>
            <w:hideMark/>
          </w:tcPr>
          <w:p w14:paraId="7F6CE5B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B6D10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37E41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di corrispettivi liquidati entro 60 giorni dalla ricezione della fattura completa della documentazione necessaria per il pagamento</w:t>
            </w:r>
          </w:p>
        </w:tc>
        <w:tc>
          <w:tcPr>
            <w:tcW w:w="1180" w:type="dxa"/>
            <w:tcBorders>
              <w:top w:val="nil"/>
              <w:left w:val="nil"/>
              <w:bottom w:val="single" w:sz="4" w:space="0" w:color="auto"/>
              <w:right w:val="nil"/>
            </w:tcBorders>
            <w:shd w:val="clear" w:color="auto" w:fill="auto"/>
            <w:vAlign w:val="center"/>
            <w:hideMark/>
          </w:tcPr>
          <w:p w14:paraId="4DB029A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A3A91A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3F2B76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ABAEE1A" w14:textId="77777777" w:rsidTr="00F56356">
        <w:trPr>
          <w:trHeight w:val="615"/>
        </w:trPr>
        <w:tc>
          <w:tcPr>
            <w:tcW w:w="340" w:type="dxa"/>
            <w:tcBorders>
              <w:top w:val="nil"/>
              <w:left w:val="nil"/>
              <w:bottom w:val="nil"/>
              <w:right w:val="nil"/>
            </w:tcBorders>
            <w:shd w:val="clear" w:color="auto" w:fill="auto"/>
            <w:noWrap/>
            <w:vAlign w:val="bottom"/>
            <w:hideMark/>
          </w:tcPr>
          <w:p w14:paraId="1B839A9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2CD844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58170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6B7771F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605B145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128867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r>
    </w:tbl>
    <w:p w14:paraId="604D2CBE" w14:textId="610FDE14" w:rsidR="00F56356" w:rsidRDefault="00F56356" w:rsidP="00F56356">
      <w:pPr>
        <w:jc w:val="center"/>
        <w:rPr>
          <w:rFonts w:ascii="Times New Roman" w:eastAsiaTheme="minorEastAsia" w:hAnsi="Times New Roman" w:cs="Times New Roman"/>
          <w:sz w:val="12"/>
          <w:szCs w:val="12"/>
          <w:lang w:eastAsia="it-IT"/>
        </w:rPr>
      </w:pPr>
    </w:p>
    <w:p w14:paraId="38C793B6" w14:textId="77777777" w:rsidR="0043213C" w:rsidRPr="00F56356" w:rsidRDefault="0043213C" w:rsidP="00F56356">
      <w:pPr>
        <w:jc w:val="center"/>
        <w:rPr>
          <w:rFonts w:ascii="Times New Roman" w:eastAsiaTheme="minorEastAsia" w:hAnsi="Times New Roman" w:cs="Times New Roman"/>
          <w:sz w:val="12"/>
          <w:szCs w:val="12"/>
          <w:lang w:eastAsia="it-IT"/>
        </w:rPr>
      </w:pPr>
    </w:p>
    <w:p w14:paraId="0BBA51F0" w14:textId="77777777" w:rsidR="00F56356" w:rsidRPr="00F56356" w:rsidRDefault="00F56356" w:rsidP="00F56356">
      <w:pPr>
        <w:jc w:val="center"/>
        <w:rPr>
          <w:rFonts w:ascii="Times New Roman" w:eastAsiaTheme="minorEastAsia" w:hAnsi="Times New Roman" w:cs="Times New Roman"/>
          <w:sz w:val="12"/>
          <w:szCs w:val="12"/>
          <w:lang w:eastAsia="it-IT"/>
        </w:rPr>
      </w:pPr>
    </w:p>
    <w:tbl>
      <w:tblPr>
        <w:tblW w:w="9730" w:type="dxa"/>
        <w:tblCellMar>
          <w:left w:w="70" w:type="dxa"/>
          <w:right w:w="70" w:type="dxa"/>
        </w:tblCellMar>
        <w:tblLook w:val="04A0" w:firstRow="1" w:lastRow="0" w:firstColumn="1" w:lastColumn="0" w:noHBand="0" w:noVBand="1"/>
      </w:tblPr>
      <w:tblGrid>
        <w:gridCol w:w="340"/>
        <w:gridCol w:w="2740"/>
        <w:gridCol w:w="540"/>
        <w:gridCol w:w="1240"/>
        <w:gridCol w:w="1175"/>
        <w:gridCol w:w="1180"/>
        <w:gridCol w:w="1340"/>
        <w:gridCol w:w="1175"/>
      </w:tblGrid>
      <w:tr w:rsidR="00F56356" w:rsidRPr="00F56356" w14:paraId="01CD463C" w14:textId="77777777" w:rsidTr="00F56356">
        <w:trPr>
          <w:trHeight w:val="510"/>
        </w:trPr>
        <w:tc>
          <w:tcPr>
            <w:tcW w:w="340" w:type="dxa"/>
            <w:tcBorders>
              <w:top w:val="nil"/>
              <w:left w:val="nil"/>
              <w:bottom w:val="nil"/>
              <w:right w:val="nil"/>
            </w:tcBorders>
            <w:shd w:val="clear" w:color="auto" w:fill="auto"/>
            <w:noWrap/>
            <w:vAlign w:val="bottom"/>
            <w:hideMark/>
          </w:tcPr>
          <w:p w14:paraId="05E620A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9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7F96E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2B0402AE" w14:textId="77777777" w:rsidTr="00F56356">
        <w:trPr>
          <w:trHeight w:val="375"/>
        </w:trPr>
        <w:tc>
          <w:tcPr>
            <w:tcW w:w="340" w:type="dxa"/>
            <w:tcBorders>
              <w:top w:val="nil"/>
              <w:left w:val="nil"/>
              <w:bottom w:val="nil"/>
              <w:right w:val="nil"/>
            </w:tcBorders>
            <w:shd w:val="clear" w:color="auto" w:fill="auto"/>
            <w:noWrap/>
            <w:vAlign w:val="center"/>
            <w:hideMark/>
          </w:tcPr>
          <w:p w14:paraId="3B0C1A4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57FAC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7C3C292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15 - Comunicazioni </w:t>
            </w:r>
          </w:p>
        </w:tc>
      </w:tr>
      <w:tr w:rsidR="00F56356" w:rsidRPr="00F56356" w14:paraId="761D52A6" w14:textId="77777777" w:rsidTr="00F56356">
        <w:trPr>
          <w:trHeight w:val="375"/>
        </w:trPr>
        <w:tc>
          <w:tcPr>
            <w:tcW w:w="340" w:type="dxa"/>
            <w:tcBorders>
              <w:top w:val="nil"/>
              <w:left w:val="nil"/>
              <w:bottom w:val="nil"/>
              <w:right w:val="nil"/>
            </w:tcBorders>
            <w:shd w:val="clear" w:color="auto" w:fill="auto"/>
            <w:noWrap/>
            <w:vAlign w:val="center"/>
            <w:hideMark/>
          </w:tcPr>
          <w:p w14:paraId="53E79F8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7E0FC5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5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D3CF20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15.3 - Servizi postali</w:t>
            </w:r>
          </w:p>
        </w:tc>
      </w:tr>
      <w:tr w:rsidR="00F56356" w:rsidRPr="00F56356" w14:paraId="087F2F89" w14:textId="77777777" w:rsidTr="00F56356">
        <w:trPr>
          <w:trHeight w:val="375"/>
        </w:trPr>
        <w:tc>
          <w:tcPr>
            <w:tcW w:w="340" w:type="dxa"/>
            <w:tcBorders>
              <w:top w:val="nil"/>
              <w:left w:val="nil"/>
              <w:bottom w:val="nil"/>
              <w:right w:val="nil"/>
            </w:tcBorders>
            <w:shd w:val="clear" w:color="auto" w:fill="auto"/>
            <w:noWrap/>
            <w:vAlign w:val="center"/>
            <w:hideMark/>
          </w:tcPr>
          <w:p w14:paraId="5DF8AA4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A96F4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5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A1F294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9 - Informazione ed editoria</w:t>
            </w:r>
          </w:p>
        </w:tc>
      </w:tr>
      <w:tr w:rsidR="00F56356" w:rsidRPr="00F56356" w14:paraId="7DC5414C" w14:textId="77777777" w:rsidTr="00F56356">
        <w:trPr>
          <w:trHeight w:val="900"/>
        </w:trPr>
        <w:tc>
          <w:tcPr>
            <w:tcW w:w="340" w:type="dxa"/>
            <w:tcBorders>
              <w:top w:val="nil"/>
              <w:left w:val="nil"/>
              <w:bottom w:val="nil"/>
              <w:right w:val="nil"/>
            </w:tcBorders>
            <w:shd w:val="clear" w:color="auto" w:fill="auto"/>
            <w:noWrap/>
            <w:vAlign w:val="center"/>
            <w:hideMark/>
          </w:tcPr>
          <w:p w14:paraId="124F4AB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6F27EA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1FF10E7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Rimborso a Poste Italiane spa delle compensazioni per le agevolazioni tariffarie concesse per le spedizioni di prodotti editoriali da parte delle imprese editrici e delle associazioni ed organizzazioni senza fini di lucro</w:t>
            </w:r>
          </w:p>
        </w:tc>
      </w:tr>
      <w:tr w:rsidR="00F56356" w:rsidRPr="00F56356" w14:paraId="42364A57" w14:textId="77777777" w:rsidTr="00F56356">
        <w:trPr>
          <w:trHeight w:val="2942"/>
        </w:trPr>
        <w:tc>
          <w:tcPr>
            <w:tcW w:w="340" w:type="dxa"/>
            <w:tcBorders>
              <w:top w:val="nil"/>
              <w:left w:val="nil"/>
              <w:bottom w:val="nil"/>
              <w:right w:val="nil"/>
            </w:tcBorders>
            <w:shd w:val="clear" w:color="auto" w:fill="auto"/>
            <w:noWrap/>
            <w:vAlign w:val="center"/>
            <w:hideMark/>
          </w:tcPr>
          <w:p w14:paraId="1366FEC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4960B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2710952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 l’art. 2, commi 4 e 5, del decreto-legge 30 dicembre 2016, n. 244, convertito dalla legge 27 febbraio 2017, n. 19, come modificato dall’art. 1, comma 9, del D.L. 30/12/2019, n. 162, convertito dalla legge 28 febbraio 2020, n. 8, è stata riattivata, a decorrere dal 1° gennaio 2017, l’operatività del regime delle tariffe postali agevolate per le imprese editoriali e per le associazioni ed organizzazioni no-profit, a suo tempo sospesa con decreto del Ministro dello sviluppo economico del 30 marzo 2010. Nel contempo, è stato riattivato il regime del rimborso delle compensazioni a Poste Italiane, previsto dall’articolo 3, comma 1, del decreto-legge n. 353 del 2003, nei limiti delle risorse, appositamente stanziate dal MEF, “per una durata pari a quella dell’affidamento del servizio postale universale”. L’integrale pagamento degli importi fatturati è subordinato alla capienza dello stanziamento di bilancio.</w:t>
            </w:r>
          </w:p>
        </w:tc>
      </w:tr>
      <w:tr w:rsidR="00F56356" w:rsidRPr="00F56356" w14:paraId="153DE049" w14:textId="77777777" w:rsidTr="00F56356">
        <w:trPr>
          <w:trHeight w:val="360"/>
        </w:trPr>
        <w:tc>
          <w:tcPr>
            <w:tcW w:w="340" w:type="dxa"/>
            <w:tcBorders>
              <w:top w:val="nil"/>
              <w:left w:val="nil"/>
              <w:bottom w:val="nil"/>
              <w:right w:val="nil"/>
            </w:tcBorders>
            <w:shd w:val="clear" w:color="auto" w:fill="auto"/>
            <w:noWrap/>
            <w:vAlign w:val="center"/>
            <w:hideMark/>
          </w:tcPr>
          <w:p w14:paraId="37CEB14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743AE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790378C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BA840A6" w14:textId="77777777" w:rsidTr="00F56356">
        <w:trPr>
          <w:trHeight w:val="360"/>
        </w:trPr>
        <w:tc>
          <w:tcPr>
            <w:tcW w:w="340" w:type="dxa"/>
            <w:tcBorders>
              <w:top w:val="nil"/>
              <w:left w:val="nil"/>
              <w:bottom w:val="nil"/>
              <w:right w:val="nil"/>
            </w:tcBorders>
            <w:shd w:val="clear" w:color="auto" w:fill="auto"/>
            <w:noWrap/>
            <w:vAlign w:val="center"/>
            <w:hideMark/>
          </w:tcPr>
          <w:p w14:paraId="01D2109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D3099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252370B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8622F58" w14:textId="77777777" w:rsidTr="00F56356">
        <w:trPr>
          <w:trHeight w:val="345"/>
        </w:trPr>
        <w:tc>
          <w:tcPr>
            <w:tcW w:w="340" w:type="dxa"/>
            <w:tcBorders>
              <w:top w:val="nil"/>
              <w:left w:val="nil"/>
              <w:bottom w:val="nil"/>
              <w:right w:val="nil"/>
            </w:tcBorders>
            <w:shd w:val="clear" w:color="auto" w:fill="auto"/>
            <w:noWrap/>
            <w:vAlign w:val="bottom"/>
            <w:hideMark/>
          </w:tcPr>
          <w:p w14:paraId="60C4F92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7F97D0C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E31E45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480</w:t>
            </w:r>
          </w:p>
        </w:tc>
        <w:tc>
          <w:tcPr>
            <w:tcW w:w="24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11F3A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9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ABE7A2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8172303" w14:textId="77777777" w:rsidTr="00F56356">
        <w:trPr>
          <w:trHeight w:val="1157"/>
        </w:trPr>
        <w:tc>
          <w:tcPr>
            <w:tcW w:w="340" w:type="dxa"/>
            <w:tcBorders>
              <w:top w:val="nil"/>
              <w:left w:val="nil"/>
              <w:bottom w:val="nil"/>
              <w:right w:val="nil"/>
            </w:tcBorders>
            <w:shd w:val="clear" w:color="auto" w:fill="auto"/>
            <w:noWrap/>
            <w:vAlign w:val="bottom"/>
            <w:hideMark/>
          </w:tcPr>
          <w:p w14:paraId="49BF2DB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64AA5A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8C179B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7166517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75" w:type="dxa"/>
            <w:tcBorders>
              <w:top w:val="nil"/>
              <w:left w:val="nil"/>
              <w:bottom w:val="single" w:sz="4" w:space="0" w:color="auto"/>
              <w:right w:val="single" w:sz="4" w:space="0" w:color="auto"/>
            </w:tcBorders>
            <w:shd w:val="clear" w:color="auto" w:fill="auto"/>
            <w:vAlign w:val="center"/>
            <w:hideMark/>
          </w:tcPr>
          <w:p w14:paraId="7D503E1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A6AB59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AC48B5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75" w:type="dxa"/>
            <w:tcBorders>
              <w:top w:val="nil"/>
              <w:left w:val="nil"/>
              <w:bottom w:val="single" w:sz="4" w:space="0" w:color="auto"/>
              <w:right w:val="single" w:sz="4" w:space="0" w:color="auto"/>
            </w:tcBorders>
            <w:shd w:val="clear" w:color="auto" w:fill="auto"/>
            <w:vAlign w:val="center"/>
            <w:hideMark/>
          </w:tcPr>
          <w:p w14:paraId="21215DC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0F393A9" w14:textId="77777777" w:rsidTr="00F56356">
        <w:trPr>
          <w:trHeight w:val="510"/>
        </w:trPr>
        <w:tc>
          <w:tcPr>
            <w:tcW w:w="340" w:type="dxa"/>
            <w:tcBorders>
              <w:top w:val="nil"/>
              <w:left w:val="nil"/>
              <w:bottom w:val="nil"/>
              <w:right w:val="nil"/>
            </w:tcBorders>
            <w:shd w:val="clear" w:color="auto" w:fill="auto"/>
            <w:noWrap/>
            <w:vAlign w:val="bottom"/>
            <w:hideMark/>
          </w:tcPr>
          <w:p w14:paraId="4AA6F8C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2A2466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673B70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041910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52.509.839,00</w:t>
            </w:r>
          </w:p>
        </w:tc>
        <w:tc>
          <w:tcPr>
            <w:tcW w:w="1175" w:type="dxa"/>
            <w:tcBorders>
              <w:top w:val="nil"/>
              <w:left w:val="nil"/>
              <w:bottom w:val="single" w:sz="4" w:space="0" w:color="auto"/>
              <w:right w:val="single" w:sz="4" w:space="0" w:color="auto"/>
            </w:tcBorders>
            <w:shd w:val="clear" w:color="auto" w:fill="auto"/>
            <w:noWrap/>
            <w:vAlign w:val="center"/>
            <w:hideMark/>
          </w:tcPr>
          <w:p w14:paraId="2E66030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69.736.671,81</w:t>
            </w:r>
          </w:p>
        </w:tc>
        <w:tc>
          <w:tcPr>
            <w:tcW w:w="1180" w:type="dxa"/>
            <w:tcBorders>
              <w:top w:val="nil"/>
              <w:left w:val="nil"/>
              <w:bottom w:val="single" w:sz="4" w:space="0" w:color="auto"/>
              <w:right w:val="single" w:sz="4" w:space="0" w:color="auto"/>
            </w:tcBorders>
            <w:shd w:val="clear" w:color="auto" w:fill="auto"/>
            <w:noWrap/>
            <w:vAlign w:val="center"/>
            <w:hideMark/>
          </w:tcPr>
          <w:p w14:paraId="1A8EE79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40.708.273,75</w:t>
            </w:r>
          </w:p>
        </w:tc>
        <w:tc>
          <w:tcPr>
            <w:tcW w:w="1340" w:type="dxa"/>
            <w:tcBorders>
              <w:top w:val="nil"/>
              <w:left w:val="nil"/>
              <w:bottom w:val="single" w:sz="4" w:space="0" w:color="auto"/>
              <w:right w:val="single" w:sz="4" w:space="0" w:color="auto"/>
            </w:tcBorders>
            <w:shd w:val="clear" w:color="auto" w:fill="auto"/>
            <w:noWrap/>
            <w:vAlign w:val="center"/>
            <w:hideMark/>
          </w:tcPr>
          <w:p w14:paraId="7756EFE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6,00</w:t>
            </w:r>
          </w:p>
        </w:tc>
        <w:tc>
          <w:tcPr>
            <w:tcW w:w="1175" w:type="dxa"/>
            <w:tcBorders>
              <w:top w:val="nil"/>
              <w:left w:val="nil"/>
              <w:bottom w:val="single" w:sz="4" w:space="0" w:color="auto"/>
              <w:right w:val="single" w:sz="4" w:space="0" w:color="auto"/>
            </w:tcBorders>
            <w:shd w:val="clear" w:color="auto" w:fill="auto"/>
            <w:noWrap/>
            <w:vAlign w:val="center"/>
            <w:hideMark/>
          </w:tcPr>
          <w:p w14:paraId="5D3E7AA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40.708.279,75</w:t>
            </w:r>
          </w:p>
        </w:tc>
      </w:tr>
      <w:tr w:rsidR="00F56356" w:rsidRPr="00F56356" w14:paraId="6E38DE48" w14:textId="77777777" w:rsidTr="00F56356">
        <w:trPr>
          <w:trHeight w:val="330"/>
        </w:trPr>
        <w:tc>
          <w:tcPr>
            <w:tcW w:w="340" w:type="dxa"/>
            <w:tcBorders>
              <w:top w:val="nil"/>
              <w:left w:val="nil"/>
              <w:bottom w:val="nil"/>
              <w:right w:val="nil"/>
            </w:tcBorders>
            <w:shd w:val="clear" w:color="auto" w:fill="auto"/>
            <w:noWrap/>
            <w:vAlign w:val="bottom"/>
            <w:hideMark/>
          </w:tcPr>
          <w:p w14:paraId="5B74891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0BB46BE"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B959A46"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54C528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nil"/>
            </w:tcBorders>
            <w:shd w:val="clear" w:color="auto" w:fill="auto"/>
            <w:noWrap/>
            <w:vAlign w:val="bottom"/>
            <w:hideMark/>
          </w:tcPr>
          <w:p w14:paraId="1C081DB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E684F7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02BE6B1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single" w:sz="4" w:space="0" w:color="auto"/>
            </w:tcBorders>
            <w:shd w:val="clear" w:color="auto" w:fill="auto"/>
            <w:noWrap/>
            <w:vAlign w:val="bottom"/>
            <w:hideMark/>
          </w:tcPr>
          <w:p w14:paraId="5E1F34C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0445C2F" w14:textId="77777777" w:rsidTr="00F56356">
        <w:trPr>
          <w:trHeight w:val="540"/>
        </w:trPr>
        <w:tc>
          <w:tcPr>
            <w:tcW w:w="340" w:type="dxa"/>
            <w:tcBorders>
              <w:top w:val="nil"/>
              <w:left w:val="nil"/>
              <w:bottom w:val="nil"/>
              <w:right w:val="nil"/>
            </w:tcBorders>
            <w:shd w:val="clear" w:color="auto" w:fill="auto"/>
            <w:noWrap/>
            <w:vAlign w:val="bottom"/>
            <w:hideMark/>
          </w:tcPr>
          <w:p w14:paraId="16B46A2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90" w:type="dxa"/>
            <w:gridSpan w:val="7"/>
            <w:tcBorders>
              <w:top w:val="nil"/>
              <w:left w:val="single" w:sz="4" w:space="0" w:color="auto"/>
              <w:bottom w:val="nil"/>
              <w:right w:val="single" w:sz="4" w:space="0" w:color="000000"/>
            </w:tcBorders>
            <w:shd w:val="clear" w:color="auto" w:fill="auto"/>
            <w:vAlign w:val="center"/>
            <w:hideMark/>
          </w:tcPr>
          <w:p w14:paraId="2258B5D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264BD8F2" w14:textId="77777777" w:rsidTr="00F56356">
        <w:trPr>
          <w:trHeight w:val="345"/>
        </w:trPr>
        <w:tc>
          <w:tcPr>
            <w:tcW w:w="340" w:type="dxa"/>
            <w:tcBorders>
              <w:top w:val="nil"/>
              <w:left w:val="nil"/>
              <w:bottom w:val="nil"/>
              <w:right w:val="nil"/>
            </w:tcBorders>
            <w:shd w:val="clear" w:color="auto" w:fill="auto"/>
            <w:noWrap/>
            <w:vAlign w:val="bottom"/>
            <w:hideMark/>
          </w:tcPr>
          <w:p w14:paraId="19914C9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90" w:type="dxa"/>
            <w:gridSpan w:val="7"/>
            <w:tcBorders>
              <w:top w:val="nil"/>
              <w:left w:val="single" w:sz="4" w:space="0" w:color="auto"/>
              <w:bottom w:val="nil"/>
              <w:right w:val="single" w:sz="4" w:space="0" w:color="000000"/>
            </w:tcBorders>
            <w:shd w:val="clear" w:color="auto" w:fill="auto"/>
            <w:vAlign w:val="center"/>
            <w:hideMark/>
          </w:tcPr>
          <w:p w14:paraId="76333A2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3076F6F5" w14:textId="77777777" w:rsidTr="00F56356">
        <w:trPr>
          <w:trHeight w:val="345"/>
        </w:trPr>
        <w:tc>
          <w:tcPr>
            <w:tcW w:w="340" w:type="dxa"/>
            <w:tcBorders>
              <w:top w:val="nil"/>
              <w:left w:val="nil"/>
              <w:bottom w:val="nil"/>
              <w:right w:val="nil"/>
            </w:tcBorders>
            <w:shd w:val="clear" w:color="auto" w:fill="auto"/>
            <w:noWrap/>
            <w:vAlign w:val="bottom"/>
            <w:hideMark/>
          </w:tcPr>
          <w:p w14:paraId="46CE747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90" w:type="dxa"/>
            <w:gridSpan w:val="7"/>
            <w:tcBorders>
              <w:top w:val="nil"/>
              <w:left w:val="single" w:sz="4" w:space="0" w:color="auto"/>
              <w:bottom w:val="single" w:sz="4" w:space="0" w:color="auto"/>
              <w:right w:val="single" w:sz="4" w:space="0" w:color="000000"/>
            </w:tcBorders>
            <w:shd w:val="clear" w:color="auto" w:fill="auto"/>
            <w:vAlign w:val="center"/>
            <w:hideMark/>
          </w:tcPr>
          <w:p w14:paraId="79579834"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47AEB41C" w14:textId="77777777" w:rsidTr="00F56356">
        <w:trPr>
          <w:trHeight w:val="480"/>
        </w:trPr>
        <w:tc>
          <w:tcPr>
            <w:tcW w:w="340" w:type="dxa"/>
            <w:tcBorders>
              <w:top w:val="nil"/>
              <w:left w:val="nil"/>
              <w:bottom w:val="nil"/>
              <w:right w:val="nil"/>
            </w:tcBorders>
            <w:shd w:val="clear" w:color="auto" w:fill="auto"/>
            <w:noWrap/>
            <w:vAlign w:val="bottom"/>
            <w:hideMark/>
          </w:tcPr>
          <w:p w14:paraId="5EECD66A"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9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A904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6CD128FC" w14:textId="77777777" w:rsidTr="00F56356">
        <w:trPr>
          <w:trHeight w:val="532"/>
        </w:trPr>
        <w:tc>
          <w:tcPr>
            <w:tcW w:w="340" w:type="dxa"/>
            <w:tcBorders>
              <w:top w:val="nil"/>
              <w:left w:val="nil"/>
              <w:bottom w:val="nil"/>
              <w:right w:val="nil"/>
            </w:tcBorders>
            <w:shd w:val="clear" w:color="auto" w:fill="auto"/>
            <w:noWrap/>
            <w:vAlign w:val="center"/>
            <w:hideMark/>
          </w:tcPr>
          <w:p w14:paraId="144083B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09F2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3AB27F7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Percentuale degli importi liquidati rispetto agli importi spettanti a P.I., regolarmente documentati e fatturati</w:t>
            </w:r>
          </w:p>
        </w:tc>
      </w:tr>
      <w:tr w:rsidR="00F56356" w:rsidRPr="00F56356" w14:paraId="5BF1C535" w14:textId="77777777" w:rsidTr="00F56356">
        <w:trPr>
          <w:trHeight w:val="258"/>
        </w:trPr>
        <w:tc>
          <w:tcPr>
            <w:tcW w:w="340" w:type="dxa"/>
            <w:tcBorders>
              <w:top w:val="nil"/>
              <w:left w:val="nil"/>
              <w:bottom w:val="nil"/>
              <w:right w:val="nil"/>
            </w:tcBorders>
            <w:shd w:val="clear" w:color="auto" w:fill="auto"/>
            <w:noWrap/>
            <w:vAlign w:val="center"/>
            <w:hideMark/>
          </w:tcPr>
          <w:p w14:paraId="2F1E383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5E98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50" w:type="dxa"/>
            <w:gridSpan w:val="6"/>
            <w:tcBorders>
              <w:top w:val="single" w:sz="4" w:space="0" w:color="auto"/>
              <w:left w:val="nil"/>
              <w:bottom w:val="single" w:sz="4" w:space="0" w:color="auto"/>
              <w:right w:val="single" w:sz="4" w:space="0" w:color="000000"/>
            </w:tcBorders>
            <w:shd w:val="clear" w:color="auto" w:fill="auto"/>
            <w:vAlign w:val="center"/>
            <w:hideMark/>
          </w:tcPr>
          <w:p w14:paraId="090690E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PEC. PROTOCOLLO / SICOGE</w:t>
            </w:r>
          </w:p>
        </w:tc>
      </w:tr>
      <w:tr w:rsidR="00F56356" w:rsidRPr="00F56356" w14:paraId="7C557702" w14:textId="77777777" w:rsidTr="00F56356">
        <w:trPr>
          <w:trHeight w:val="634"/>
        </w:trPr>
        <w:tc>
          <w:tcPr>
            <w:tcW w:w="340" w:type="dxa"/>
            <w:tcBorders>
              <w:top w:val="nil"/>
              <w:left w:val="nil"/>
              <w:bottom w:val="nil"/>
              <w:right w:val="nil"/>
            </w:tcBorders>
            <w:shd w:val="clear" w:color="auto" w:fill="auto"/>
            <w:noWrap/>
            <w:vAlign w:val="center"/>
            <w:hideMark/>
          </w:tcPr>
          <w:p w14:paraId="6527738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5888DE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55" w:type="dxa"/>
            <w:gridSpan w:val="3"/>
            <w:tcBorders>
              <w:top w:val="single" w:sz="4" w:space="0" w:color="auto"/>
              <w:left w:val="nil"/>
              <w:bottom w:val="single" w:sz="4" w:space="0" w:color="auto"/>
              <w:right w:val="single" w:sz="4" w:space="0" w:color="000000"/>
            </w:tcBorders>
            <w:shd w:val="clear" w:color="auto" w:fill="auto"/>
            <w:vAlign w:val="center"/>
            <w:hideMark/>
          </w:tcPr>
          <w:p w14:paraId="52B90B7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Importi liquidati/Importi spettanti regolarmente documentati e fatturati</w:t>
            </w:r>
          </w:p>
        </w:tc>
        <w:tc>
          <w:tcPr>
            <w:tcW w:w="1180" w:type="dxa"/>
            <w:tcBorders>
              <w:top w:val="nil"/>
              <w:left w:val="nil"/>
              <w:bottom w:val="single" w:sz="4" w:space="0" w:color="auto"/>
              <w:right w:val="nil"/>
            </w:tcBorders>
            <w:shd w:val="clear" w:color="auto" w:fill="auto"/>
            <w:vAlign w:val="center"/>
            <w:hideMark/>
          </w:tcPr>
          <w:p w14:paraId="1FFAD7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52B78C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75" w:type="dxa"/>
            <w:tcBorders>
              <w:top w:val="nil"/>
              <w:left w:val="single" w:sz="4" w:space="0" w:color="auto"/>
              <w:bottom w:val="single" w:sz="4" w:space="0" w:color="auto"/>
              <w:right w:val="single" w:sz="4" w:space="0" w:color="auto"/>
            </w:tcBorders>
            <w:shd w:val="clear" w:color="auto" w:fill="auto"/>
            <w:vAlign w:val="center"/>
            <w:hideMark/>
          </w:tcPr>
          <w:p w14:paraId="1FC5A4F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FBE1AB4" w14:textId="77777777" w:rsidTr="00F56356">
        <w:trPr>
          <w:trHeight w:val="292"/>
        </w:trPr>
        <w:tc>
          <w:tcPr>
            <w:tcW w:w="340" w:type="dxa"/>
            <w:tcBorders>
              <w:top w:val="nil"/>
              <w:left w:val="nil"/>
              <w:bottom w:val="nil"/>
              <w:right w:val="nil"/>
            </w:tcBorders>
            <w:shd w:val="clear" w:color="auto" w:fill="auto"/>
            <w:noWrap/>
            <w:vAlign w:val="bottom"/>
            <w:hideMark/>
          </w:tcPr>
          <w:p w14:paraId="75C3702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65B3504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5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1B9D3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5D6B369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70</w:t>
            </w:r>
          </w:p>
        </w:tc>
        <w:tc>
          <w:tcPr>
            <w:tcW w:w="1340" w:type="dxa"/>
            <w:tcBorders>
              <w:top w:val="nil"/>
              <w:left w:val="nil"/>
              <w:bottom w:val="single" w:sz="4" w:space="0" w:color="auto"/>
              <w:right w:val="nil"/>
            </w:tcBorders>
            <w:shd w:val="clear" w:color="auto" w:fill="auto"/>
            <w:vAlign w:val="center"/>
            <w:hideMark/>
          </w:tcPr>
          <w:p w14:paraId="751B645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75" w:type="dxa"/>
            <w:tcBorders>
              <w:top w:val="nil"/>
              <w:left w:val="single" w:sz="4" w:space="0" w:color="auto"/>
              <w:bottom w:val="single" w:sz="4" w:space="0" w:color="auto"/>
              <w:right w:val="single" w:sz="4" w:space="0" w:color="auto"/>
            </w:tcBorders>
            <w:shd w:val="clear" w:color="000000" w:fill="FFFFFF"/>
            <w:vAlign w:val="center"/>
            <w:hideMark/>
          </w:tcPr>
          <w:p w14:paraId="36E4B9F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r>
      <w:tr w:rsidR="00F56356" w:rsidRPr="00F56356" w14:paraId="23AA0972" w14:textId="77777777" w:rsidTr="00F56356">
        <w:trPr>
          <w:trHeight w:val="1140"/>
        </w:trPr>
        <w:tc>
          <w:tcPr>
            <w:tcW w:w="340" w:type="dxa"/>
            <w:tcBorders>
              <w:top w:val="nil"/>
              <w:left w:val="nil"/>
              <w:bottom w:val="nil"/>
              <w:right w:val="nil"/>
            </w:tcBorders>
            <w:shd w:val="clear" w:color="auto" w:fill="auto"/>
            <w:noWrap/>
            <w:vAlign w:val="bottom"/>
            <w:hideMark/>
          </w:tcPr>
          <w:p w14:paraId="3B13688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90" w:type="dxa"/>
            <w:gridSpan w:val="7"/>
            <w:tcBorders>
              <w:top w:val="nil"/>
              <w:left w:val="single" w:sz="4" w:space="0" w:color="auto"/>
              <w:bottom w:val="single" w:sz="4" w:space="0" w:color="auto"/>
              <w:right w:val="single" w:sz="4" w:space="0" w:color="000000"/>
            </w:tcBorders>
            <w:shd w:val="clear" w:color="auto" w:fill="auto"/>
            <w:vAlign w:val="center"/>
            <w:hideMark/>
          </w:tcPr>
          <w:p w14:paraId="729D9D5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Sono state liquidate le somme spettanti a Poste Italiane spa regolarmente documentate e fatturate nel 2022, relative ai rimborsi delle compensazioni applicate nel IV trimestre 2021 e nei primi due trimestri del 2022. È stata chiesta la riassegnazione in bilancio nell’esercizio finanziario 2023 dello stanziamento residuo, per la liquidazione dei rimborsi relativi al III e IV trimestre 2022, in quanto non ancora fatturati.</w:t>
            </w:r>
          </w:p>
        </w:tc>
      </w:tr>
    </w:tbl>
    <w:p w14:paraId="4D391130"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21552FD0"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5C17FC14" w14:textId="77777777" w:rsidR="00F56356" w:rsidRPr="00F56356" w:rsidRDefault="00F56356" w:rsidP="00F56356">
      <w:pPr>
        <w:jc w:val="center"/>
        <w:rPr>
          <w:rFonts w:ascii="Times New Roman" w:eastAsiaTheme="minorEastAsia" w:hAnsi="Times New Roman" w:cs="Times New Roman"/>
          <w:sz w:val="12"/>
          <w:szCs w:val="12"/>
          <w:lang w:eastAsia="it-IT"/>
        </w:rPr>
      </w:pPr>
      <w:r w:rsidRPr="00F56356">
        <w:rPr>
          <w:rFonts w:ascii="Times New Roman" w:eastAsiaTheme="minorEastAsia" w:hAnsi="Times New Roman" w:cs="Times New Roman"/>
          <w:noProof/>
          <w:sz w:val="24"/>
          <w:szCs w:val="24"/>
          <w:lang w:eastAsia="it-IT"/>
        </w:rPr>
        <w:lastRenderedPageBreak/>
        <w:drawing>
          <wp:inline distT="0" distB="0" distL="0" distR="0" wp14:anchorId="690D8B8F" wp14:editId="47AFE0B7">
            <wp:extent cx="6096000" cy="8505825"/>
            <wp:effectExtent l="0" t="0" r="0" b="9525"/>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96000" cy="8505825"/>
                    </a:xfrm>
                    <a:prstGeom prst="rect">
                      <a:avLst/>
                    </a:prstGeom>
                    <a:noFill/>
                    <a:ln>
                      <a:noFill/>
                    </a:ln>
                  </pic:spPr>
                </pic:pic>
              </a:graphicData>
            </a:graphic>
          </wp:inline>
        </w:drawing>
      </w:r>
    </w:p>
    <w:p w14:paraId="1F2E69FA"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52A46613" w14:textId="77777777" w:rsidR="00F56356" w:rsidRPr="00F56356" w:rsidRDefault="00F56356" w:rsidP="00F56356">
      <w:pPr>
        <w:jc w:val="center"/>
        <w:rPr>
          <w:rFonts w:ascii="Times New Roman" w:eastAsiaTheme="minorEastAsia" w:hAnsi="Times New Roman" w:cs="Times New Roman"/>
          <w:sz w:val="12"/>
          <w:szCs w:val="12"/>
          <w:lang w:eastAsia="it-IT"/>
        </w:rPr>
      </w:pPr>
    </w:p>
    <w:tbl>
      <w:tblPr>
        <w:tblW w:w="966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279965BA" w14:textId="77777777" w:rsidTr="00F56356">
        <w:trPr>
          <w:trHeight w:val="510"/>
        </w:trPr>
        <w:tc>
          <w:tcPr>
            <w:tcW w:w="340" w:type="dxa"/>
            <w:tcBorders>
              <w:top w:val="nil"/>
              <w:left w:val="nil"/>
              <w:bottom w:val="nil"/>
              <w:right w:val="nil"/>
            </w:tcBorders>
            <w:shd w:val="clear" w:color="auto" w:fill="auto"/>
            <w:noWrap/>
            <w:vAlign w:val="bottom"/>
            <w:hideMark/>
          </w:tcPr>
          <w:p w14:paraId="07ECC0F8"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B3AA4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4A807B43" w14:textId="77777777" w:rsidTr="00F56356">
        <w:trPr>
          <w:trHeight w:val="690"/>
        </w:trPr>
        <w:tc>
          <w:tcPr>
            <w:tcW w:w="340" w:type="dxa"/>
            <w:tcBorders>
              <w:top w:val="nil"/>
              <w:left w:val="nil"/>
              <w:bottom w:val="nil"/>
              <w:right w:val="nil"/>
            </w:tcBorders>
            <w:shd w:val="clear" w:color="auto" w:fill="auto"/>
            <w:noWrap/>
            <w:vAlign w:val="center"/>
            <w:hideMark/>
          </w:tcPr>
          <w:p w14:paraId="42E05FE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4CCA1E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96CB5A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15. Comunicazioni </w:t>
            </w:r>
          </w:p>
        </w:tc>
      </w:tr>
      <w:tr w:rsidR="00F56356" w:rsidRPr="00F56356" w14:paraId="101CBDDD" w14:textId="77777777" w:rsidTr="00F56356">
        <w:trPr>
          <w:trHeight w:val="690"/>
        </w:trPr>
        <w:tc>
          <w:tcPr>
            <w:tcW w:w="340" w:type="dxa"/>
            <w:tcBorders>
              <w:top w:val="nil"/>
              <w:left w:val="nil"/>
              <w:bottom w:val="nil"/>
              <w:right w:val="nil"/>
            </w:tcBorders>
            <w:shd w:val="clear" w:color="auto" w:fill="auto"/>
            <w:noWrap/>
            <w:vAlign w:val="center"/>
            <w:hideMark/>
          </w:tcPr>
          <w:p w14:paraId="3E05A5C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9B4FD4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F66A6E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15.4 Sostegno al pluralismo dell’informazione </w:t>
            </w:r>
          </w:p>
        </w:tc>
      </w:tr>
      <w:tr w:rsidR="00F56356" w:rsidRPr="00F56356" w14:paraId="5BA0CE7A" w14:textId="77777777" w:rsidTr="00F56356">
        <w:trPr>
          <w:trHeight w:val="690"/>
        </w:trPr>
        <w:tc>
          <w:tcPr>
            <w:tcW w:w="340" w:type="dxa"/>
            <w:tcBorders>
              <w:top w:val="nil"/>
              <w:left w:val="nil"/>
              <w:bottom w:val="nil"/>
              <w:right w:val="nil"/>
            </w:tcBorders>
            <w:shd w:val="clear" w:color="auto" w:fill="auto"/>
            <w:noWrap/>
            <w:vAlign w:val="center"/>
            <w:hideMark/>
          </w:tcPr>
          <w:p w14:paraId="39AC7CA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936394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0403E4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9 - Informazione ed editoria</w:t>
            </w:r>
          </w:p>
        </w:tc>
      </w:tr>
      <w:tr w:rsidR="00F56356" w:rsidRPr="00F56356" w14:paraId="40004FA1" w14:textId="77777777" w:rsidTr="00F56356">
        <w:trPr>
          <w:trHeight w:val="720"/>
        </w:trPr>
        <w:tc>
          <w:tcPr>
            <w:tcW w:w="340" w:type="dxa"/>
            <w:tcBorders>
              <w:top w:val="nil"/>
              <w:left w:val="nil"/>
              <w:bottom w:val="nil"/>
              <w:right w:val="nil"/>
            </w:tcBorders>
            <w:shd w:val="clear" w:color="auto" w:fill="auto"/>
            <w:noWrap/>
            <w:vAlign w:val="center"/>
            <w:hideMark/>
          </w:tcPr>
          <w:p w14:paraId="431E051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B7583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1BF392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Erogazione dei pagamenti dovuti alla concessione di premi</w:t>
            </w:r>
          </w:p>
        </w:tc>
      </w:tr>
      <w:tr w:rsidR="00F56356" w:rsidRPr="00F56356" w14:paraId="0753BA35" w14:textId="77777777" w:rsidTr="00F56356">
        <w:trPr>
          <w:trHeight w:val="960"/>
        </w:trPr>
        <w:tc>
          <w:tcPr>
            <w:tcW w:w="340" w:type="dxa"/>
            <w:tcBorders>
              <w:top w:val="nil"/>
              <w:left w:val="nil"/>
              <w:bottom w:val="nil"/>
              <w:right w:val="nil"/>
            </w:tcBorders>
            <w:shd w:val="clear" w:color="auto" w:fill="auto"/>
            <w:noWrap/>
            <w:vAlign w:val="center"/>
            <w:hideMark/>
          </w:tcPr>
          <w:p w14:paraId="66FBB1B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DED9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04D0F6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Il DIE provvede annualmente all’erogazione dei pagamenti connessi all’erogazione dei premi istituiti e disciplinati con appositi DPCM.</w:t>
            </w:r>
          </w:p>
        </w:tc>
      </w:tr>
      <w:tr w:rsidR="00F56356" w:rsidRPr="00F56356" w14:paraId="61AF2BC2" w14:textId="77777777" w:rsidTr="00F56356">
        <w:trPr>
          <w:trHeight w:val="360"/>
        </w:trPr>
        <w:tc>
          <w:tcPr>
            <w:tcW w:w="340" w:type="dxa"/>
            <w:tcBorders>
              <w:top w:val="nil"/>
              <w:left w:val="nil"/>
              <w:bottom w:val="nil"/>
              <w:right w:val="nil"/>
            </w:tcBorders>
            <w:shd w:val="clear" w:color="auto" w:fill="auto"/>
            <w:noWrap/>
            <w:vAlign w:val="center"/>
            <w:hideMark/>
          </w:tcPr>
          <w:p w14:paraId="321B3F0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4E874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1A77E9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85B5A36" w14:textId="77777777" w:rsidTr="00F56356">
        <w:trPr>
          <w:trHeight w:val="360"/>
        </w:trPr>
        <w:tc>
          <w:tcPr>
            <w:tcW w:w="340" w:type="dxa"/>
            <w:tcBorders>
              <w:top w:val="nil"/>
              <w:left w:val="nil"/>
              <w:bottom w:val="nil"/>
              <w:right w:val="nil"/>
            </w:tcBorders>
            <w:shd w:val="clear" w:color="auto" w:fill="auto"/>
            <w:noWrap/>
            <w:vAlign w:val="center"/>
            <w:hideMark/>
          </w:tcPr>
          <w:p w14:paraId="182E9C5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F2FF6B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E19A1A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618060D" w14:textId="77777777" w:rsidTr="00F56356">
        <w:trPr>
          <w:trHeight w:val="525"/>
        </w:trPr>
        <w:tc>
          <w:tcPr>
            <w:tcW w:w="340" w:type="dxa"/>
            <w:tcBorders>
              <w:top w:val="nil"/>
              <w:left w:val="nil"/>
              <w:bottom w:val="nil"/>
              <w:right w:val="nil"/>
            </w:tcBorders>
            <w:shd w:val="clear" w:color="auto" w:fill="auto"/>
            <w:noWrap/>
            <w:vAlign w:val="bottom"/>
            <w:hideMark/>
          </w:tcPr>
          <w:p w14:paraId="23A09BA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63809EA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852401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566</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723FC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0655D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D2800CF" w14:textId="77777777" w:rsidTr="00F56356">
        <w:trPr>
          <w:trHeight w:val="1305"/>
        </w:trPr>
        <w:tc>
          <w:tcPr>
            <w:tcW w:w="340" w:type="dxa"/>
            <w:tcBorders>
              <w:top w:val="nil"/>
              <w:left w:val="nil"/>
              <w:bottom w:val="nil"/>
              <w:right w:val="nil"/>
            </w:tcBorders>
            <w:shd w:val="clear" w:color="auto" w:fill="auto"/>
            <w:noWrap/>
            <w:vAlign w:val="bottom"/>
            <w:hideMark/>
          </w:tcPr>
          <w:p w14:paraId="52ACFE9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1B0710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8EBEE0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E178B5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384A3C5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2F9890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A09DC6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375A457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AA9E838" w14:textId="77777777" w:rsidTr="00F56356">
        <w:trPr>
          <w:trHeight w:val="593"/>
        </w:trPr>
        <w:tc>
          <w:tcPr>
            <w:tcW w:w="340" w:type="dxa"/>
            <w:tcBorders>
              <w:top w:val="nil"/>
              <w:left w:val="nil"/>
              <w:bottom w:val="nil"/>
              <w:right w:val="nil"/>
            </w:tcBorders>
            <w:shd w:val="clear" w:color="auto" w:fill="auto"/>
            <w:noWrap/>
            <w:vAlign w:val="bottom"/>
            <w:hideMark/>
          </w:tcPr>
          <w:p w14:paraId="22B3D47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7EB068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E66BB2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6263A3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6.000,00</w:t>
            </w:r>
          </w:p>
        </w:tc>
        <w:tc>
          <w:tcPr>
            <w:tcW w:w="1140" w:type="dxa"/>
            <w:tcBorders>
              <w:top w:val="nil"/>
              <w:left w:val="nil"/>
              <w:bottom w:val="single" w:sz="4" w:space="0" w:color="auto"/>
              <w:right w:val="single" w:sz="4" w:space="0" w:color="auto"/>
            </w:tcBorders>
            <w:shd w:val="clear" w:color="auto" w:fill="auto"/>
            <w:noWrap/>
            <w:vAlign w:val="center"/>
            <w:hideMark/>
          </w:tcPr>
          <w:p w14:paraId="0393CCD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11.000,00</w:t>
            </w:r>
          </w:p>
        </w:tc>
        <w:tc>
          <w:tcPr>
            <w:tcW w:w="1180" w:type="dxa"/>
            <w:tcBorders>
              <w:top w:val="nil"/>
              <w:left w:val="nil"/>
              <w:bottom w:val="single" w:sz="4" w:space="0" w:color="auto"/>
              <w:right w:val="single" w:sz="4" w:space="0" w:color="auto"/>
            </w:tcBorders>
            <w:shd w:val="clear" w:color="auto" w:fill="auto"/>
            <w:noWrap/>
            <w:vAlign w:val="center"/>
            <w:hideMark/>
          </w:tcPr>
          <w:p w14:paraId="5825EF7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10.000,00</w:t>
            </w:r>
          </w:p>
        </w:tc>
        <w:tc>
          <w:tcPr>
            <w:tcW w:w="1340" w:type="dxa"/>
            <w:tcBorders>
              <w:top w:val="nil"/>
              <w:left w:val="nil"/>
              <w:bottom w:val="single" w:sz="4" w:space="0" w:color="auto"/>
              <w:right w:val="single" w:sz="4" w:space="0" w:color="auto"/>
            </w:tcBorders>
            <w:shd w:val="clear" w:color="auto" w:fill="auto"/>
            <w:noWrap/>
            <w:vAlign w:val="center"/>
            <w:hideMark/>
          </w:tcPr>
          <w:p w14:paraId="42601A7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BE3511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10.000,00</w:t>
            </w:r>
          </w:p>
        </w:tc>
      </w:tr>
      <w:tr w:rsidR="00F56356" w:rsidRPr="00F56356" w14:paraId="553873A3" w14:textId="77777777" w:rsidTr="00F56356">
        <w:trPr>
          <w:trHeight w:val="330"/>
        </w:trPr>
        <w:tc>
          <w:tcPr>
            <w:tcW w:w="340" w:type="dxa"/>
            <w:tcBorders>
              <w:top w:val="nil"/>
              <w:left w:val="nil"/>
              <w:bottom w:val="nil"/>
              <w:right w:val="nil"/>
            </w:tcBorders>
            <w:shd w:val="clear" w:color="auto" w:fill="auto"/>
            <w:noWrap/>
            <w:vAlign w:val="bottom"/>
            <w:hideMark/>
          </w:tcPr>
          <w:p w14:paraId="433E8DA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1CDFDD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68EF7D7"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5C6E6C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A90E4F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3ACD52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87A624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A193CA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6F26064" w14:textId="77777777" w:rsidTr="00F56356">
        <w:trPr>
          <w:trHeight w:val="540"/>
        </w:trPr>
        <w:tc>
          <w:tcPr>
            <w:tcW w:w="340" w:type="dxa"/>
            <w:tcBorders>
              <w:top w:val="nil"/>
              <w:left w:val="nil"/>
              <w:bottom w:val="nil"/>
              <w:right w:val="nil"/>
            </w:tcBorders>
            <w:shd w:val="clear" w:color="auto" w:fill="auto"/>
            <w:noWrap/>
            <w:vAlign w:val="bottom"/>
            <w:hideMark/>
          </w:tcPr>
          <w:p w14:paraId="71B90B0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2EA05E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5E226C1D" w14:textId="77777777" w:rsidTr="00F56356">
        <w:trPr>
          <w:trHeight w:val="345"/>
        </w:trPr>
        <w:tc>
          <w:tcPr>
            <w:tcW w:w="340" w:type="dxa"/>
            <w:tcBorders>
              <w:top w:val="nil"/>
              <w:left w:val="nil"/>
              <w:bottom w:val="nil"/>
              <w:right w:val="nil"/>
            </w:tcBorders>
            <w:shd w:val="clear" w:color="auto" w:fill="auto"/>
            <w:noWrap/>
            <w:vAlign w:val="bottom"/>
            <w:hideMark/>
          </w:tcPr>
          <w:p w14:paraId="5B68A98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93B972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53CC03A0" w14:textId="77777777" w:rsidTr="00F56356">
        <w:trPr>
          <w:trHeight w:val="345"/>
        </w:trPr>
        <w:tc>
          <w:tcPr>
            <w:tcW w:w="340" w:type="dxa"/>
            <w:tcBorders>
              <w:top w:val="nil"/>
              <w:left w:val="nil"/>
              <w:bottom w:val="nil"/>
              <w:right w:val="nil"/>
            </w:tcBorders>
            <w:shd w:val="clear" w:color="auto" w:fill="auto"/>
            <w:noWrap/>
            <w:vAlign w:val="bottom"/>
            <w:hideMark/>
          </w:tcPr>
          <w:p w14:paraId="699A702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4CE2771"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r w:rsidRPr="00F56356">
              <w:rPr>
                <w:rFonts w:ascii="Times New Roman" w:eastAsia="Times New Roman" w:hAnsi="Times New Roman" w:cs="Times New Roman"/>
                <w:color w:val="000000"/>
                <w:sz w:val="20"/>
                <w:szCs w:val="20"/>
                <w:lang w:eastAsia="it-IT"/>
              </w:rPr>
              <w:t>(4</w:t>
            </w:r>
            <w:r w:rsidRPr="00F56356">
              <w:rPr>
                <w:rFonts w:ascii="Times New Roman" w:eastAsia="Times New Roman" w:hAnsi="Times New Roman" w:cs="Times New Roman"/>
                <w:b/>
                <w:bCs/>
                <w:color w:val="000000"/>
                <w:sz w:val="20"/>
                <w:szCs w:val="20"/>
                <w:lang w:eastAsia="it-IT"/>
              </w:rPr>
              <w:t xml:space="preserve">) </w:t>
            </w:r>
            <w:r w:rsidRPr="00F56356">
              <w:rPr>
                <w:rFonts w:ascii="Times New Roman" w:eastAsia="Times New Roman" w:hAnsi="Times New Roman" w:cs="Times New Roman"/>
                <w:color w:val="000000"/>
                <w:sz w:val="20"/>
                <w:szCs w:val="20"/>
                <w:lang w:eastAsia="it-IT"/>
              </w:rPr>
              <w:t>impegni rimasti da pagare in c/competenza al termine dell’esercizio.</w:t>
            </w:r>
          </w:p>
        </w:tc>
      </w:tr>
      <w:tr w:rsidR="00F56356" w:rsidRPr="00F56356" w14:paraId="3938E9A3" w14:textId="77777777" w:rsidTr="00F56356">
        <w:trPr>
          <w:trHeight w:val="480"/>
        </w:trPr>
        <w:tc>
          <w:tcPr>
            <w:tcW w:w="340" w:type="dxa"/>
            <w:tcBorders>
              <w:top w:val="nil"/>
              <w:left w:val="nil"/>
              <w:bottom w:val="nil"/>
              <w:right w:val="nil"/>
            </w:tcBorders>
            <w:shd w:val="clear" w:color="auto" w:fill="auto"/>
            <w:noWrap/>
            <w:vAlign w:val="bottom"/>
            <w:hideMark/>
          </w:tcPr>
          <w:p w14:paraId="54B3E857" w14:textId="77777777" w:rsidR="00F56356" w:rsidRPr="00F56356" w:rsidRDefault="00F56356" w:rsidP="00F56356">
            <w:pPr>
              <w:spacing w:after="0" w:line="240" w:lineRule="auto"/>
              <w:rPr>
                <w:rFonts w:ascii="Times New Roman" w:eastAsia="Times New Roman" w:hAnsi="Times New Roman" w:cs="Times New Roman"/>
                <w:b/>
                <w:bCs/>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E53BE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32CA64F6" w14:textId="77777777" w:rsidTr="00F56356">
        <w:trPr>
          <w:trHeight w:val="600"/>
        </w:trPr>
        <w:tc>
          <w:tcPr>
            <w:tcW w:w="340" w:type="dxa"/>
            <w:tcBorders>
              <w:top w:val="nil"/>
              <w:left w:val="nil"/>
              <w:bottom w:val="nil"/>
              <w:right w:val="nil"/>
            </w:tcBorders>
            <w:shd w:val="clear" w:color="auto" w:fill="auto"/>
            <w:noWrap/>
            <w:vAlign w:val="center"/>
            <w:hideMark/>
          </w:tcPr>
          <w:p w14:paraId="5767D35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2311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D60B9F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Tempestività dei pagamenti connessi allo svolgimento dei premi </w:t>
            </w:r>
          </w:p>
        </w:tc>
      </w:tr>
      <w:tr w:rsidR="00F56356" w:rsidRPr="00F56356" w14:paraId="20B29457" w14:textId="77777777" w:rsidTr="00F56356">
        <w:trPr>
          <w:trHeight w:val="457"/>
        </w:trPr>
        <w:tc>
          <w:tcPr>
            <w:tcW w:w="340" w:type="dxa"/>
            <w:tcBorders>
              <w:top w:val="nil"/>
              <w:left w:val="nil"/>
              <w:bottom w:val="nil"/>
              <w:right w:val="nil"/>
            </w:tcBorders>
            <w:shd w:val="clear" w:color="auto" w:fill="auto"/>
            <w:noWrap/>
            <w:vAlign w:val="center"/>
            <w:hideMark/>
          </w:tcPr>
          <w:p w14:paraId="1990088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A3469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3D7966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PEC. PROTOCOLLO / EMAIL</w:t>
            </w:r>
          </w:p>
        </w:tc>
      </w:tr>
      <w:tr w:rsidR="00F56356" w:rsidRPr="00F56356" w14:paraId="046C10BF" w14:textId="77777777" w:rsidTr="00F56356">
        <w:trPr>
          <w:trHeight w:val="977"/>
        </w:trPr>
        <w:tc>
          <w:tcPr>
            <w:tcW w:w="340" w:type="dxa"/>
            <w:tcBorders>
              <w:top w:val="nil"/>
              <w:left w:val="nil"/>
              <w:bottom w:val="nil"/>
              <w:right w:val="nil"/>
            </w:tcBorders>
            <w:shd w:val="clear" w:color="auto" w:fill="auto"/>
            <w:noWrap/>
            <w:vAlign w:val="center"/>
            <w:hideMark/>
          </w:tcPr>
          <w:p w14:paraId="7DF17EA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495D8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739D2B0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Liquidazione delle somme entro 60 giorni dal perfezionamento del titolo giuridico abilitante. </w:t>
            </w:r>
          </w:p>
        </w:tc>
        <w:tc>
          <w:tcPr>
            <w:tcW w:w="1180" w:type="dxa"/>
            <w:tcBorders>
              <w:top w:val="nil"/>
              <w:left w:val="nil"/>
              <w:bottom w:val="single" w:sz="4" w:space="0" w:color="auto"/>
              <w:right w:val="nil"/>
            </w:tcBorders>
            <w:shd w:val="clear" w:color="auto" w:fill="auto"/>
            <w:vAlign w:val="center"/>
            <w:hideMark/>
          </w:tcPr>
          <w:p w14:paraId="6F87E24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B000BF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D7E4A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6DD7E47" w14:textId="77777777" w:rsidTr="00F56356">
        <w:trPr>
          <w:trHeight w:val="615"/>
        </w:trPr>
        <w:tc>
          <w:tcPr>
            <w:tcW w:w="340" w:type="dxa"/>
            <w:tcBorders>
              <w:top w:val="nil"/>
              <w:left w:val="nil"/>
              <w:bottom w:val="nil"/>
              <w:right w:val="nil"/>
            </w:tcBorders>
            <w:shd w:val="clear" w:color="auto" w:fill="auto"/>
            <w:noWrap/>
            <w:vAlign w:val="bottom"/>
            <w:hideMark/>
          </w:tcPr>
          <w:p w14:paraId="40CB31B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E3E705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C68FBB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Numero di giorni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728E9A1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340" w:type="dxa"/>
            <w:tcBorders>
              <w:top w:val="nil"/>
              <w:left w:val="nil"/>
              <w:bottom w:val="single" w:sz="4" w:space="0" w:color="auto"/>
              <w:right w:val="nil"/>
            </w:tcBorders>
            <w:shd w:val="clear" w:color="auto" w:fill="auto"/>
            <w:vAlign w:val="center"/>
            <w:hideMark/>
          </w:tcPr>
          <w:p w14:paraId="63B9432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553472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2A426534" w14:textId="77777777" w:rsidR="00F56356" w:rsidRPr="00F56356" w:rsidRDefault="00F56356" w:rsidP="00F56356">
      <w:pPr>
        <w:jc w:val="center"/>
        <w:rPr>
          <w:rFonts w:ascii="Times New Roman" w:eastAsiaTheme="minorEastAsia" w:hAnsi="Times New Roman" w:cs="Times New Roman"/>
          <w:sz w:val="12"/>
          <w:szCs w:val="12"/>
          <w:lang w:eastAsia="it-IT"/>
        </w:rPr>
      </w:pPr>
    </w:p>
    <w:p w14:paraId="503135A9" w14:textId="5B7A7CEA" w:rsidR="00F56356" w:rsidRDefault="00F56356" w:rsidP="00F56356">
      <w:pPr>
        <w:jc w:val="center"/>
        <w:rPr>
          <w:rFonts w:ascii="Times New Roman" w:eastAsiaTheme="minorEastAsia" w:hAnsi="Times New Roman" w:cs="Times New Roman"/>
          <w:sz w:val="12"/>
          <w:szCs w:val="12"/>
          <w:lang w:eastAsia="it-IT"/>
        </w:rPr>
      </w:pPr>
    </w:p>
    <w:p w14:paraId="05170802" w14:textId="77777777" w:rsidR="0043213C" w:rsidRPr="00F56356" w:rsidRDefault="0043213C" w:rsidP="00F56356">
      <w:pPr>
        <w:jc w:val="center"/>
        <w:rPr>
          <w:rFonts w:ascii="Times New Roman" w:eastAsiaTheme="minorEastAsia" w:hAnsi="Times New Roman" w:cs="Times New Roman"/>
          <w:sz w:val="12"/>
          <w:szCs w:val="12"/>
          <w:lang w:eastAsia="it-IT"/>
        </w:rPr>
      </w:pPr>
    </w:p>
    <w:p w14:paraId="0AE46FF6"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8A7E27E"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BA8E978" w14:textId="77777777" w:rsidR="00F56356" w:rsidRPr="00F56356" w:rsidRDefault="00F56356" w:rsidP="00F56356">
      <w:pPr>
        <w:spacing w:after="0" w:line="240" w:lineRule="auto"/>
        <w:ind w:left="284"/>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10 “Programma di Governo”</w:t>
      </w:r>
    </w:p>
    <w:p w14:paraId="7A11776F" w14:textId="77777777" w:rsidR="00F56356" w:rsidRPr="00F56356" w:rsidRDefault="00F56356" w:rsidP="00F56356">
      <w:pPr>
        <w:spacing w:after="0" w:line="240" w:lineRule="auto"/>
        <w:ind w:left="284"/>
        <w:jc w:val="both"/>
        <w:rPr>
          <w:rFonts w:ascii="Times New Roman" w:eastAsia="Times New Roman" w:hAnsi="Times New Roman" w:cs="Times New Roman"/>
          <w:b/>
          <w:sz w:val="24"/>
          <w:szCs w:val="24"/>
          <w:lang w:eastAsia="it-IT"/>
        </w:rPr>
      </w:pPr>
    </w:p>
    <w:p w14:paraId="0B1FCB2C" w14:textId="77777777" w:rsidR="00F56356" w:rsidRPr="00F56356" w:rsidRDefault="00F56356" w:rsidP="00F56356">
      <w:pPr>
        <w:spacing w:after="0" w:line="240" w:lineRule="auto"/>
        <w:ind w:left="284"/>
        <w:jc w:val="both"/>
        <w:rPr>
          <w:rFonts w:ascii="Times New Roman" w:eastAsia="Times New Roman" w:hAnsi="Times New Roman" w:cs="Times New Roman"/>
          <w:b/>
          <w:sz w:val="10"/>
          <w:szCs w:val="24"/>
          <w:lang w:eastAsia="it-IT"/>
        </w:rPr>
      </w:pPr>
    </w:p>
    <w:p w14:paraId="5DC2158C"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79C18F65" w14:textId="77777777" w:rsidR="00F56356" w:rsidRPr="00F56356" w:rsidRDefault="00F56356" w:rsidP="00F56356">
      <w:pPr>
        <w:spacing w:after="0" w:line="240" w:lineRule="auto"/>
        <w:ind w:left="284"/>
        <w:jc w:val="both"/>
        <w:rPr>
          <w:rFonts w:ascii="Times New Roman" w:eastAsia="Times New Roman" w:hAnsi="Times New Roman" w:cs="Times New Roman"/>
          <w:b/>
          <w:sz w:val="24"/>
          <w:szCs w:val="24"/>
          <w:lang w:eastAsia="it-IT"/>
        </w:rPr>
      </w:pPr>
    </w:p>
    <w:p w14:paraId="11A71958"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Programma 1.3 - </w:t>
      </w:r>
      <w:r w:rsidRPr="00F56356">
        <w:rPr>
          <w:rFonts w:ascii="Times New Roman" w:eastAsia="Times New Roman" w:hAnsi="Times New Roman" w:cs="Times New Roman"/>
          <w:sz w:val="24"/>
          <w:szCs w:val="24"/>
          <w:lang w:eastAsia="it-IT"/>
        </w:rPr>
        <w:t xml:space="preserve">Presidenza del Consiglio dei ministri </w:t>
      </w:r>
    </w:p>
    <w:p w14:paraId="5283FDFD" w14:textId="77777777" w:rsidR="00F56356" w:rsidRPr="00F56356" w:rsidRDefault="00F56356" w:rsidP="00F56356">
      <w:pPr>
        <w:spacing w:after="0" w:line="240" w:lineRule="auto"/>
        <w:ind w:left="284"/>
        <w:jc w:val="both"/>
        <w:rPr>
          <w:rFonts w:ascii="Times New Roman" w:eastAsia="Times New Roman" w:hAnsi="Times New Roman" w:cs="Times New Roman"/>
          <w:i/>
          <w:sz w:val="24"/>
          <w:szCs w:val="24"/>
          <w:lang w:eastAsia="it-IT"/>
        </w:rPr>
      </w:pPr>
    </w:p>
    <w:p w14:paraId="2CB3B584" w14:textId="77777777" w:rsidR="00F56356" w:rsidRPr="00F56356" w:rsidRDefault="00F56356" w:rsidP="00F56356">
      <w:pPr>
        <w:spacing w:after="0" w:line="240" w:lineRule="auto"/>
        <w:ind w:left="284"/>
        <w:jc w:val="both"/>
        <w:rPr>
          <w:rFonts w:ascii="Times New Roman" w:eastAsia="Times New Roman" w:hAnsi="Times New Roman" w:cs="Times New Roman"/>
          <w:i/>
          <w:sz w:val="24"/>
          <w:szCs w:val="24"/>
          <w:lang w:eastAsia="it-IT"/>
        </w:rPr>
      </w:pPr>
    </w:p>
    <w:p w14:paraId="0547644B" w14:textId="77777777" w:rsidR="00F56356" w:rsidRPr="00F56356" w:rsidRDefault="00F56356" w:rsidP="00F56356">
      <w:pPr>
        <w:spacing w:after="0" w:line="24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sz w:val="24"/>
          <w:szCs w:val="24"/>
          <w:lang w:eastAsia="it-IT"/>
        </w:rPr>
        <w:t>1</w:t>
      </w:r>
      <w:r w:rsidRPr="00F56356">
        <w:rPr>
          <w:rFonts w:ascii="Times New Roman" w:eastAsia="Times New Roman" w:hAnsi="Times New Roman" w:cs="Times New Roman"/>
          <w:b/>
          <w:sz w:val="24"/>
          <w:szCs w:val="24"/>
          <w:lang w:eastAsia="it-IT"/>
        </w:rPr>
        <w:t>.</w:t>
      </w:r>
      <w:r w:rsidRPr="00F56356">
        <w:rPr>
          <w:rFonts w:ascii="Times New Roman" w:eastAsia="Times New Roman" w:hAnsi="Times New Roman" w:cs="Times New Roman"/>
          <w:b/>
          <w:i/>
          <w:sz w:val="24"/>
          <w:szCs w:val="24"/>
          <w:lang w:eastAsia="it-IT"/>
        </w:rPr>
        <w:t xml:space="preserve">  Mission</w:t>
      </w:r>
    </w:p>
    <w:p w14:paraId="1EDF54D5" w14:textId="77777777" w:rsidR="00F56356" w:rsidRPr="00F56356" w:rsidRDefault="00F56356" w:rsidP="00F56356">
      <w:pPr>
        <w:spacing w:after="0" w:line="240" w:lineRule="auto"/>
        <w:ind w:left="284"/>
        <w:jc w:val="both"/>
        <w:rPr>
          <w:rFonts w:ascii="Times New Roman" w:eastAsia="Times New Roman" w:hAnsi="Times New Roman" w:cs="Times New Roman"/>
          <w:b/>
          <w:i/>
          <w:sz w:val="24"/>
          <w:szCs w:val="24"/>
          <w:lang w:eastAsia="it-IT"/>
        </w:rPr>
      </w:pPr>
    </w:p>
    <w:p w14:paraId="78C64312"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Centro di responsabilità 10 “Programma di Governo” è la struttura di supporto al Presidente che opera nell’area funzionale della programmazione strategica, del monitoraggio e dell’attuazione delle politiche governative, compresa l’attuazione dei provvedimenti legislativi contenuti nel Piano Nazionale di Ripresa e Resilienza. Cura l’analisi del programma di Governo e la ricognizione degli impegni assunti in sede parlamentare e in tutte le altre sedi istituzionali; promuove l’impulso e il coordinamento delle attività necessarie per l’attuazione e l’aggiornamento del programma di Governo e il conseguimento degli obiettivi stabiliti; effettua il monitoraggio e la verifica, sia in via legislativa che amministrativa, dell’attuazione del programma e delle politiche settoriali</w:t>
      </w:r>
      <w:r w:rsidRPr="00F56356">
        <w:rPr>
          <w:rFonts w:ascii="Times New Roman" w:eastAsia="Times New Roman" w:hAnsi="Times New Roman" w:cs="Times New Roman"/>
          <w:color w:val="000000" w:themeColor="text1"/>
          <w:sz w:val="24"/>
          <w:szCs w:val="24"/>
          <w:lang w:eastAsia="it-IT"/>
        </w:rPr>
        <w:t>. Provvede alla segnalazione dei ritardi, delle difficoltà o degli scostamenti eventualmente rilevati; cura l’informazione, la comunicazione e la promozione delle attività e delle iniziative del Governo per la realizzazione del programma mediante periodici rapporti, pubblicazioni e strumenti di comunicazione di massa, in raccordo con il Dipartimento per l’informazione e l’editoria.</w:t>
      </w:r>
      <w:r w:rsidRPr="00F56356">
        <w:rPr>
          <w:rFonts w:ascii="Times New Roman" w:eastAsia="Times New Roman" w:hAnsi="Times New Roman" w:cs="Times New Roman"/>
          <w:sz w:val="24"/>
          <w:szCs w:val="24"/>
          <w:lang w:eastAsia="it-IT"/>
        </w:rPr>
        <w:t xml:space="preserve"> Inoltre, ai sensi dell’articolo 19, comma 14-bis, del decreto-legge 24 giugno 2014, n. 90, convertito, con modificazioni, dalla legge 11 agosto 2014, n. 114, svolge le funzioni di supporto dell’Autorità politica delegata per il coordinamento in materia di controllo strategico nelle amministrazioni dello Stato, precedentemente svolte dal soppresso Comitato tecnico-scientifico per il controllo strategico.</w:t>
      </w:r>
    </w:p>
    <w:p w14:paraId="6908059E"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p>
    <w:p w14:paraId="73CC76CE"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w:t>
      </w:r>
      <w:r w:rsidRPr="00F56356">
        <w:rPr>
          <w:rFonts w:ascii="Times New Roman" w:eastAsia="Times New Roman" w:hAnsi="Times New Roman" w:cs="Times New Roman"/>
          <w:b/>
          <w:iCs/>
          <w:sz w:val="24"/>
          <w:szCs w:val="24"/>
          <w:lang w:eastAsia="it-IT"/>
        </w:rPr>
        <w:t>Ricostruzione flussi finanziari e aspetti rilevanti della gestione</w:t>
      </w:r>
      <w:r w:rsidRPr="00F56356">
        <w:rPr>
          <w:rFonts w:ascii="Times New Roman" w:eastAsia="Times New Roman" w:hAnsi="Times New Roman" w:cs="Times New Roman"/>
          <w:b/>
          <w:sz w:val="24"/>
          <w:szCs w:val="24"/>
          <w:lang w:eastAsia="it-IT"/>
        </w:rPr>
        <w:t xml:space="preserve"> </w:t>
      </w:r>
    </w:p>
    <w:p w14:paraId="05F6B91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risorse complessivamente assegnate sono state pari a euro 201.492,00.</w:t>
      </w:r>
    </w:p>
    <w:p w14:paraId="6526A14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7.625,00, con un’economia di bilancio pari a euro 193.867,00. Non sono stati effettuati pagamenti. </w:t>
      </w:r>
    </w:p>
    <w:p w14:paraId="16072F4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7E365BD9"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414C984F" wp14:editId="327BE1A5">
            <wp:extent cx="3773170" cy="636168"/>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99715" cy="657504"/>
                    </a:xfrm>
                    <a:prstGeom prst="rect">
                      <a:avLst/>
                    </a:prstGeom>
                    <a:noFill/>
                    <a:ln>
                      <a:noFill/>
                    </a:ln>
                  </pic:spPr>
                </pic:pic>
              </a:graphicData>
            </a:graphic>
          </wp:inline>
        </w:drawing>
      </w:r>
    </w:p>
    <w:p w14:paraId="066E8F9E"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color w:val="FF0000"/>
          <w:sz w:val="24"/>
          <w:szCs w:val="24"/>
          <w:lang w:eastAsia="it-IT"/>
        </w:rPr>
        <w:lastRenderedPageBreak/>
        <w:drawing>
          <wp:inline distT="0" distB="0" distL="0" distR="0" wp14:anchorId="558C53B4" wp14:editId="0373F54A">
            <wp:extent cx="3901948" cy="1994554"/>
            <wp:effectExtent l="0" t="0" r="3810" b="5715"/>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19771" cy="2003665"/>
                    </a:xfrm>
                    <a:prstGeom prst="rect">
                      <a:avLst/>
                    </a:prstGeom>
                    <a:noFill/>
                  </pic:spPr>
                </pic:pic>
              </a:graphicData>
            </a:graphic>
          </wp:inline>
        </w:drawing>
      </w:r>
    </w:p>
    <w:p w14:paraId="5A885692"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12"/>
          <w:szCs w:val="12"/>
          <w:lang w:eastAsia="it-IT"/>
        </w:rPr>
      </w:pPr>
    </w:p>
    <w:p w14:paraId="3B6E0564" w14:textId="77777777" w:rsidR="00F56356" w:rsidRPr="00F56356" w:rsidRDefault="00F56356" w:rsidP="00F56356">
      <w:pPr>
        <w:tabs>
          <w:tab w:val="left" w:pos="0"/>
          <w:tab w:val="left" w:pos="9356"/>
        </w:tabs>
        <w:spacing w:after="0" w:line="360" w:lineRule="auto"/>
        <w:ind w:left="284"/>
        <w:jc w:val="center"/>
        <w:rPr>
          <w:rFonts w:ascii="Times New Roman" w:eastAsia="Times New Roman" w:hAnsi="Times New Roman" w:cs="Times New Roman"/>
          <w:sz w:val="24"/>
          <w:szCs w:val="24"/>
          <w:lang w:eastAsia="it-IT"/>
        </w:rPr>
      </w:pPr>
    </w:p>
    <w:p w14:paraId="06D1ABD1"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I residui passivi al 1° gennaio 2022 erano pari a euro 13.353,89.</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non sono stati effettuati pagamenti.</w:t>
      </w:r>
    </w:p>
    <w:p w14:paraId="34B92647" w14:textId="77777777" w:rsidR="00F56356" w:rsidRPr="00F56356" w:rsidRDefault="00F56356" w:rsidP="00F56356">
      <w:pPr>
        <w:spacing w:after="0" w:line="360" w:lineRule="auto"/>
        <w:jc w:val="center"/>
        <w:rPr>
          <w:rFonts w:ascii="Times New Roman" w:eastAsia="BatangChe" w:hAnsi="Times New Roman" w:cs="Times New Roman"/>
          <w:color w:val="000000" w:themeColor="text1"/>
          <w:sz w:val="24"/>
          <w:szCs w:val="24"/>
          <w:lang w:eastAsia="it-IT"/>
        </w:rPr>
      </w:pPr>
      <w:r w:rsidRPr="00F56356">
        <w:rPr>
          <w:rFonts w:ascii="Times New Roman" w:eastAsia="BatangChe" w:hAnsi="Times New Roman" w:cs="Times New Roman"/>
          <w:color w:val="000000" w:themeColor="text1"/>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5BCB8403"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31DB"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5663D5EE"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3EAF"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3735800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1A7CD506"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42050A2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562FF83B"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4F130226"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27463ADB"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4C4CAF3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34EB7C2C"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490762A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3B5F684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32221C21"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0952CF1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583</w:t>
            </w:r>
          </w:p>
        </w:tc>
        <w:tc>
          <w:tcPr>
            <w:tcW w:w="1574" w:type="dxa"/>
            <w:tcBorders>
              <w:top w:val="nil"/>
              <w:left w:val="nil"/>
              <w:bottom w:val="single" w:sz="4" w:space="0" w:color="auto"/>
              <w:right w:val="single" w:sz="4" w:space="0" w:color="auto"/>
            </w:tcBorders>
            <w:shd w:val="clear" w:color="auto" w:fill="auto"/>
            <w:noWrap/>
            <w:vAlign w:val="center"/>
            <w:hideMark/>
          </w:tcPr>
          <w:p w14:paraId="48E08A0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13.353,89</w:t>
            </w:r>
          </w:p>
        </w:tc>
        <w:tc>
          <w:tcPr>
            <w:tcW w:w="1440" w:type="dxa"/>
            <w:tcBorders>
              <w:top w:val="nil"/>
              <w:left w:val="nil"/>
              <w:bottom w:val="single" w:sz="4" w:space="0" w:color="auto"/>
              <w:right w:val="single" w:sz="4" w:space="0" w:color="auto"/>
            </w:tcBorders>
            <w:shd w:val="clear" w:color="auto" w:fill="auto"/>
            <w:noWrap/>
            <w:vAlign w:val="center"/>
            <w:hideMark/>
          </w:tcPr>
          <w:p w14:paraId="691B864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FFC49C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single" w:sz="4" w:space="0" w:color="auto"/>
            </w:tcBorders>
            <w:shd w:val="clear" w:color="auto" w:fill="auto"/>
            <w:noWrap/>
            <w:vAlign w:val="center"/>
            <w:hideMark/>
          </w:tcPr>
          <w:p w14:paraId="6CA769A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6D8C158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2158810B"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19DFA3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04954D8E"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13.353,89</w:t>
            </w:r>
          </w:p>
        </w:tc>
        <w:tc>
          <w:tcPr>
            <w:tcW w:w="1440" w:type="dxa"/>
            <w:tcBorders>
              <w:top w:val="nil"/>
              <w:left w:val="nil"/>
              <w:bottom w:val="single" w:sz="4" w:space="0" w:color="auto"/>
              <w:right w:val="single" w:sz="4" w:space="0" w:color="auto"/>
            </w:tcBorders>
            <w:shd w:val="clear" w:color="auto" w:fill="auto"/>
            <w:noWrap/>
            <w:vAlign w:val="center"/>
            <w:hideMark/>
          </w:tcPr>
          <w:p w14:paraId="6ECCE2D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96" w:type="dxa"/>
            <w:tcBorders>
              <w:top w:val="nil"/>
              <w:left w:val="nil"/>
              <w:bottom w:val="nil"/>
              <w:right w:val="nil"/>
            </w:tcBorders>
            <w:shd w:val="clear" w:color="auto" w:fill="auto"/>
            <w:noWrap/>
            <w:vAlign w:val="center"/>
            <w:hideMark/>
          </w:tcPr>
          <w:p w14:paraId="4526B93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799CDA9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117A714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5B5B4B13" w14:textId="77777777" w:rsidR="00F56356" w:rsidRPr="00F56356" w:rsidRDefault="00F56356" w:rsidP="00F56356">
      <w:pPr>
        <w:spacing w:after="0" w:line="360" w:lineRule="auto"/>
        <w:jc w:val="center"/>
        <w:rPr>
          <w:rFonts w:ascii="Times New Roman" w:eastAsia="BatangChe" w:hAnsi="Times New Roman" w:cs="Times New Roman"/>
          <w:color w:val="000000" w:themeColor="text1"/>
          <w:sz w:val="24"/>
          <w:szCs w:val="24"/>
          <w:lang w:eastAsia="it-IT"/>
        </w:rPr>
      </w:pPr>
    </w:p>
    <w:p w14:paraId="585C0E10"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7.625,00 sono state destinate interamente agli interventi.</w:t>
      </w:r>
    </w:p>
    <w:p w14:paraId="5E9466CF"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b/>
          <w:sz w:val="24"/>
          <w:szCs w:val="24"/>
          <w:lang w:eastAsia="it-IT"/>
        </w:rPr>
      </w:pPr>
    </w:p>
    <w:p w14:paraId="7E38FBB9"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2.2.</w:t>
      </w:r>
      <w:r w:rsidRPr="00F56356">
        <w:rPr>
          <w:rFonts w:ascii="Times New Roman" w:eastAsiaTheme="minorEastAsia" w:hAnsi="Times New Roman" w:cs="Times New Roman"/>
          <w:b/>
          <w:bCs/>
          <w:sz w:val="24"/>
          <w:szCs w:val="24"/>
          <w:lang w:eastAsia="it-IT"/>
        </w:rPr>
        <w:t>1</w:t>
      </w:r>
      <w:r w:rsidRPr="00F56356">
        <w:rPr>
          <w:rFonts w:ascii="Times New Roman" w:eastAsiaTheme="minorEastAsia" w:hAnsi="Times New Roman" w:cs="Times New Roman"/>
          <w:sz w:val="24"/>
          <w:szCs w:val="24"/>
          <w:lang w:eastAsia="it-IT"/>
        </w:rPr>
        <w:t xml:space="preserve"> Non sono state impegnate le risorse assegnate per le spese di funzionamento. In particolare, per quanto riguarda il capitolo 577 - </w:t>
      </w:r>
      <w:r w:rsidRPr="00F56356">
        <w:rPr>
          <w:rFonts w:ascii="Times New Roman" w:eastAsiaTheme="minorEastAsia" w:hAnsi="Times New Roman" w:cs="Times New Roman"/>
          <w:i/>
          <w:sz w:val="24"/>
          <w:szCs w:val="24"/>
          <w:lang w:eastAsia="it-IT"/>
        </w:rPr>
        <w:t>Rimborso spese per missioni nel territorio nazionale e all’estero</w:t>
      </w:r>
      <w:r w:rsidRPr="00F56356">
        <w:rPr>
          <w:rFonts w:ascii="Times New Roman" w:eastAsiaTheme="minorEastAsia" w:hAnsi="Times New Roman" w:cs="Times New Roman"/>
          <w:sz w:val="24"/>
          <w:szCs w:val="24"/>
          <w:lang w:eastAsia="it-IT"/>
        </w:rPr>
        <w:t>, anche per il 2022, il protrarsi delle limitazioni emergenziale per il COVID-19 ha di</w:t>
      </w:r>
      <w:r w:rsidRPr="00F56356">
        <w:rPr>
          <w:rFonts w:ascii="Times New Roman" w:eastAsiaTheme="minorEastAsia" w:hAnsi="Times New Roman" w:cs="Times New Roman"/>
          <w:color w:val="000000" w:themeColor="text1"/>
          <w:lang w:eastAsia="it-IT"/>
        </w:rPr>
        <w:t xml:space="preserve"> </w:t>
      </w:r>
      <w:r w:rsidRPr="00F56356">
        <w:rPr>
          <w:rFonts w:ascii="Times New Roman" w:eastAsiaTheme="minorEastAsia" w:hAnsi="Times New Roman" w:cs="Times New Roman"/>
          <w:color w:val="000000" w:themeColor="text1"/>
          <w:sz w:val="24"/>
          <w:szCs w:val="24"/>
          <w:lang w:eastAsia="it-IT"/>
        </w:rPr>
        <w:t>fatto annullato gli spostamenti, da</w:t>
      </w:r>
      <w:r w:rsidRPr="00F56356">
        <w:rPr>
          <w:rFonts w:ascii="Times New Roman" w:eastAsiaTheme="minorEastAsia" w:hAnsi="Times New Roman" w:cs="Times New Roman"/>
          <w:color w:val="000000" w:themeColor="text1"/>
          <w:lang w:eastAsia="it-IT"/>
        </w:rPr>
        <w:t xml:space="preserve"> e per </w:t>
      </w:r>
      <w:r w:rsidRPr="00F56356">
        <w:rPr>
          <w:rFonts w:ascii="Times New Roman" w:eastAsiaTheme="minorEastAsia" w:hAnsi="Times New Roman" w:cs="Times New Roman"/>
          <w:color w:val="000000" w:themeColor="text1"/>
          <w:sz w:val="24"/>
          <w:szCs w:val="24"/>
          <w:lang w:eastAsia="it-IT"/>
        </w:rPr>
        <w:t>l’estero, per le attività congressuali e convegnistiche</w:t>
      </w:r>
      <w:r w:rsidRPr="00F56356">
        <w:rPr>
          <w:rFonts w:ascii="Times New Roman" w:eastAsiaTheme="minorEastAsia" w:hAnsi="Times New Roman" w:cs="Times New Roman"/>
          <w:sz w:val="24"/>
          <w:szCs w:val="24"/>
          <w:lang w:eastAsia="it-IT"/>
        </w:rPr>
        <w:t>.</w:t>
      </w:r>
    </w:p>
    <w:p w14:paraId="6B1DD0F4"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sz w:val="24"/>
          <w:szCs w:val="24"/>
          <w:lang w:eastAsia="it-IT"/>
        </w:rPr>
        <w:t xml:space="preserve">Anche le risorse appostate sul capitolo 579 - </w:t>
      </w:r>
      <w:r w:rsidRPr="00F56356">
        <w:rPr>
          <w:rFonts w:ascii="Times New Roman" w:eastAsiaTheme="minorEastAsia" w:hAnsi="Times New Roman" w:cs="Times New Roman"/>
          <w:i/>
          <w:sz w:val="24"/>
          <w:szCs w:val="24"/>
          <w:lang w:eastAsia="it-IT"/>
        </w:rPr>
        <w:t>Spese connesse con il monitoraggio, l’impulso e il coordinamento dell’attuazione del programma</w:t>
      </w:r>
      <w:r w:rsidRPr="00F56356">
        <w:rPr>
          <w:rFonts w:ascii="Times New Roman" w:eastAsiaTheme="minorEastAsia" w:hAnsi="Times New Roman" w:cs="Times New Roman"/>
          <w:sz w:val="24"/>
          <w:szCs w:val="24"/>
          <w:lang w:eastAsia="it-IT"/>
        </w:rPr>
        <w:t xml:space="preserve"> </w:t>
      </w:r>
      <w:r w:rsidRPr="00F56356">
        <w:rPr>
          <w:rFonts w:ascii="Times New Roman" w:eastAsiaTheme="minorEastAsia" w:hAnsi="Times New Roman" w:cs="Times New Roman"/>
          <w:i/>
          <w:iCs/>
          <w:sz w:val="24"/>
          <w:szCs w:val="24"/>
          <w:lang w:eastAsia="it-IT"/>
        </w:rPr>
        <w:t>ed in materia di controllo strategico</w:t>
      </w:r>
      <w:r w:rsidRPr="00F56356">
        <w:rPr>
          <w:rFonts w:ascii="Times New Roman" w:eastAsiaTheme="minorEastAsia" w:hAnsi="Times New Roman" w:cs="Times New Roman"/>
          <w:sz w:val="24"/>
          <w:szCs w:val="24"/>
          <w:lang w:eastAsia="it-IT"/>
        </w:rPr>
        <w:t xml:space="preserve"> non sono state oggetto di impegni in quanto il monitoraggio delle riforme previste dal PNRR è stato realizzato attraverso un’attività di rilevazione e inserimento all’interno della banca dati. Pertanto, la prevista attività di implementazione di una nuova area all’interno del sistema Monitor è stata realizzata senza ricorrere a nuove spese.</w:t>
      </w:r>
    </w:p>
    <w:p w14:paraId="71E61E71" w14:textId="5F9AF6E3" w:rsid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p>
    <w:p w14:paraId="56FE4B37" w14:textId="74985445" w:rsidR="0043213C" w:rsidRDefault="0043213C"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p>
    <w:p w14:paraId="12E5CC5C" w14:textId="14DDB17A" w:rsidR="0043213C" w:rsidRDefault="0043213C"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p>
    <w:p w14:paraId="17EE56CF" w14:textId="77777777" w:rsidR="0043213C" w:rsidRPr="00F56356" w:rsidRDefault="0043213C"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p>
    <w:p w14:paraId="242AD45B"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sz w:val="24"/>
          <w:szCs w:val="24"/>
          <w:lang w:eastAsia="it-IT"/>
        </w:rPr>
      </w:pPr>
    </w:p>
    <w:p w14:paraId="1A2171EA" w14:textId="77777777" w:rsidR="00F56356" w:rsidRPr="00F56356" w:rsidRDefault="00F56356" w:rsidP="00F56356">
      <w:pPr>
        <w:spacing w:after="0" w:line="360" w:lineRule="auto"/>
        <w:jc w:val="center"/>
        <w:rPr>
          <w:rFonts w:ascii="Times New Roman" w:eastAsia="BatangChe" w:hAnsi="Times New Roman" w:cs="Times New Roman"/>
          <w:color w:val="000000" w:themeColor="text1"/>
          <w:sz w:val="24"/>
          <w:szCs w:val="24"/>
          <w:lang w:eastAsia="it-IT"/>
        </w:rPr>
      </w:pPr>
      <w:r w:rsidRPr="00F56356">
        <w:rPr>
          <w:rFonts w:ascii="Times New Roman" w:eastAsia="BatangChe" w:hAnsi="Times New Roman" w:cs="Times New Roman"/>
          <w:color w:val="000000" w:themeColor="text1"/>
          <w:sz w:val="24"/>
          <w:szCs w:val="24"/>
          <w:lang w:eastAsia="it-IT"/>
        </w:rPr>
        <w:lastRenderedPageBreak/>
        <w:t>Indicatori di bilancio</w:t>
      </w:r>
    </w:p>
    <w:p w14:paraId="101BE318"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1295C3A5" wp14:editId="167F476B">
            <wp:extent cx="5886450" cy="1292225"/>
            <wp:effectExtent l="0" t="0" r="0" b="317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86951" cy="1292335"/>
                    </a:xfrm>
                    <a:prstGeom prst="rect">
                      <a:avLst/>
                    </a:prstGeom>
                    <a:noFill/>
                    <a:ln>
                      <a:noFill/>
                    </a:ln>
                  </pic:spPr>
                </pic:pic>
              </a:graphicData>
            </a:graphic>
          </wp:inline>
        </w:drawing>
      </w:r>
    </w:p>
    <w:p w14:paraId="18E3D554"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
          <w:szCs w:val="24"/>
          <w:lang w:eastAsia="it-IT"/>
        </w:rPr>
      </w:pPr>
    </w:p>
    <w:p w14:paraId="777BC789"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2"/>
          <w:szCs w:val="24"/>
          <w:lang w:eastAsia="it-IT"/>
        </w:rPr>
      </w:pPr>
    </w:p>
    <w:p w14:paraId="62A2D2AC"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2"/>
          <w:szCs w:val="24"/>
          <w:lang w:eastAsia="it-IT"/>
        </w:rPr>
      </w:pPr>
    </w:p>
    <w:p w14:paraId="1B78ECB9"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2"/>
          <w:szCs w:val="24"/>
          <w:lang w:eastAsia="it-IT"/>
        </w:rPr>
      </w:pPr>
    </w:p>
    <w:p w14:paraId="091E3FB0" w14:textId="77777777" w:rsidR="00F56356" w:rsidRPr="00F56356" w:rsidRDefault="00F56356" w:rsidP="00F56356">
      <w:pPr>
        <w:spacing w:after="0" w:line="360" w:lineRule="auto"/>
        <w:ind w:left="284"/>
        <w:jc w:val="both"/>
        <w:rPr>
          <w:rFonts w:ascii="Times New Roman" w:eastAsia="Times New Roman" w:hAnsi="Times New Roman" w:cs="Times New Roman"/>
          <w:b/>
          <w:sz w:val="28"/>
          <w:szCs w:val="28"/>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per gli interventi pari a euro 7.625,00 sono state destinate: </w:t>
      </w:r>
    </w:p>
    <w:p w14:paraId="687E0B8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“Realizzazione di iniziative per velocizzare i processi attuativi e diffondere i risultati dell’azione di Governo ed in materia di programmazione strategica” </w:t>
      </w:r>
      <w:r w:rsidRPr="00F56356">
        <w:rPr>
          <w:rFonts w:ascii="Times New Roman" w:eastAsia="Times New Roman" w:hAnsi="Times New Roman" w:cs="Times New Roman"/>
          <w:color w:val="000000" w:themeColor="text1"/>
          <w:sz w:val="24"/>
          <w:szCs w:val="24"/>
          <w:lang w:eastAsia="it-IT"/>
        </w:rPr>
        <w:t>(cap. 583)</w:t>
      </w:r>
    </w:p>
    <w:p w14:paraId="468DADB6"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w:t>
      </w:r>
      <w:r w:rsidRPr="00F56356">
        <w:rPr>
          <w:rFonts w:ascii="Times New Roman" w:eastAsia="Times New Roman" w:hAnsi="Times New Roman" w:cs="Times New Roman"/>
          <w:sz w:val="24"/>
          <w:szCs w:val="24"/>
          <w:lang w:eastAsia="it-IT"/>
        </w:rPr>
        <w:t xml:space="preserve">7.625,00 alle attività svolte in merito alla fornitura di un servizio specialistico per la realizzazione del Data Warehouse e della Reportistica sulle Misure per i provvedimenti legislativi e attuativi. In particolare, le attività svolte sono state inerenti ai seguenti punti: </w:t>
      </w:r>
    </w:p>
    <w:p w14:paraId="444DED44"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all’aggiornamento Monitor-</w:t>
      </w:r>
      <w:proofErr w:type="spellStart"/>
      <w:r w:rsidRPr="00F56356">
        <w:rPr>
          <w:rFonts w:ascii="Times New Roman" w:eastAsia="Times New Roman" w:hAnsi="Times New Roman" w:cs="Times New Roman"/>
          <w:sz w:val="24"/>
          <w:szCs w:val="24"/>
          <w:lang w:eastAsia="it-IT"/>
        </w:rPr>
        <w:t>DataAnalysis</w:t>
      </w:r>
      <w:proofErr w:type="spellEnd"/>
      <w:r w:rsidRPr="00F56356">
        <w:rPr>
          <w:rFonts w:ascii="Times New Roman" w:eastAsia="Times New Roman" w:hAnsi="Times New Roman" w:cs="Times New Roman"/>
          <w:sz w:val="24"/>
          <w:szCs w:val="24"/>
          <w:lang w:eastAsia="it-IT"/>
        </w:rPr>
        <w:t xml:space="preserve"> (svolta dal 10/10/2022 al 29/11/2022);</w:t>
      </w:r>
    </w:p>
    <w:p w14:paraId="7C9434D9"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 al Documento di analisi di dettaglio, distinto per contesto: Migrazione Monitor </w:t>
      </w:r>
      <w:proofErr w:type="spellStart"/>
      <w:r w:rsidRPr="00F56356">
        <w:rPr>
          <w:rFonts w:ascii="Times New Roman" w:eastAsia="Times New Roman" w:hAnsi="Times New Roman" w:cs="Times New Roman"/>
          <w:sz w:val="24"/>
          <w:szCs w:val="24"/>
          <w:lang w:eastAsia="it-IT"/>
        </w:rPr>
        <w:t>DataAnalysis</w:t>
      </w:r>
      <w:proofErr w:type="spellEnd"/>
      <w:r w:rsidRPr="00F56356">
        <w:rPr>
          <w:rFonts w:ascii="Times New Roman" w:eastAsia="Times New Roman" w:hAnsi="Times New Roman" w:cs="Times New Roman"/>
          <w:sz w:val="24"/>
          <w:szCs w:val="24"/>
          <w:lang w:eastAsia="it-IT"/>
        </w:rPr>
        <w:t xml:space="preserve"> e Analisi di dettaglio DWH Misure e Report (svolta dal 10/10/2022 al 29/11/2022).</w:t>
      </w:r>
    </w:p>
    <w:p w14:paraId="5CBC5F4B"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p>
    <w:p w14:paraId="41A0A0D4" w14:textId="77777777" w:rsidR="00F56356" w:rsidRPr="00F56356" w:rsidRDefault="00F56356" w:rsidP="00F56356">
      <w:pPr>
        <w:widowControl w:val="0"/>
        <w:autoSpaceDE w:val="0"/>
        <w:autoSpaceDN w:val="0"/>
        <w:spacing w:after="0" w:line="360" w:lineRule="auto"/>
        <w:jc w:val="center"/>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noProof/>
          <w:lang w:eastAsia="it-IT"/>
        </w:rPr>
        <w:drawing>
          <wp:anchor distT="0" distB="0" distL="114300" distR="114300" simplePos="0" relativeHeight="251700224" behindDoc="1" locked="0" layoutInCell="1" allowOverlap="1" wp14:anchorId="2BE3895F" wp14:editId="5319CF83">
            <wp:simplePos x="0" y="0"/>
            <wp:positionH relativeFrom="column">
              <wp:posOffset>184785</wp:posOffset>
            </wp:positionH>
            <wp:positionV relativeFrom="paragraph">
              <wp:posOffset>264160</wp:posOffset>
            </wp:positionV>
            <wp:extent cx="5934075" cy="1144270"/>
            <wp:effectExtent l="0" t="0" r="9525" b="0"/>
            <wp:wrapTight wrapText="bothSides">
              <wp:wrapPolygon edited="0">
                <wp:start x="0" y="0"/>
                <wp:lineTo x="0" y="21216"/>
                <wp:lineTo x="11719" y="21216"/>
                <wp:lineTo x="21565" y="17980"/>
                <wp:lineTo x="21565" y="0"/>
                <wp:lineTo x="0" y="0"/>
              </wp:wrapPolygon>
            </wp:wrapTight>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4075" cy="1144270"/>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sz w:val="24"/>
          <w:szCs w:val="24"/>
          <w:lang w:eastAsia="it-IT"/>
        </w:rPr>
        <w:t xml:space="preserve">Indicatori di bilancio </w:t>
      </w:r>
    </w:p>
    <w:p w14:paraId="4A46C406"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17DB004F"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p>
    <w:p w14:paraId="47A7A047"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Gli scostamenti tra gli indicatori di bilancio attesi e realizzati sono stati determinati: </w:t>
      </w:r>
    </w:p>
    <w:p w14:paraId="04BCABD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583 - </w:t>
      </w:r>
      <w:r w:rsidRPr="00F56356">
        <w:rPr>
          <w:rFonts w:ascii="Times New Roman" w:eastAsia="Times New Roman" w:hAnsi="Times New Roman" w:cs="Times New Roman"/>
          <w:i/>
          <w:color w:val="000000" w:themeColor="text1"/>
          <w:sz w:val="24"/>
          <w:szCs w:val="24"/>
          <w:lang w:eastAsia="it-IT"/>
        </w:rPr>
        <w:t>Realizzazione di iniziative per velocizzare i processi attuativi e diffondere i risultati dell’azione di Governo ed in materia di programmazione strategica</w:t>
      </w:r>
      <w:r w:rsidRPr="00F56356">
        <w:rPr>
          <w:rFonts w:ascii="Times New Roman" w:eastAsia="Times New Roman" w:hAnsi="Times New Roman" w:cs="Times New Roman"/>
          <w:color w:val="000000" w:themeColor="text1"/>
          <w:sz w:val="24"/>
          <w:szCs w:val="24"/>
          <w:lang w:eastAsia="it-IT"/>
        </w:rPr>
        <w:t>, dalla diversa decisione di puntare sull’innovazione e implementazione del sistema Monitor, necessaria all’introduzione di soluzioni innovative per il monitoraggio quanti-qualitativo delle misure attuate dai Governi e a un processo qualitativo della reportistica, alla conseguente tempistica necessaria per gli adempimenti di tutte le procedure amministrative connesse all’affidamento del servizio (concluse nel mese di ottobre) e ai ritardi della società Extra Red nella presentazione delle fatture per l’anno 2022.</w:t>
      </w:r>
    </w:p>
    <w:p w14:paraId="551A48F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C6D824B"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Si riporta qui di seguito l’andamento delle politiche attive (interventi) nel corso del triennio 2020-2022:</w:t>
      </w:r>
    </w:p>
    <w:p w14:paraId="402C664A" w14:textId="77777777" w:rsidR="00F56356" w:rsidRPr="00F56356" w:rsidRDefault="00F56356" w:rsidP="00F56356">
      <w:pPr>
        <w:spacing w:after="0" w:line="360" w:lineRule="auto"/>
        <w:jc w:val="center"/>
        <w:rPr>
          <w:rFonts w:ascii="Times New Roman" w:eastAsia="Times New Roman" w:hAnsi="Times New Roman" w:cs="Times New Roman"/>
          <w:noProof/>
          <w:color w:val="FF0000"/>
          <w:sz w:val="24"/>
          <w:szCs w:val="24"/>
          <w:lang w:eastAsia="it-IT"/>
        </w:rPr>
      </w:pPr>
    </w:p>
    <w:p w14:paraId="025D0638" w14:textId="77777777" w:rsidR="00F56356" w:rsidRPr="00F56356" w:rsidRDefault="00F56356"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noProof/>
          <w:lang w:eastAsia="it-IT"/>
        </w:rPr>
        <w:drawing>
          <wp:inline distT="0" distB="0" distL="0" distR="0" wp14:anchorId="203AB1CE" wp14:editId="06C3DDD1">
            <wp:extent cx="3657600" cy="38989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57600" cy="389890"/>
                    </a:xfrm>
                    <a:prstGeom prst="rect">
                      <a:avLst/>
                    </a:prstGeom>
                    <a:noFill/>
                    <a:ln>
                      <a:noFill/>
                    </a:ln>
                  </pic:spPr>
                </pic:pic>
              </a:graphicData>
            </a:graphic>
          </wp:inline>
        </w:drawing>
      </w:r>
    </w:p>
    <w:p w14:paraId="45C443F2" w14:textId="77777777" w:rsidR="00F56356" w:rsidRPr="00F56356" w:rsidRDefault="00F56356"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noProof/>
          <w:color w:val="000000" w:themeColor="text1"/>
          <w:sz w:val="24"/>
          <w:szCs w:val="24"/>
          <w:lang w:eastAsia="it-IT"/>
        </w:rPr>
        <w:drawing>
          <wp:inline distT="0" distB="0" distL="0" distR="0" wp14:anchorId="23215453" wp14:editId="50ACACDF">
            <wp:extent cx="3743071" cy="2437924"/>
            <wp:effectExtent l="0" t="0" r="0" b="63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60627" cy="2449358"/>
                    </a:xfrm>
                    <a:prstGeom prst="rect">
                      <a:avLst/>
                    </a:prstGeom>
                    <a:noFill/>
                  </pic:spPr>
                </pic:pic>
              </a:graphicData>
            </a:graphic>
          </wp:inline>
        </w:drawing>
      </w:r>
    </w:p>
    <w:p w14:paraId="156F7E33" w14:textId="77777777" w:rsidR="00F56356" w:rsidRPr="00F56356" w:rsidRDefault="00F56356"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p>
    <w:p w14:paraId="7149287E" w14:textId="77777777" w:rsidR="00F56356" w:rsidRPr="00F56356" w:rsidRDefault="00F56356" w:rsidP="00F56356">
      <w:pPr>
        <w:widowControl w:val="0"/>
        <w:autoSpaceDE w:val="0"/>
        <w:autoSpaceDN w:val="0"/>
        <w:spacing w:after="0" w:line="360" w:lineRule="auto"/>
        <w:ind w:left="284"/>
        <w:jc w:val="center"/>
        <w:rPr>
          <w:rFonts w:ascii="Times New Roman" w:eastAsiaTheme="minorEastAsia" w:hAnsi="Times New Roman" w:cs="Times New Roman"/>
          <w:color w:val="000000" w:themeColor="text1"/>
          <w:sz w:val="24"/>
          <w:szCs w:val="24"/>
          <w:lang w:eastAsia="it-IT"/>
        </w:rPr>
      </w:pPr>
    </w:p>
    <w:p w14:paraId="1EA34BEF"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noProof/>
          <w:lang w:eastAsia="it-IT"/>
        </w:rPr>
        <w:drawing>
          <wp:anchor distT="0" distB="0" distL="114300" distR="114300" simplePos="0" relativeHeight="251701248" behindDoc="1" locked="0" layoutInCell="1" allowOverlap="1" wp14:anchorId="0B70D41C" wp14:editId="0285FBA2">
            <wp:simplePos x="0" y="0"/>
            <wp:positionH relativeFrom="column">
              <wp:posOffset>184785</wp:posOffset>
            </wp:positionH>
            <wp:positionV relativeFrom="paragraph">
              <wp:posOffset>528955</wp:posOffset>
            </wp:positionV>
            <wp:extent cx="5924550" cy="1831975"/>
            <wp:effectExtent l="0" t="0" r="0" b="0"/>
            <wp:wrapTight wrapText="bothSides">
              <wp:wrapPolygon edited="0">
                <wp:start x="0" y="0"/>
                <wp:lineTo x="0" y="19541"/>
                <wp:lineTo x="625" y="21338"/>
                <wp:lineTo x="19655" y="21338"/>
                <wp:lineTo x="21531" y="19541"/>
                <wp:lineTo x="21531" y="19092"/>
                <wp:lineTo x="19655" y="17969"/>
                <wp:lineTo x="19655" y="14375"/>
                <wp:lineTo x="20003" y="14375"/>
                <wp:lineTo x="21531" y="11455"/>
                <wp:lineTo x="21531" y="0"/>
                <wp:lineTo x="0" y="0"/>
              </wp:wrapPolygon>
            </wp:wrapTight>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24550" cy="1831975"/>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 xml:space="preserve">Nella tabella sottostante è indicata la ripartizione delle risorse relative a interventi per destinatari finali comprensive delle risorse relative ai residui passivi perenti </w:t>
      </w:r>
      <w:proofErr w:type="spellStart"/>
      <w:r w:rsidRPr="00F56356">
        <w:rPr>
          <w:rFonts w:ascii="Times New Roman" w:eastAsiaTheme="minorEastAsia" w:hAnsi="Times New Roman" w:cs="Times New Roman"/>
          <w:color w:val="000000" w:themeColor="text1"/>
          <w:sz w:val="24"/>
          <w:szCs w:val="24"/>
          <w:lang w:eastAsia="it-IT"/>
        </w:rPr>
        <w:t>reiscritti</w:t>
      </w:r>
      <w:proofErr w:type="spellEnd"/>
      <w:r w:rsidRPr="00F56356">
        <w:rPr>
          <w:rFonts w:ascii="Times New Roman" w:eastAsiaTheme="minorEastAsia" w:hAnsi="Times New Roman" w:cs="Times New Roman"/>
          <w:color w:val="000000" w:themeColor="text1"/>
          <w:sz w:val="24"/>
          <w:szCs w:val="24"/>
          <w:lang w:eastAsia="it-IT"/>
        </w:rPr>
        <w:t>:</w:t>
      </w:r>
    </w:p>
    <w:p w14:paraId="79A4C180"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40A035C0"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5D3AD01A"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344E6EFB"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40045E7D"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02A9A9F2"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pacing w:val="2"/>
          <w:sz w:val="24"/>
          <w:szCs w:val="24"/>
          <w:lang w:eastAsia="it-IT"/>
        </w:rPr>
      </w:pPr>
    </w:p>
    <w:p w14:paraId="41E955CC" w14:textId="2D851399" w:rsid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pacing w:val="2"/>
          <w:sz w:val="24"/>
          <w:szCs w:val="24"/>
          <w:lang w:eastAsia="it-IT"/>
        </w:rPr>
      </w:pPr>
    </w:p>
    <w:p w14:paraId="654DAA99" w14:textId="6F969D80" w:rsidR="0043213C" w:rsidRDefault="0043213C"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pacing w:val="2"/>
          <w:sz w:val="24"/>
          <w:szCs w:val="24"/>
          <w:lang w:eastAsia="it-IT"/>
        </w:rPr>
      </w:pPr>
    </w:p>
    <w:p w14:paraId="2F8D4562" w14:textId="2BC60985" w:rsid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pacing w:val="2"/>
          <w:sz w:val="24"/>
          <w:szCs w:val="24"/>
          <w:lang w:eastAsia="it-IT"/>
        </w:rPr>
      </w:pPr>
    </w:p>
    <w:p w14:paraId="676800CB" w14:textId="77777777" w:rsidR="0043213C" w:rsidRPr="00F56356" w:rsidRDefault="0043213C"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pacing w:val="2"/>
          <w:sz w:val="24"/>
          <w:szCs w:val="24"/>
          <w:lang w:eastAsia="it-IT"/>
        </w:rPr>
      </w:pPr>
    </w:p>
    <w:tbl>
      <w:tblPr>
        <w:tblW w:w="9660" w:type="dxa"/>
        <w:tblInd w:w="7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69ABEC4C" w14:textId="77777777" w:rsidTr="00F56356">
        <w:trPr>
          <w:trHeight w:val="510"/>
        </w:trPr>
        <w:tc>
          <w:tcPr>
            <w:tcW w:w="340" w:type="dxa"/>
            <w:tcBorders>
              <w:top w:val="nil"/>
              <w:left w:val="nil"/>
              <w:bottom w:val="nil"/>
              <w:right w:val="nil"/>
            </w:tcBorders>
            <w:shd w:val="clear" w:color="auto" w:fill="auto"/>
            <w:noWrap/>
            <w:vAlign w:val="bottom"/>
            <w:hideMark/>
          </w:tcPr>
          <w:p w14:paraId="59AB9C0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D100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3C79B086" w14:textId="77777777" w:rsidTr="00F56356">
        <w:trPr>
          <w:trHeight w:val="645"/>
        </w:trPr>
        <w:tc>
          <w:tcPr>
            <w:tcW w:w="340" w:type="dxa"/>
            <w:tcBorders>
              <w:top w:val="nil"/>
              <w:left w:val="nil"/>
              <w:bottom w:val="nil"/>
              <w:right w:val="nil"/>
            </w:tcBorders>
            <w:shd w:val="clear" w:color="auto" w:fill="auto"/>
            <w:noWrap/>
            <w:vAlign w:val="center"/>
            <w:hideMark/>
          </w:tcPr>
          <w:p w14:paraId="03951C1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6286B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0D668A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 Organi costituzionali, a rilevanza costituzionale e Presidenza del Consiglio dei ministri</w:t>
            </w:r>
          </w:p>
        </w:tc>
      </w:tr>
      <w:tr w:rsidR="00F56356" w:rsidRPr="00F56356" w14:paraId="21027C96" w14:textId="77777777" w:rsidTr="00F56356">
        <w:trPr>
          <w:trHeight w:val="405"/>
        </w:trPr>
        <w:tc>
          <w:tcPr>
            <w:tcW w:w="340" w:type="dxa"/>
            <w:tcBorders>
              <w:top w:val="nil"/>
              <w:left w:val="nil"/>
              <w:bottom w:val="nil"/>
              <w:right w:val="nil"/>
            </w:tcBorders>
            <w:shd w:val="clear" w:color="auto" w:fill="auto"/>
            <w:noWrap/>
            <w:vAlign w:val="center"/>
            <w:hideMark/>
          </w:tcPr>
          <w:p w14:paraId="2375E71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D2E22B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DF6680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1.3 - Presidenza del Consiglio dei ministri</w:t>
            </w:r>
          </w:p>
        </w:tc>
      </w:tr>
      <w:tr w:rsidR="00F56356" w:rsidRPr="00F56356" w14:paraId="317A6234" w14:textId="77777777" w:rsidTr="00F56356">
        <w:trPr>
          <w:trHeight w:val="405"/>
        </w:trPr>
        <w:tc>
          <w:tcPr>
            <w:tcW w:w="340" w:type="dxa"/>
            <w:tcBorders>
              <w:top w:val="nil"/>
              <w:left w:val="nil"/>
              <w:bottom w:val="nil"/>
              <w:right w:val="nil"/>
            </w:tcBorders>
            <w:shd w:val="clear" w:color="auto" w:fill="auto"/>
            <w:noWrap/>
            <w:vAlign w:val="center"/>
            <w:hideMark/>
          </w:tcPr>
          <w:p w14:paraId="7772537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7F804C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0DCCB9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10 - Programma di governo </w:t>
            </w:r>
          </w:p>
        </w:tc>
      </w:tr>
      <w:tr w:rsidR="00F56356" w:rsidRPr="00F56356" w14:paraId="01AB6BF1" w14:textId="77777777" w:rsidTr="00F56356">
        <w:trPr>
          <w:trHeight w:val="645"/>
        </w:trPr>
        <w:tc>
          <w:tcPr>
            <w:tcW w:w="340" w:type="dxa"/>
            <w:tcBorders>
              <w:top w:val="nil"/>
              <w:left w:val="nil"/>
              <w:bottom w:val="nil"/>
              <w:right w:val="nil"/>
            </w:tcBorders>
            <w:shd w:val="clear" w:color="auto" w:fill="auto"/>
            <w:noWrap/>
            <w:vAlign w:val="center"/>
            <w:hideMark/>
          </w:tcPr>
          <w:p w14:paraId="3F16274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FEDB19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CC2A11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Realizzazione di iniziative per velocizzare i processi attuativi e diffondere i risultati dell’azione di Governo ed in materia di programmazione strategica </w:t>
            </w:r>
          </w:p>
        </w:tc>
      </w:tr>
      <w:tr w:rsidR="00F56356" w:rsidRPr="00F56356" w14:paraId="6657BC79" w14:textId="77777777" w:rsidTr="00F56356">
        <w:trPr>
          <w:trHeight w:val="1440"/>
        </w:trPr>
        <w:tc>
          <w:tcPr>
            <w:tcW w:w="340" w:type="dxa"/>
            <w:tcBorders>
              <w:top w:val="nil"/>
              <w:left w:val="nil"/>
              <w:bottom w:val="nil"/>
              <w:right w:val="nil"/>
            </w:tcBorders>
            <w:shd w:val="clear" w:color="auto" w:fill="auto"/>
            <w:noWrap/>
            <w:vAlign w:val="center"/>
            <w:hideMark/>
          </w:tcPr>
          <w:p w14:paraId="2858BC0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F31B98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1A732E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Prosecuzione delle attività di analisi giuridica e finanziaria dei provvedimenti legislativi di iniziativa governativa, anche avvalendosi di professionalità e soggetti esterni, nonché di specifiche collaborazioni con Università e Centri di studio per il supporto alle attività di monitoraggio dei provvedimenti attuativi per l’approfondimento di nuovi strumenti e metodi di analisi giuridica e finanziaria. </w:t>
            </w:r>
          </w:p>
        </w:tc>
      </w:tr>
      <w:tr w:rsidR="00F56356" w:rsidRPr="00F56356" w14:paraId="667716F4" w14:textId="77777777" w:rsidTr="00F56356">
        <w:trPr>
          <w:trHeight w:val="426"/>
        </w:trPr>
        <w:tc>
          <w:tcPr>
            <w:tcW w:w="340" w:type="dxa"/>
            <w:tcBorders>
              <w:top w:val="nil"/>
              <w:left w:val="nil"/>
              <w:bottom w:val="nil"/>
              <w:right w:val="nil"/>
            </w:tcBorders>
            <w:shd w:val="clear" w:color="auto" w:fill="auto"/>
            <w:noWrap/>
            <w:vAlign w:val="center"/>
            <w:hideMark/>
          </w:tcPr>
          <w:p w14:paraId="4EE66CE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EC0EC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2FF47E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84B7915" w14:textId="77777777" w:rsidTr="00F56356">
        <w:trPr>
          <w:trHeight w:val="348"/>
        </w:trPr>
        <w:tc>
          <w:tcPr>
            <w:tcW w:w="340" w:type="dxa"/>
            <w:tcBorders>
              <w:top w:val="nil"/>
              <w:left w:val="nil"/>
              <w:bottom w:val="nil"/>
              <w:right w:val="nil"/>
            </w:tcBorders>
            <w:shd w:val="clear" w:color="auto" w:fill="auto"/>
            <w:noWrap/>
            <w:vAlign w:val="center"/>
            <w:hideMark/>
          </w:tcPr>
          <w:p w14:paraId="01B86FE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A99B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4C157A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79DE338" w14:textId="77777777" w:rsidTr="00F56356">
        <w:trPr>
          <w:trHeight w:val="525"/>
        </w:trPr>
        <w:tc>
          <w:tcPr>
            <w:tcW w:w="340" w:type="dxa"/>
            <w:tcBorders>
              <w:top w:val="nil"/>
              <w:left w:val="nil"/>
              <w:bottom w:val="nil"/>
              <w:right w:val="nil"/>
            </w:tcBorders>
            <w:shd w:val="clear" w:color="auto" w:fill="auto"/>
            <w:noWrap/>
            <w:vAlign w:val="bottom"/>
            <w:hideMark/>
          </w:tcPr>
          <w:p w14:paraId="2270D9F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E65DF0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52AA9C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583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C0DA2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7E5C0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3C38548" w14:textId="77777777" w:rsidTr="00F56356">
        <w:trPr>
          <w:trHeight w:val="1069"/>
        </w:trPr>
        <w:tc>
          <w:tcPr>
            <w:tcW w:w="340" w:type="dxa"/>
            <w:tcBorders>
              <w:top w:val="nil"/>
              <w:left w:val="nil"/>
              <w:bottom w:val="nil"/>
              <w:right w:val="nil"/>
            </w:tcBorders>
            <w:shd w:val="clear" w:color="auto" w:fill="auto"/>
            <w:noWrap/>
            <w:vAlign w:val="bottom"/>
            <w:hideMark/>
          </w:tcPr>
          <w:p w14:paraId="3F22B14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0F8247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A9BFF7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DA432F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6F4463E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Stanziamento definitivo di 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DB89E6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EA0E1F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D092B0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2CFC42F0" w14:textId="77777777" w:rsidTr="00F56356">
        <w:trPr>
          <w:trHeight w:val="478"/>
        </w:trPr>
        <w:tc>
          <w:tcPr>
            <w:tcW w:w="340" w:type="dxa"/>
            <w:tcBorders>
              <w:top w:val="nil"/>
              <w:left w:val="nil"/>
              <w:bottom w:val="nil"/>
              <w:right w:val="nil"/>
            </w:tcBorders>
            <w:shd w:val="clear" w:color="auto" w:fill="auto"/>
            <w:noWrap/>
            <w:vAlign w:val="bottom"/>
            <w:hideMark/>
          </w:tcPr>
          <w:p w14:paraId="7EDCCC4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796D28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017918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336FE6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110.090,00</w:t>
            </w:r>
          </w:p>
        </w:tc>
        <w:tc>
          <w:tcPr>
            <w:tcW w:w="1140" w:type="dxa"/>
            <w:tcBorders>
              <w:top w:val="nil"/>
              <w:left w:val="nil"/>
              <w:bottom w:val="single" w:sz="4" w:space="0" w:color="auto"/>
              <w:right w:val="single" w:sz="4" w:space="0" w:color="auto"/>
            </w:tcBorders>
            <w:shd w:val="clear" w:color="auto" w:fill="auto"/>
            <w:noWrap/>
            <w:vAlign w:val="center"/>
            <w:hideMark/>
          </w:tcPr>
          <w:p w14:paraId="7FCB645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110.090,00</w:t>
            </w:r>
          </w:p>
        </w:tc>
        <w:tc>
          <w:tcPr>
            <w:tcW w:w="1180" w:type="dxa"/>
            <w:tcBorders>
              <w:top w:val="nil"/>
              <w:left w:val="nil"/>
              <w:bottom w:val="single" w:sz="4" w:space="0" w:color="auto"/>
              <w:right w:val="single" w:sz="4" w:space="0" w:color="auto"/>
            </w:tcBorders>
            <w:shd w:val="clear" w:color="auto" w:fill="auto"/>
            <w:noWrap/>
            <w:vAlign w:val="center"/>
            <w:hideMark/>
          </w:tcPr>
          <w:p w14:paraId="38D5B8D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2122E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7.625,00</w:t>
            </w:r>
          </w:p>
        </w:tc>
        <w:tc>
          <w:tcPr>
            <w:tcW w:w="1140" w:type="dxa"/>
            <w:tcBorders>
              <w:top w:val="nil"/>
              <w:left w:val="nil"/>
              <w:bottom w:val="single" w:sz="4" w:space="0" w:color="auto"/>
              <w:right w:val="single" w:sz="4" w:space="0" w:color="auto"/>
            </w:tcBorders>
            <w:shd w:val="clear" w:color="auto" w:fill="auto"/>
            <w:noWrap/>
            <w:vAlign w:val="center"/>
            <w:hideMark/>
          </w:tcPr>
          <w:p w14:paraId="6444584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7.625,00</w:t>
            </w:r>
          </w:p>
        </w:tc>
      </w:tr>
      <w:tr w:rsidR="00F56356" w:rsidRPr="00F56356" w14:paraId="18BD7B68" w14:textId="77777777" w:rsidTr="00F56356">
        <w:trPr>
          <w:trHeight w:val="330"/>
        </w:trPr>
        <w:tc>
          <w:tcPr>
            <w:tcW w:w="340" w:type="dxa"/>
            <w:tcBorders>
              <w:top w:val="nil"/>
              <w:left w:val="nil"/>
              <w:bottom w:val="nil"/>
              <w:right w:val="nil"/>
            </w:tcBorders>
            <w:shd w:val="clear" w:color="auto" w:fill="auto"/>
            <w:noWrap/>
            <w:vAlign w:val="bottom"/>
            <w:hideMark/>
          </w:tcPr>
          <w:p w14:paraId="64A0B72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49FDF7D"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44D8359"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CB4A50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292AEFA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F37CC4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AA4A2F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90DFD5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09BD349" w14:textId="77777777" w:rsidTr="00F56356">
        <w:trPr>
          <w:trHeight w:val="480"/>
        </w:trPr>
        <w:tc>
          <w:tcPr>
            <w:tcW w:w="340" w:type="dxa"/>
            <w:tcBorders>
              <w:top w:val="nil"/>
              <w:left w:val="nil"/>
              <w:bottom w:val="nil"/>
              <w:right w:val="nil"/>
            </w:tcBorders>
            <w:shd w:val="clear" w:color="auto" w:fill="auto"/>
            <w:noWrap/>
            <w:vAlign w:val="bottom"/>
            <w:hideMark/>
          </w:tcPr>
          <w:p w14:paraId="3833F51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3C4F13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2DDE480A" w14:textId="77777777" w:rsidTr="00F56356">
        <w:trPr>
          <w:trHeight w:val="540"/>
        </w:trPr>
        <w:tc>
          <w:tcPr>
            <w:tcW w:w="340" w:type="dxa"/>
            <w:tcBorders>
              <w:top w:val="nil"/>
              <w:left w:val="nil"/>
              <w:bottom w:val="nil"/>
              <w:right w:val="nil"/>
            </w:tcBorders>
            <w:shd w:val="clear" w:color="auto" w:fill="auto"/>
            <w:noWrap/>
            <w:vAlign w:val="bottom"/>
            <w:hideMark/>
          </w:tcPr>
          <w:p w14:paraId="35057C6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E81351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6DE5E26C" w14:textId="77777777" w:rsidTr="00F56356">
        <w:trPr>
          <w:trHeight w:val="540"/>
        </w:trPr>
        <w:tc>
          <w:tcPr>
            <w:tcW w:w="340" w:type="dxa"/>
            <w:tcBorders>
              <w:top w:val="nil"/>
              <w:left w:val="nil"/>
              <w:bottom w:val="nil"/>
              <w:right w:val="nil"/>
            </w:tcBorders>
            <w:shd w:val="clear" w:color="auto" w:fill="auto"/>
            <w:noWrap/>
            <w:vAlign w:val="bottom"/>
            <w:hideMark/>
          </w:tcPr>
          <w:p w14:paraId="437E603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23D8A0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6870A390" w14:textId="77777777" w:rsidTr="00F56356">
        <w:trPr>
          <w:trHeight w:val="480"/>
        </w:trPr>
        <w:tc>
          <w:tcPr>
            <w:tcW w:w="340" w:type="dxa"/>
            <w:tcBorders>
              <w:top w:val="nil"/>
              <w:left w:val="nil"/>
              <w:bottom w:val="nil"/>
              <w:right w:val="nil"/>
            </w:tcBorders>
            <w:shd w:val="clear" w:color="auto" w:fill="auto"/>
            <w:noWrap/>
            <w:vAlign w:val="bottom"/>
            <w:hideMark/>
          </w:tcPr>
          <w:p w14:paraId="272C30F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5E29A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2A7FC1AD" w14:textId="77777777" w:rsidTr="00F56356">
        <w:trPr>
          <w:trHeight w:val="915"/>
        </w:trPr>
        <w:tc>
          <w:tcPr>
            <w:tcW w:w="340" w:type="dxa"/>
            <w:tcBorders>
              <w:top w:val="nil"/>
              <w:left w:val="nil"/>
              <w:bottom w:val="nil"/>
              <w:right w:val="nil"/>
            </w:tcBorders>
            <w:shd w:val="clear" w:color="auto" w:fill="auto"/>
            <w:noWrap/>
            <w:vAlign w:val="center"/>
            <w:hideMark/>
          </w:tcPr>
          <w:p w14:paraId="443FB87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B95397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6CABB4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Rispondenza alle richieste dell’Autorità politica di riferimento riguardo alle attività di supporto al monitoraggio dei provvedimenti attuativi e all’individuazione di nuovi strumenti e metodi di analisi giuridica e finanziaria </w:t>
            </w:r>
          </w:p>
        </w:tc>
      </w:tr>
      <w:tr w:rsidR="00F56356" w:rsidRPr="00F56356" w14:paraId="0F6C1FC6" w14:textId="77777777" w:rsidTr="00F56356">
        <w:trPr>
          <w:trHeight w:val="443"/>
        </w:trPr>
        <w:tc>
          <w:tcPr>
            <w:tcW w:w="340" w:type="dxa"/>
            <w:tcBorders>
              <w:top w:val="nil"/>
              <w:left w:val="nil"/>
              <w:bottom w:val="nil"/>
              <w:right w:val="nil"/>
            </w:tcBorders>
            <w:shd w:val="clear" w:color="auto" w:fill="auto"/>
            <w:noWrap/>
            <w:vAlign w:val="center"/>
            <w:hideMark/>
          </w:tcPr>
          <w:p w14:paraId="0235E1B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21EBF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86680E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Relazioni periodiche all’Autorità politica </w:t>
            </w:r>
          </w:p>
        </w:tc>
      </w:tr>
      <w:tr w:rsidR="00F56356" w:rsidRPr="00F56356" w14:paraId="7007D369" w14:textId="77777777" w:rsidTr="00F56356">
        <w:trPr>
          <w:trHeight w:val="840"/>
        </w:trPr>
        <w:tc>
          <w:tcPr>
            <w:tcW w:w="340" w:type="dxa"/>
            <w:tcBorders>
              <w:top w:val="nil"/>
              <w:left w:val="nil"/>
              <w:bottom w:val="nil"/>
              <w:right w:val="nil"/>
            </w:tcBorders>
            <w:shd w:val="clear" w:color="auto" w:fill="auto"/>
            <w:noWrap/>
            <w:vAlign w:val="center"/>
            <w:hideMark/>
          </w:tcPr>
          <w:p w14:paraId="420B9A2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2260FA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934588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Iniziative realizzate/iniziative da realizzare</w:t>
            </w:r>
          </w:p>
        </w:tc>
        <w:tc>
          <w:tcPr>
            <w:tcW w:w="1180" w:type="dxa"/>
            <w:tcBorders>
              <w:top w:val="nil"/>
              <w:left w:val="nil"/>
              <w:bottom w:val="single" w:sz="4" w:space="0" w:color="auto"/>
              <w:right w:val="nil"/>
            </w:tcBorders>
            <w:shd w:val="clear" w:color="auto" w:fill="auto"/>
            <w:vAlign w:val="center"/>
            <w:hideMark/>
          </w:tcPr>
          <w:p w14:paraId="0836315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20F330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24EF9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091775B0" w14:textId="77777777" w:rsidTr="00F56356">
        <w:trPr>
          <w:trHeight w:val="615"/>
        </w:trPr>
        <w:tc>
          <w:tcPr>
            <w:tcW w:w="340" w:type="dxa"/>
            <w:tcBorders>
              <w:top w:val="nil"/>
              <w:left w:val="nil"/>
              <w:bottom w:val="nil"/>
              <w:right w:val="nil"/>
            </w:tcBorders>
            <w:shd w:val="clear" w:color="auto" w:fill="auto"/>
            <w:noWrap/>
            <w:vAlign w:val="bottom"/>
            <w:hideMark/>
          </w:tcPr>
          <w:p w14:paraId="77464A6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5EA0EA3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E4644F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8D1147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180B1DC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82417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r w:rsidR="00F56356" w:rsidRPr="00F56356" w14:paraId="1433973C" w14:textId="77777777" w:rsidTr="00F56356">
        <w:trPr>
          <w:trHeight w:val="925"/>
        </w:trPr>
        <w:tc>
          <w:tcPr>
            <w:tcW w:w="340" w:type="dxa"/>
            <w:tcBorders>
              <w:top w:val="nil"/>
              <w:left w:val="nil"/>
              <w:bottom w:val="nil"/>
              <w:right w:val="nil"/>
            </w:tcBorders>
            <w:shd w:val="clear" w:color="auto" w:fill="auto"/>
            <w:noWrap/>
            <w:vAlign w:val="bottom"/>
            <w:hideMark/>
          </w:tcPr>
          <w:p w14:paraId="640A9E9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6736698"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roofErr w:type="gramStart"/>
            <w:r w:rsidRPr="00F56356">
              <w:rPr>
                <w:rFonts w:ascii="Times New Roman" w:eastAsia="Times New Roman" w:hAnsi="Times New Roman" w:cs="Times New Roman"/>
                <w:color w:val="000000"/>
                <w:sz w:val="18"/>
                <w:szCs w:val="18"/>
                <w:lang w:eastAsia="it-IT"/>
              </w:rPr>
              <w:t>E’</w:t>
            </w:r>
            <w:proofErr w:type="gramEnd"/>
            <w:r w:rsidRPr="00F56356">
              <w:rPr>
                <w:rFonts w:ascii="Times New Roman" w:eastAsia="Times New Roman" w:hAnsi="Times New Roman" w:cs="Times New Roman"/>
                <w:color w:val="000000"/>
                <w:sz w:val="18"/>
                <w:szCs w:val="18"/>
                <w:lang w:eastAsia="it-IT"/>
              </w:rPr>
              <w:t xml:space="preserve"> stato firmato digitalmente il 29 settembre 2022, tra la PCM e l’operatore economico Extra Red s.r.l., un contratto per il servizio specialistico per la realizzazione di data warehouse e reportistica misure per i provvedimenti legislativi ed attuativi, per un totale complessivo pari ad euro 91.500 con la seguente esigibilità: anno 2022 euro 7.625,00 - anno 2023 euro 45.750,00 - anno 2024 euro 38.125,00</w:t>
            </w:r>
          </w:p>
        </w:tc>
      </w:tr>
    </w:tbl>
    <w:p w14:paraId="1A3D8D40" w14:textId="77777777" w:rsidR="00F56356" w:rsidRPr="00F56356" w:rsidRDefault="00F56356" w:rsidP="00F56356">
      <w:pPr>
        <w:widowControl w:val="0"/>
        <w:autoSpaceDE w:val="0"/>
        <w:autoSpaceDN w:val="0"/>
        <w:spacing w:after="0" w:line="360" w:lineRule="auto"/>
        <w:ind w:left="284"/>
        <w:jc w:val="both"/>
        <w:rPr>
          <w:rFonts w:ascii="Times New Roman" w:eastAsiaTheme="minorEastAsia" w:hAnsi="Times New Roman" w:cs="Times New Roman"/>
          <w:color w:val="000000" w:themeColor="text1"/>
          <w:spacing w:val="2"/>
          <w:sz w:val="24"/>
          <w:szCs w:val="24"/>
          <w:lang w:eastAsia="it-IT"/>
        </w:rPr>
      </w:pPr>
    </w:p>
    <w:p w14:paraId="4660896C" w14:textId="1BF34CEE" w:rsid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FDB107D" w14:textId="77777777" w:rsidR="0043213C" w:rsidRPr="00F56356" w:rsidRDefault="0043213C"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0084BE6B" w14:textId="77777777" w:rsidR="00F56356" w:rsidRPr="00F56356" w:rsidRDefault="00F56356"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CDR 11 “Programmazione e coordinamento della politica economica”</w:t>
      </w:r>
    </w:p>
    <w:p w14:paraId="7F89BB9A" w14:textId="77777777" w:rsidR="00F56356" w:rsidRPr="00F56356" w:rsidRDefault="00F56356"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p>
    <w:p w14:paraId="61EEEDA5"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261FAB22" w14:textId="77777777" w:rsidR="00F56356" w:rsidRPr="00F56356" w:rsidRDefault="00F56356" w:rsidP="00F56356">
      <w:pPr>
        <w:spacing w:after="0" w:line="240" w:lineRule="auto"/>
        <w:ind w:left="284"/>
        <w:jc w:val="both"/>
        <w:rPr>
          <w:rFonts w:ascii="Times New Roman" w:eastAsia="Times New Roman" w:hAnsi="Times New Roman" w:cs="Times New Roman"/>
          <w:b/>
          <w:color w:val="000000" w:themeColor="text1"/>
          <w:sz w:val="24"/>
          <w:szCs w:val="24"/>
          <w:lang w:eastAsia="it-IT"/>
        </w:rPr>
      </w:pPr>
    </w:p>
    <w:p w14:paraId="27F5092D"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 xml:space="preserve">Presidenza del Consiglio dei ministri </w:t>
      </w:r>
    </w:p>
    <w:p w14:paraId="7E6DC44F"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p>
    <w:p w14:paraId="5410F70B" w14:textId="77777777" w:rsidR="00F56356" w:rsidRPr="00F56356" w:rsidRDefault="00F56356" w:rsidP="00F56356">
      <w:pPr>
        <w:spacing w:after="0" w:line="360" w:lineRule="auto"/>
        <w:ind w:left="284"/>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1.</w:t>
      </w:r>
      <w:r w:rsidRPr="00F56356">
        <w:rPr>
          <w:rFonts w:ascii="Times New Roman" w:eastAsia="Times New Roman" w:hAnsi="Times New Roman" w:cs="Times New Roman"/>
          <w:b/>
          <w:i/>
          <w:color w:val="000000" w:themeColor="text1"/>
          <w:sz w:val="24"/>
          <w:szCs w:val="24"/>
          <w:lang w:eastAsia="it-IT"/>
        </w:rPr>
        <w:t xml:space="preserve">  Mission</w:t>
      </w:r>
    </w:p>
    <w:p w14:paraId="29E2540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 xml:space="preserve">Il Centro di responsabilità 11 “Programmazione e coordinamento della politica economica” è la struttura di supporto al Presidente in materia di coordinamento della politica economica e di programmazione degli investimenti pubblici di interesse nazionale, nonché di coordinamento delle politiche finalizzate allo sviluppo economico dei territori e delle aree urbane; svolge le funzioni di segretariato del Comitato interministeriale per la programmazione economica (CIPE) (oggi Comitato interministeriale per la programmazione economica e lo sviluppo sostenibile – CIPESS, ai sensi dell’articolo 1-bis del decreto-legge 14 ottobre 2019, n. 111, convertito, con modificazioni, dalla legge 12 dicembre 2019, n. 141) e di istruttoria per l’esame da parte del Comitato delle proposte di deliberazione presentate dalle Amministrazioni componenti, secondo quanto previsto dal regolamento interno del Comitato. Assicura, altresì, le funzioni di Segreteria tecnica del Comitato interministeriale per le politiche urbane, </w:t>
      </w:r>
      <w:r w:rsidRPr="00F56356">
        <w:rPr>
          <w:rFonts w:ascii="Times New Roman" w:eastAsia="Times New Roman" w:hAnsi="Times New Roman" w:cs="Times New Roman"/>
          <w:color w:val="000000" w:themeColor="text1"/>
          <w:sz w:val="24"/>
          <w:szCs w:val="24"/>
          <w:lang w:eastAsia="it-IT"/>
        </w:rPr>
        <w:t xml:space="preserve">svolge attività di analisi economico-finanziaria a supporto delle funzioni di indirizzo e programmazione della spesa per investimenti pubblici. Supporta, inoltre, la programmazione e attuazione di specifiche iniziative ad esso delegate per fronteggiare situazioni straordinarie di crisi in ambiti territoriali locali e, anche in collaborazione con le istituzioni locali, può promuovere, in raccordo con il Dipartimento per le politiche di coesione, programmi di interventi infrastrutturali e produttivi, volti a favorire lo sviluppo dei territori. Allo scopo di assicurare la funzionalità del CIPE, presso il Dipartimento per la programmazione e il coordinamento della politica economica operano il Nucleo tecnico per il coordinamento della politica economica, l’Unità tecnica finanza di progetto (UTFP), il Nucleo di consulenza per l’attuazione delle linee guida per la regolazione dei servizi di pubblica utilità (NARS), il Nucleo di valutazione e verifica degli investimenti pubblici (NUVV); tali organismi, in relazione alle rispettive competenze, garantiscono il supporto tecnico all’attività del Comitato e il Dipartimento assicura il raccordo tecnico-operativo di tali organismi con il CIPE.  Presso il Dipartimento ha operato la </w:t>
      </w:r>
      <w:r w:rsidRPr="00F56356">
        <w:rPr>
          <w:rFonts w:ascii="Times New Roman" w:eastAsia="Times New Roman" w:hAnsi="Times New Roman" w:cs="Times New Roman"/>
          <w:i/>
          <w:color w:val="000000" w:themeColor="text1"/>
          <w:sz w:val="24"/>
          <w:szCs w:val="24"/>
          <w:lang w:eastAsia="it-IT"/>
        </w:rPr>
        <w:t>“Struttura di missione per il coordinamento dei processi di ricostruzione e sviluppo nei territori colpiti dal sisma del 6 aprile 2009”</w:t>
      </w:r>
      <w:r w:rsidRPr="00F56356">
        <w:rPr>
          <w:rFonts w:ascii="Times New Roman" w:eastAsia="Times New Roman" w:hAnsi="Times New Roman" w:cs="Times New Roman"/>
          <w:color w:val="000000" w:themeColor="text1"/>
          <w:sz w:val="24"/>
          <w:szCs w:val="24"/>
          <w:lang w:eastAsia="it-IT"/>
        </w:rPr>
        <w:t xml:space="preserve"> (transitata presso il Dipartimento Casa Italia a decorrere dall’esercizio finanziario 2023)</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con funzioni di coordinamento delle amministrazioni centrali in materia di ricostruzione e sviluppo nei territori colpiti dal sisma del 6 aprile 2009, al fine di indirizzare e dare impulso, d’intesa con la Regione Abruzzo e gli Enti locali, </w:t>
      </w:r>
      <w:r w:rsidRPr="00F56356">
        <w:rPr>
          <w:rFonts w:ascii="Times New Roman" w:eastAsia="Times New Roman" w:hAnsi="Times New Roman" w:cs="Times New Roman"/>
          <w:color w:val="000000" w:themeColor="text1"/>
          <w:sz w:val="24"/>
          <w:szCs w:val="24"/>
          <w:lang w:eastAsia="it-IT"/>
        </w:rPr>
        <w:lastRenderedPageBreak/>
        <w:t xml:space="preserve">agli Uffici speciali per la ricostruzione, in partenariato con le associazioni e con le organizzazioni di categorie presenti nel territorio. </w:t>
      </w:r>
    </w:p>
    <w:p w14:paraId="6ABDC9F5"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p>
    <w:p w14:paraId="0DF9B82A"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2. Ricostruzione flussi finanziari e aspetti rilevanti della gestione</w:t>
      </w:r>
      <w:r w:rsidRPr="00F56356">
        <w:rPr>
          <w:rFonts w:ascii="Times New Roman" w:eastAsia="Times New Roman" w:hAnsi="Times New Roman" w:cs="Times New Roman"/>
          <w:sz w:val="24"/>
          <w:szCs w:val="24"/>
          <w:lang w:eastAsia="it-IT"/>
        </w:rPr>
        <w:t xml:space="preserve"> </w:t>
      </w:r>
    </w:p>
    <w:p w14:paraId="401AD5E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2.1</w:t>
      </w:r>
      <w:r w:rsidRPr="00F56356">
        <w:rPr>
          <w:rFonts w:ascii="Times New Roman" w:eastAsia="Times New Roman" w:hAnsi="Times New Roman" w:cs="Times New Roman"/>
          <w:sz w:val="24"/>
          <w:szCs w:val="24"/>
          <w:lang w:eastAsia="it-IT"/>
        </w:rPr>
        <w:t xml:space="preserve"> Le somme complessivamente assegnate sono state pari a euro 10.639.896,13, </w:t>
      </w:r>
      <w:r w:rsidRPr="00F56356">
        <w:rPr>
          <w:rFonts w:ascii="Times New Roman" w:eastAsia="Times New Roman" w:hAnsi="Times New Roman" w:cs="Times New Roman"/>
          <w:color w:val="000000" w:themeColor="text1"/>
          <w:sz w:val="24"/>
          <w:szCs w:val="24"/>
          <w:lang w:eastAsia="it-IT"/>
        </w:rPr>
        <w:t xml:space="preserve">di cui euro 306.155,29 riferiti a reiscrizioni di residui passivi perenti ed euro 2.869.230,84 riferiti a riassegnazioni dall’avanzo di esercizio 2021. </w:t>
      </w:r>
    </w:p>
    <w:p w14:paraId="608D1D64"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Gli impegni assunti ammontano a euro 6.149.129,16</w:t>
      </w:r>
      <w:r w:rsidRPr="00F56356">
        <w:rPr>
          <w:rFonts w:ascii="Times New Roman" w:eastAsia="Times New Roman" w:hAnsi="Times New Roman" w:cs="Times New Roman"/>
          <w:color w:val="000000" w:themeColor="text1"/>
          <w:sz w:val="24"/>
          <w:szCs w:val="24"/>
          <w:lang w:eastAsia="it-IT"/>
        </w:rPr>
        <w:t xml:space="preserve">, con un’economia di bilancio pari a euro 4.490.766,97. </w:t>
      </w:r>
      <w:r w:rsidRPr="00F56356">
        <w:rPr>
          <w:rFonts w:ascii="Times New Roman" w:eastAsia="Times New Roman" w:hAnsi="Times New Roman" w:cs="Times New Roman"/>
          <w:sz w:val="24"/>
          <w:szCs w:val="24"/>
          <w:lang w:eastAsia="it-IT"/>
        </w:rPr>
        <w:t>Il totale dei pagamenti riferiti alla competenza è stato pari a euro 2.944.773,03,</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con un indice di capacità di pagamento (rapporto pagato/impegnato) che si attesta al 47,89</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per cento.</w:t>
      </w:r>
    </w:p>
    <w:p w14:paraId="20AD65B0" w14:textId="77777777" w:rsidR="00F56356" w:rsidRPr="00F56356" w:rsidRDefault="00F56356" w:rsidP="00F56356">
      <w:pPr>
        <w:spacing w:after="0" w:line="360" w:lineRule="auto"/>
        <w:ind w:left="284"/>
        <w:jc w:val="both"/>
        <w:rPr>
          <w:rFonts w:ascii="Times New Roman" w:eastAsia="Times New Roman" w:hAnsi="Times New Roman" w:cs="Times New Roman"/>
          <w:sz w:val="12"/>
          <w:szCs w:val="12"/>
          <w:lang w:eastAsia="it-IT"/>
        </w:rPr>
      </w:pPr>
    </w:p>
    <w:p w14:paraId="3722DB0B"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691337F0" wp14:editId="2155D3F9">
            <wp:extent cx="3670492" cy="618856"/>
            <wp:effectExtent l="0" t="0" r="635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68033" cy="635302"/>
                    </a:xfrm>
                    <a:prstGeom prst="rect">
                      <a:avLst/>
                    </a:prstGeom>
                    <a:noFill/>
                    <a:ln>
                      <a:noFill/>
                    </a:ln>
                  </pic:spPr>
                </pic:pic>
              </a:graphicData>
            </a:graphic>
          </wp:inline>
        </w:drawing>
      </w:r>
    </w:p>
    <w:p w14:paraId="4F3A011F"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74B1C382" wp14:editId="62A63A13">
            <wp:extent cx="3816604" cy="1955886"/>
            <wp:effectExtent l="0" t="0" r="0" b="635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36018" cy="1965835"/>
                    </a:xfrm>
                    <a:prstGeom prst="rect">
                      <a:avLst/>
                    </a:prstGeom>
                    <a:noFill/>
                  </pic:spPr>
                </pic:pic>
              </a:graphicData>
            </a:graphic>
          </wp:inline>
        </w:drawing>
      </w:r>
    </w:p>
    <w:p w14:paraId="7F49F114" w14:textId="77777777" w:rsidR="00F56356" w:rsidRPr="00F56356" w:rsidRDefault="00F56356" w:rsidP="00F56356">
      <w:pPr>
        <w:spacing w:after="0" w:line="360" w:lineRule="auto"/>
        <w:ind w:left="284"/>
        <w:jc w:val="center"/>
        <w:rPr>
          <w:rFonts w:ascii="Times New Roman" w:eastAsia="Times New Roman" w:hAnsi="Times New Roman" w:cs="Times New Roman"/>
          <w:sz w:val="12"/>
          <w:szCs w:val="12"/>
          <w:lang w:eastAsia="it-IT"/>
        </w:rPr>
      </w:pPr>
    </w:p>
    <w:p w14:paraId="52B27EE8" w14:textId="77777777" w:rsidR="00F56356" w:rsidRPr="00F56356" w:rsidRDefault="00F56356" w:rsidP="00F56356">
      <w:pPr>
        <w:spacing w:before="120"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I residui passivi al 1° gennaio 2022 erano pari a euro 5.907.625,98.</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438.383,18 e realizzate economie per euro 128.997,14.</w:t>
      </w:r>
    </w:p>
    <w:p w14:paraId="24BB60D3" w14:textId="77777777" w:rsidR="00F56356" w:rsidRPr="00F56356" w:rsidRDefault="00F56356" w:rsidP="00F56356">
      <w:pPr>
        <w:spacing w:after="0" w:line="360" w:lineRule="auto"/>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7"/>
        <w:gridCol w:w="1567"/>
        <w:gridCol w:w="1458"/>
        <w:gridCol w:w="991"/>
        <w:gridCol w:w="1214"/>
        <w:gridCol w:w="1153"/>
      </w:tblGrid>
      <w:tr w:rsidR="00F56356" w:rsidRPr="00F56356" w14:paraId="5FE7D906"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E50A0"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51033C68" w14:textId="77777777" w:rsidTr="00F56356">
        <w:trPr>
          <w:trHeight w:val="465"/>
          <w:jc w:val="center"/>
        </w:trPr>
        <w:tc>
          <w:tcPr>
            <w:tcW w:w="4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D9F48"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7" w:type="dxa"/>
            <w:vMerge w:val="restart"/>
            <w:tcBorders>
              <w:top w:val="nil"/>
              <w:left w:val="single" w:sz="4" w:space="0" w:color="auto"/>
              <w:bottom w:val="single" w:sz="4" w:space="0" w:color="auto"/>
              <w:right w:val="single" w:sz="4" w:space="0" w:color="auto"/>
            </w:tcBorders>
            <w:shd w:val="clear" w:color="auto" w:fill="auto"/>
            <w:vAlign w:val="center"/>
            <w:hideMark/>
          </w:tcPr>
          <w:p w14:paraId="5A5480C5"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58" w:type="dxa"/>
            <w:vMerge w:val="restart"/>
            <w:tcBorders>
              <w:top w:val="nil"/>
              <w:left w:val="single" w:sz="4" w:space="0" w:color="auto"/>
              <w:bottom w:val="single" w:sz="4" w:space="0" w:color="auto"/>
              <w:right w:val="single" w:sz="4" w:space="0" w:color="auto"/>
            </w:tcBorders>
            <w:shd w:val="clear" w:color="auto" w:fill="auto"/>
            <w:vAlign w:val="center"/>
            <w:hideMark/>
          </w:tcPr>
          <w:p w14:paraId="76DCE9D1"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58" w:type="dxa"/>
            <w:gridSpan w:val="3"/>
            <w:tcBorders>
              <w:top w:val="single" w:sz="4" w:space="0" w:color="auto"/>
              <w:left w:val="nil"/>
              <w:bottom w:val="single" w:sz="4" w:space="0" w:color="auto"/>
              <w:right w:val="single" w:sz="4" w:space="0" w:color="000000"/>
            </w:tcBorders>
            <w:shd w:val="clear" w:color="auto" w:fill="auto"/>
            <w:vAlign w:val="center"/>
            <w:hideMark/>
          </w:tcPr>
          <w:p w14:paraId="1402F87B"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6157DDD" w14:textId="77777777" w:rsidTr="00F56356">
        <w:trPr>
          <w:trHeight w:val="300"/>
          <w:jc w:val="center"/>
        </w:trPr>
        <w:tc>
          <w:tcPr>
            <w:tcW w:w="477" w:type="dxa"/>
            <w:vMerge/>
            <w:tcBorders>
              <w:top w:val="nil"/>
              <w:left w:val="single" w:sz="4" w:space="0" w:color="auto"/>
              <w:bottom w:val="single" w:sz="4" w:space="0" w:color="auto"/>
              <w:right w:val="single" w:sz="4" w:space="0" w:color="auto"/>
            </w:tcBorders>
            <w:vAlign w:val="center"/>
            <w:hideMark/>
          </w:tcPr>
          <w:p w14:paraId="043144B1"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7" w:type="dxa"/>
            <w:vMerge/>
            <w:tcBorders>
              <w:top w:val="nil"/>
              <w:left w:val="single" w:sz="4" w:space="0" w:color="auto"/>
              <w:bottom w:val="single" w:sz="4" w:space="0" w:color="auto"/>
              <w:right w:val="single" w:sz="4" w:space="0" w:color="auto"/>
            </w:tcBorders>
            <w:vAlign w:val="center"/>
            <w:hideMark/>
          </w:tcPr>
          <w:p w14:paraId="7124E4C8"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58" w:type="dxa"/>
            <w:vMerge/>
            <w:tcBorders>
              <w:top w:val="nil"/>
              <w:left w:val="single" w:sz="4" w:space="0" w:color="auto"/>
              <w:bottom w:val="single" w:sz="4" w:space="0" w:color="auto"/>
              <w:right w:val="single" w:sz="4" w:space="0" w:color="auto"/>
            </w:tcBorders>
            <w:vAlign w:val="center"/>
            <w:hideMark/>
          </w:tcPr>
          <w:p w14:paraId="2F69CC7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1" w:type="dxa"/>
            <w:tcBorders>
              <w:top w:val="nil"/>
              <w:left w:val="nil"/>
              <w:bottom w:val="single" w:sz="4" w:space="0" w:color="auto"/>
              <w:right w:val="single" w:sz="4" w:space="0" w:color="auto"/>
            </w:tcBorders>
            <w:shd w:val="clear" w:color="auto" w:fill="auto"/>
            <w:vAlign w:val="center"/>
            <w:hideMark/>
          </w:tcPr>
          <w:p w14:paraId="08D6866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4" w:type="dxa"/>
            <w:tcBorders>
              <w:top w:val="nil"/>
              <w:left w:val="nil"/>
              <w:bottom w:val="single" w:sz="4" w:space="0" w:color="auto"/>
              <w:right w:val="single" w:sz="4" w:space="0" w:color="auto"/>
            </w:tcBorders>
            <w:shd w:val="clear" w:color="auto" w:fill="auto"/>
            <w:vAlign w:val="center"/>
            <w:hideMark/>
          </w:tcPr>
          <w:p w14:paraId="28EE7FE6"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3" w:type="dxa"/>
            <w:tcBorders>
              <w:top w:val="nil"/>
              <w:left w:val="nil"/>
              <w:bottom w:val="single" w:sz="4" w:space="0" w:color="auto"/>
              <w:right w:val="single" w:sz="4" w:space="0" w:color="auto"/>
            </w:tcBorders>
            <w:shd w:val="clear" w:color="auto" w:fill="auto"/>
            <w:vAlign w:val="center"/>
            <w:hideMark/>
          </w:tcPr>
          <w:p w14:paraId="60AD5EA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69D217A"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318A8CE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248</w:t>
            </w:r>
          </w:p>
        </w:tc>
        <w:tc>
          <w:tcPr>
            <w:tcW w:w="1567" w:type="dxa"/>
            <w:tcBorders>
              <w:top w:val="nil"/>
              <w:left w:val="nil"/>
              <w:bottom w:val="single" w:sz="4" w:space="0" w:color="auto"/>
              <w:right w:val="single" w:sz="4" w:space="0" w:color="auto"/>
            </w:tcBorders>
            <w:shd w:val="clear" w:color="000000" w:fill="FFFFFF"/>
            <w:noWrap/>
            <w:vAlign w:val="center"/>
            <w:hideMark/>
          </w:tcPr>
          <w:p w14:paraId="2B4B8ED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2.693,32</w:t>
            </w:r>
          </w:p>
        </w:tc>
        <w:tc>
          <w:tcPr>
            <w:tcW w:w="1458" w:type="dxa"/>
            <w:tcBorders>
              <w:top w:val="nil"/>
              <w:left w:val="nil"/>
              <w:bottom w:val="single" w:sz="4" w:space="0" w:color="auto"/>
              <w:right w:val="single" w:sz="4" w:space="0" w:color="auto"/>
            </w:tcBorders>
            <w:shd w:val="clear" w:color="000000" w:fill="FFFFFF"/>
            <w:noWrap/>
            <w:vAlign w:val="center"/>
            <w:hideMark/>
          </w:tcPr>
          <w:p w14:paraId="0CB3DF0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2.693,32</w:t>
            </w:r>
          </w:p>
        </w:tc>
        <w:tc>
          <w:tcPr>
            <w:tcW w:w="991" w:type="dxa"/>
            <w:tcBorders>
              <w:top w:val="nil"/>
              <w:left w:val="nil"/>
              <w:bottom w:val="single" w:sz="4" w:space="0" w:color="auto"/>
              <w:right w:val="single" w:sz="4" w:space="0" w:color="auto"/>
            </w:tcBorders>
            <w:shd w:val="clear" w:color="auto" w:fill="auto"/>
            <w:noWrap/>
            <w:vAlign w:val="center"/>
            <w:hideMark/>
          </w:tcPr>
          <w:p w14:paraId="6B7F81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214" w:type="dxa"/>
            <w:tcBorders>
              <w:top w:val="nil"/>
              <w:left w:val="nil"/>
              <w:bottom w:val="single" w:sz="4" w:space="0" w:color="auto"/>
              <w:right w:val="single" w:sz="4" w:space="0" w:color="auto"/>
            </w:tcBorders>
            <w:shd w:val="clear" w:color="auto" w:fill="auto"/>
            <w:noWrap/>
            <w:vAlign w:val="center"/>
            <w:hideMark/>
          </w:tcPr>
          <w:p w14:paraId="159919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3" w:type="dxa"/>
            <w:tcBorders>
              <w:top w:val="nil"/>
              <w:left w:val="nil"/>
              <w:bottom w:val="single" w:sz="4" w:space="0" w:color="auto"/>
              <w:right w:val="single" w:sz="4" w:space="0" w:color="auto"/>
            </w:tcBorders>
            <w:shd w:val="clear" w:color="auto" w:fill="auto"/>
            <w:noWrap/>
            <w:vAlign w:val="center"/>
            <w:hideMark/>
          </w:tcPr>
          <w:p w14:paraId="2D74D85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r>
      <w:tr w:rsidR="00F56356" w:rsidRPr="00F56356" w14:paraId="0B386A6E"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051A404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600</w:t>
            </w:r>
          </w:p>
        </w:tc>
        <w:tc>
          <w:tcPr>
            <w:tcW w:w="1567" w:type="dxa"/>
            <w:tcBorders>
              <w:top w:val="nil"/>
              <w:left w:val="nil"/>
              <w:bottom w:val="single" w:sz="4" w:space="0" w:color="auto"/>
              <w:right w:val="single" w:sz="4" w:space="0" w:color="auto"/>
            </w:tcBorders>
            <w:shd w:val="clear" w:color="000000" w:fill="FFFFFF"/>
            <w:noWrap/>
            <w:vAlign w:val="center"/>
            <w:hideMark/>
          </w:tcPr>
          <w:p w14:paraId="5B20C07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4,00</w:t>
            </w:r>
          </w:p>
        </w:tc>
        <w:tc>
          <w:tcPr>
            <w:tcW w:w="1458" w:type="dxa"/>
            <w:tcBorders>
              <w:top w:val="nil"/>
              <w:left w:val="nil"/>
              <w:bottom w:val="single" w:sz="4" w:space="0" w:color="auto"/>
              <w:right w:val="single" w:sz="4" w:space="0" w:color="auto"/>
            </w:tcBorders>
            <w:shd w:val="clear" w:color="000000" w:fill="FFFFFF"/>
            <w:noWrap/>
            <w:vAlign w:val="center"/>
            <w:hideMark/>
          </w:tcPr>
          <w:p w14:paraId="1284FC9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4,00</w:t>
            </w:r>
          </w:p>
        </w:tc>
        <w:tc>
          <w:tcPr>
            <w:tcW w:w="991" w:type="dxa"/>
            <w:tcBorders>
              <w:top w:val="nil"/>
              <w:left w:val="nil"/>
              <w:bottom w:val="single" w:sz="4" w:space="0" w:color="auto"/>
              <w:right w:val="single" w:sz="4" w:space="0" w:color="auto"/>
            </w:tcBorders>
            <w:shd w:val="clear" w:color="auto" w:fill="auto"/>
            <w:noWrap/>
            <w:vAlign w:val="center"/>
            <w:hideMark/>
          </w:tcPr>
          <w:p w14:paraId="12DBC2E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14" w:type="dxa"/>
            <w:tcBorders>
              <w:top w:val="nil"/>
              <w:left w:val="nil"/>
              <w:bottom w:val="single" w:sz="4" w:space="0" w:color="auto"/>
              <w:right w:val="single" w:sz="4" w:space="0" w:color="auto"/>
            </w:tcBorders>
            <w:shd w:val="clear" w:color="auto" w:fill="auto"/>
            <w:noWrap/>
            <w:vAlign w:val="center"/>
            <w:hideMark/>
          </w:tcPr>
          <w:p w14:paraId="13D1677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3" w:type="dxa"/>
            <w:tcBorders>
              <w:top w:val="nil"/>
              <w:left w:val="nil"/>
              <w:bottom w:val="single" w:sz="4" w:space="0" w:color="auto"/>
              <w:right w:val="single" w:sz="4" w:space="0" w:color="auto"/>
            </w:tcBorders>
            <w:shd w:val="clear" w:color="auto" w:fill="auto"/>
            <w:noWrap/>
            <w:vAlign w:val="center"/>
            <w:hideMark/>
          </w:tcPr>
          <w:p w14:paraId="637B45F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r>
      <w:tr w:rsidR="00F56356" w:rsidRPr="00F56356" w14:paraId="5F5D5F45"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0E57B2F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611</w:t>
            </w:r>
          </w:p>
        </w:tc>
        <w:tc>
          <w:tcPr>
            <w:tcW w:w="1567" w:type="dxa"/>
            <w:tcBorders>
              <w:top w:val="nil"/>
              <w:left w:val="nil"/>
              <w:bottom w:val="single" w:sz="4" w:space="0" w:color="auto"/>
              <w:right w:val="single" w:sz="4" w:space="0" w:color="auto"/>
            </w:tcBorders>
            <w:shd w:val="clear" w:color="000000" w:fill="FFFFFF"/>
            <w:noWrap/>
            <w:vAlign w:val="center"/>
            <w:hideMark/>
          </w:tcPr>
          <w:p w14:paraId="557864C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59.003,36</w:t>
            </w:r>
          </w:p>
        </w:tc>
        <w:tc>
          <w:tcPr>
            <w:tcW w:w="1458" w:type="dxa"/>
            <w:tcBorders>
              <w:top w:val="nil"/>
              <w:left w:val="nil"/>
              <w:bottom w:val="single" w:sz="4" w:space="0" w:color="auto"/>
              <w:right w:val="single" w:sz="4" w:space="0" w:color="auto"/>
            </w:tcBorders>
            <w:shd w:val="clear" w:color="000000" w:fill="FFFFFF"/>
            <w:noWrap/>
            <w:vAlign w:val="center"/>
            <w:hideMark/>
          </w:tcPr>
          <w:p w14:paraId="06BED3A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15.219,94</w:t>
            </w:r>
          </w:p>
        </w:tc>
        <w:tc>
          <w:tcPr>
            <w:tcW w:w="991" w:type="dxa"/>
            <w:tcBorders>
              <w:top w:val="nil"/>
              <w:left w:val="nil"/>
              <w:bottom w:val="single" w:sz="4" w:space="0" w:color="auto"/>
              <w:right w:val="single" w:sz="4" w:space="0" w:color="auto"/>
            </w:tcBorders>
            <w:shd w:val="clear" w:color="auto" w:fill="auto"/>
            <w:noWrap/>
            <w:vAlign w:val="center"/>
            <w:hideMark/>
          </w:tcPr>
          <w:p w14:paraId="61C976D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14" w:type="dxa"/>
            <w:tcBorders>
              <w:top w:val="nil"/>
              <w:left w:val="nil"/>
              <w:bottom w:val="single" w:sz="4" w:space="0" w:color="auto"/>
              <w:right w:val="single" w:sz="4" w:space="0" w:color="auto"/>
            </w:tcBorders>
            <w:shd w:val="clear" w:color="auto" w:fill="auto"/>
            <w:noWrap/>
            <w:vAlign w:val="center"/>
            <w:hideMark/>
          </w:tcPr>
          <w:p w14:paraId="08E10E8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74,20</w:t>
            </w:r>
          </w:p>
        </w:tc>
        <w:tc>
          <w:tcPr>
            <w:tcW w:w="1153" w:type="dxa"/>
            <w:tcBorders>
              <w:top w:val="nil"/>
              <w:left w:val="nil"/>
              <w:bottom w:val="single" w:sz="4" w:space="0" w:color="auto"/>
              <w:right w:val="single" w:sz="4" w:space="0" w:color="auto"/>
            </w:tcBorders>
            <w:shd w:val="clear" w:color="auto" w:fill="auto"/>
            <w:noWrap/>
            <w:vAlign w:val="center"/>
            <w:hideMark/>
          </w:tcPr>
          <w:p w14:paraId="3CF6B3D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-15,80</w:t>
            </w:r>
          </w:p>
        </w:tc>
      </w:tr>
      <w:tr w:rsidR="00F56356" w:rsidRPr="00F56356" w14:paraId="5F9F0FCE"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1C1CCE0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614</w:t>
            </w:r>
          </w:p>
        </w:tc>
        <w:tc>
          <w:tcPr>
            <w:tcW w:w="1567" w:type="dxa"/>
            <w:tcBorders>
              <w:top w:val="nil"/>
              <w:left w:val="nil"/>
              <w:bottom w:val="single" w:sz="4" w:space="0" w:color="auto"/>
              <w:right w:val="single" w:sz="4" w:space="0" w:color="auto"/>
            </w:tcBorders>
            <w:shd w:val="clear" w:color="000000" w:fill="FFFFFF"/>
            <w:noWrap/>
            <w:vAlign w:val="center"/>
            <w:hideMark/>
          </w:tcPr>
          <w:p w14:paraId="1819CFD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158.142,89</w:t>
            </w:r>
          </w:p>
        </w:tc>
        <w:tc>
          <w:tcPr>
            <w:tcW w:w="1458" w:type="dxa"/>
            <w:tcBorders>
              <w:top w:val="nil"/>
              <w:left w:val="nil"/>
              <w:bottom w:val="single" w:sz="4" w:space="0" w:color="auto"/>
              <w:right w:val="single" w:sz="4" w:space="0" w:color="auto"/>
            </w:tcBorders>
            <w:shd w:val="clear" w:color="000000" w:fill="FFFFFF"/>
            <w:noWrap/>
            <w:vAlign w:val="center"/>
            <w:hideMark/>
          </w:tcPr>
          <w:p w14:paraId="314671D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21.756,25</w:t>
            </w:r>
          </w:p>
        </w:tc>
        <w:tc>
          <w:tcPr>
            <w:tcW w:w="991" w:type="dxa"/>
            <w:tcBorders>
              <w:top w:val="nil"/>
              <w:left w:val="nil"/>
              <w:bottom w:val="single" w:sz="4" w:space="0" w:color="auto"/>
              <w:right w:val="single" w:sz="4" w:space="0" w:color="auto"/>
            </w:tcBorders>
            <w:shd w:val="clear" w:color="auto" w:fill="auto"/>
            <w:noWrap/>
            <w:vAlign w:val="center"/>
            <w:hideMark/>
          </w:tcPr>
          <w:p w14:paraId="768B55E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14" w:type="dxa"/>
            <w:tcBorders>
              <w:top w:val="nil"/>
              <w:left w:val="nil"/>
              <w:bottom w:val="single" w:sz="4" w:space="0" w:color="auto"/>
              <w:right w:val="single" w:sz="4" w:space="0" w:color="auto"/>
            </w:tcBorders>
            <w:shd w:val="clear" w:color="auto" w:fill="auto"/>
            <w:noWrap/>
            <w:vAlign w:val="center"/>
            <w:hideMark/>
          </w:tcPr>
          <w:p w14:paraId="5A6B22E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86,24</w:t>
            </w:r>
          </w:p>
        </w:tc>
        <w:tc>
          <w:tcPr>
            <w:tcW w:w="1153" w:type="dxa"/>
            <w:tcBorders>
              <w:top w:val="nil"/>
              <w:left w:val="nil"/>
              <w:bottom w:val="single" w:sz="4" w:space="0" w:color="auto"/>
              <w:right w:val="single" w:sz="4" w:space="0" w:color="auto"/>
            </w:tcBorders>
            <w:shd w:val="clear" w:color="auto" w:fill="auto"/>
            <w:noWrap/>
            <w:vAlign w:val="center"/>
            <w:hideMark/>
          </w:tcPr>
          <w:p w14:paraId="5B26192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-3,76</w:t>
            </w:r>
          </w:p>
        </w:tc>
      </w:tr>
      <w:tr w:rsidR="00F56356" w:rsidRPr="00F56356" w14:paraId="6EBE9194"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742E459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622</w:t>
            </w:r>
          </w:p>
        </w:tc>
        <w:tc>
          <w:tcPr>
            <w:tcW w:w="1567" w:type="dxa"/>
            <w:tcBorders>
              <w:top w:val="nil"/>
              <w:left w:val="nil"/>
              <w:bottom w:val="single" w:sz="4" w:space="0" w:color="auto"/>
              <w:right w:val="single" w:sz="4" w:space="0" w:color="auto"/>
            </w:tcBorders>
            <w:shd w:val="clear" w:color="000000" w:fill="FFFFFF"/>
            <w:noWrap/>
            <w:vAlign w:val="center"/>
            <w:hideMark/>
          </w:tcPr>
          <w:p w14:paraId="2E30F0C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7.477,51</w:t>
            </w:r>
          </w:p>
        </w:tc>
        <w:tc>
          <w:tcPr>
            <w:tcW w:w="1458" w:type="dxa"/>
            <w:tcBorders>
              <w:top w:val="nil"/>
              <w:left w:val="nil"/>
              <w:bottom w:val="single" w:sz="4" w:space="0" w:color="auto"/>
              <w:right w:val="single" w:sz="4" w:space="0" w:color="auto"/>
            </w:tcBorders>
            <w:shd w:val="clear" w:color="000000" w:fill="FFFFFF"/>
            <w:noWrap/>
            <w:vAlign w:val="center"/>
            <w:hideMark/>
          </w:tcPr>
          <w:p w14:paraId="2691AEE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89,84</w:t>
            </w:r>
          </w:p>
        </w:tc>
        <w:tc>
          <w:tcPr>
            <w:tcW w:w="991" w:type="dxa"/>
            <w:tcBorders>
              <w:top w:val="nil"/>
              <w:left w:val="nil"/>
              <w:bottom w:val="single" w:sz="4" w:space="0" w:color="auto"/>
              <w:right w:val="single" w:sz="4" w:space="0" w:color="auto"/>
            </w:tcBorders>
            <w:shd w:val="clear" w:color="auto" w:fill="auto"/>
            <w:noWrap/>
            <w:vAlign w:val="center"/>
            <w:hideMark/>
          </w:tcPr>
          <w:p w14:paraId="3DEEA4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35</w:t>
            </w:r>
          </w:p>
        </w:tc>
        <w:tc>
          <w:tcPr>
            <w:tcW w:w="1214" w:type="dxa"/>
            <w:tcBorders>
              <w:top w:val="nil"/>
              <w:left w:val="nil"/>
              <w:bottom w:val="single" w:sz="4" w:space="0" w:color="auto"/>
              <w:right w:val="single" w:sz="4" w:space="0" w:color="auto"/>
            </w:tcBorders>
            <w:shd w:val="clear" w:color="auto" w:fill="auto"/>
            <w:noWrap/>
            <w:vAlign w:val="center"/>
            <w:hideMark/>
          </w:tcPr>
          <w:p w14:paraId="071BA79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98,80</w:t>
            </w:r>
          </w:p>
        </w:tc>
        <w:tc>
          <w:tcPr>
            <w:tcW w:w="1153" w:type="dxa"/>
            <w:tcBorders>
              <w:top w:val="nil"/>
              <w:left w:val="nil"/>
              <w:bottom w:val="single" w:sz="4" w:space="0" w:color="auto"/>
              <w:right w:val="single" w:sz="4" w:space="0" w:color="auto"/>
            </w:tcBorders>
            <w:shd w:val="clear" w:color="auto" w:fill="auto"/>
            <w:noWrap/>
            <w:vAlign w:val="center"/>
            <w:hideMark/>
          </w:tcPr>
          <w:p w14:paraId="4AF9DDC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63,80</w:t>
            </w:r>
          </w:p>
        </w:tc>
      </w:tr>
      <w:tr w:rsidR="00F56356" w:rsidRPr="00F56356" w14:paraId="48181E57"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1FE3DCF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639</w:t>
            </w:r>
          </w:p>
        </w:tc>
        <w:tc>
          <w:tcPr>
            <w:tcW w:w="1567" w:type="dxa"/>
            <w:tcBorders>
              <w:top w:val="nil"/>
              <w:left w:val="nil"/>
              <w:bottom w:val="single" w:sz="4" w:space="0" w:color="auto"/>
              <w:right w:val="single" w:sz="4" w:space="0" w:color="auto"/>
            </w:tcBorders>
            <w:shd w:val="clear" w:color="000000" w:fill="FFFFFF"/>
            <w:noWrap/>
            <w:vAlign w:val="center"/>
            <w:hideMark/>
          </w:tcPr>
          <w:p w14:paraId="03A1CA6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196.978,21</w:t>
            </w:r>
          </w:p>
        </w:tc>
        <w:tc>
          <w:tcPr>
            <w:tcW w:w="1458" w:type="dxa"/>
            <w:tcBorders>
              <w:top w:val="nil"/>
              <w:left w:val="nil"/>
              <w:bottom w:val="single" w:sz="4" w:space="0" w:color="auto"/>
              <w:right w:val="single" w:sz="4" w:space="0" w:color="auto"/>
            </w:tcBorders>
            <w:shd w:val="clear" w:color="000000" w:fill="FFFFFF"/>
            <w:noWrap/>
            <w:vAlign w:val="center"/>
            <w:hideMark/>
          </w:tcPr>
          <w:p w14:paraId="70DF7C6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57.944,41</w:t>
            </w:r>
          </w:p>
        </w:tc>
        <w:tc>
          <w:tcPr>
            <w:tcW w:w="991" w:type="dxa"/>
            <w:tcBorders>
              <w:top w:val="nil"/>
              <w:left w:val="nil"/>
              <w:bottom w:val="single" w:sz="4" w:space="0" w:color="auto"/>
              <w:right w:val="single" w:sz="4" w:space="0" w:color="auto"/>
            </w:tcBorders>
            <w:shd w:val="clear" w:color="auto" w:fill="auto"/>
            <w:noWrap/>
            <w:vAlign w:val="center"/>
            <w:hideMark/>
          </w:tcPr>
          <w:p w14:paraId="48B38BB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214" w:type="dxa"/>
            <w:tcBorders>
              <w:top w:val="nil"/>
              <w:left w:val="nil"/>
              <w:bottom w:val="single" w:sz="4" w:space="0" w:color="auto"/>
              <w:right w:val="single" w:sz="4" w:space="0" w:color="auto"/>
            </w:tcBorders>
            <w:shd w:val="clear" w:color="auto" w:fill="auto"/>
            <w:noWrap/>
            <w:vAlign w:val="center"/>
            <w:hideMark/>
          </w:tcPr>
          <w:p w14:paraId="2B03329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70,58</w:t>
            </w:r>
          </w:p>
        </w:tc>
        <w:tc>
          <w:tcPr>
            <w:tcW w:w="1153" w:type="dxa"/>
            <w:tcBorders>
              <w:top w:val="nil"/>
              <w:left w:val="nil"/>
              <w:bottom w:val="single" w:sz="4" w:space="0" w:color="auto"/>
              <w:right w:val="single" w:sz="4" w:space="0" w:color="auto"/>
            </w:tcBorders>
            <w:shd w:val="clear" w:color="auto" w:fill="auto"/>
            <w:noWrap/>
            <w:vAlign w:val="center"/>
            <w:hideMark/>
          </w:tcPr>
          <w:p w14:paraId="34B969A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-9,42</w:t>
            </w:r>
          </w:p>
        </w:tc>
      </w:tr>
      <w:tr w:rsidR="00F56356" w:rsidRPr="00F56356" w14:paraId="630672DC" w14:textId="77777777" w:rsidTr="00F56356">
        <w:trPr>
          <w:trHeight w:val="240"/>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6050B92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642</w:t>
            </w:r>
          </w:p>
        </w:tc>
        <w:tc>
          <w:tcPr>
            <w:tcW w:w="1567" w:type="dxa"/>
            <w:tcBorders>
              <w:top w:val="nil"/>
              <w:left w:val="nil"/>
              <w:bottom w:val="single" w:sz="4" w:space="0" w:color="auto"/>
              <w:right w:val="single" w:sz="4" w:space="0" w:color="auto"/>
            </w:tcBorders>
            <w:shd w:val="clear" w:color="000000" w:fill="FFFFFF"/>
            <w:noWrap/>
            <w:vAlign w:val="center"/>
            <w:hideMark/>
          </w:tcPr>
          <w:p w14:paraId="13DD282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24.644,00</w:t>
            </w:r>
          </w:p>
        </w:tc>
        <w:tc>
          <w:tcPr>
            <w:tcW w:w="1458" w:type="dxa"/>
            <w:tcBorders>
              <w:top w:val="nil"/>
              <w:left w:val="nil"/>
              <w:bottom w:val="single" w:sz="4" w:space="0" w:color="auto"/>
              <w:right w:val="single" w:sz="4" w:space="0" w:color="auto"/>
            </w:tcBorders>
            <w:shd w:val="clear" w:color="000000" w:fill="FFFFFF"/>
            <w:noWrap/>
            <w:vAlign w:val="center"/>
            <w:hideMark/>
          </w:tcPr>
          <w:p w14:paraId="265A1F1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4.400,00</w:t>
            </w:r>
          </w:p>
        </w:tc>
        <w:tc>
          <w:tcPr>
            <w:tcW w:w="991" w:type="dxa"/>
            <w:tcBorders>
              <w:top w:val="nil"/>
              <w:left w:val="nil"/>
              <w:bottom w:val="single" w:sz="4" w:space="0" w:color="auto"/>
              <w:right w:val="single" w:sz="4" w:space="0" w:color="auto"/>
            </w:tcBorders>
            <w:shd w:val="clear" w:color="auto" w:fill="auto"/>
            <w:noWrap/>
            <w:vAlign w:val="center"/>
            <w:hideMark/>
          </w:tcPr>
          <w:p w14:paraId="6A683ED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214" w:type="dxa"/>
            <w:tcBorders>
              <w:top w:val="nil"/>
              <w:left w:val="nil"/>
              <w:bottom w:val="single" w:sz="4" w:space="0" w:color="auto"/>
              <w:right w:val="single" w:sz="4" w:space="0" w:color="auto"/>
            </w:tcBorders>
            <w:shd w:val="clear" w:color="auto" w:fill="auto"/>
            <w:noWrap/>
            <w:vAlign w:val="center"/>
            <w:hideMark/>
          </w:tcPr>
          <w:p w14:paraId="3C3F13B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82,15</w:t>
            </w:r>
          </w:p>
        </w:tc>
        <w:tc>
          <w:tcPr>
            <w:tcW w:w="1153" w:type="dxa"/>
            <w:tcBorders>
              <w:top w:val="nil"/>
              <w:left w:val="nil"/>
              <w:bottom w:val="single" w:sz="4" w:space="0" w:color="auto"/>
              <w:right w:val="single" w:sz="4" w:space="0" w:color="auto"/>
            </w:tcBorders>
            <w:shd w:val="clear" w:color="auto" w:fill="auto"/>
            <w:noWrap/>
            <w:vAlign w:val="center"/>
            <w:hideMark/>
          </w:tcPr>
          <w:p w14:paraId="5AE374D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-7,85</w:t>
            </w:r>
          </w:p>
        </w:tc>
      </w:tr>
      <w:tr w:rsidR="00F56356" w:rsidRPr="00F56356" w14:paraId="7FE3529C" w14:textId="77777777" w:rsidTr="00F56356">
        <w:trPr>
          <w:trHeight w:val="315"/>
          <w:jc w:val="center"/>
        </w:trPr>
        <w:tc>
          <w:tcPr>
            <w:tcW w:w="477" w:type="dxa"/>
            <w:tcBorders>
              <w:top w:val="nil"/>
              <w:left w:val="single" w:sz="4" w:space="0" w:color="auto"/>
              <w:bottom w:val="single" w:sz="4" w:space="0" w:color="auto"/>
              <w:right w:val="single" w:sz="4" w:space="0" w:color="auto"/>
            </w:tcBorders>
            <w:shd w:val="clear" w:color="000000" w:fill="FFFFFF"/>
            <w:noWrap/>
            <w:vAlign w:val="center"/>
            <w:hideMark/>
          </w:tcPr>
          <w:p w14:paraId="09714D73"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7" w:type="dxa"/>
            <w:tcBorders>
              <w:top w:val="nil"/>
              <w:left w:val="nil"/>
              <w:bottom w:val="single" w:sz="4" w:space="0" w:color="auto"/>
              <w:right w:val="single" w:sz="4" w:space="0" w:color="auto"/>
            </w:tcBorders>
            <w:shd w:val="clear" w:color="000000" w:fill="FFFFFF"/>
            <w:noWrap/>
            <w:vAlign w:val="center"/>
            <w:hideMark/>
          </w:tcPr>
          <w:p w14:paraId="5AB4DAFD"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448.943,29</w:t>
            </w:r>
          </w:p>
        </w:tc>
        <w:tc>
          <w:tcPr>
            <w:tcW w:w="1458" w:type="dxa"/>
            <w:tcBorders>
              <w:top w:val="nil"/>
              <w:left w:val="nil"/>
              <w:bottom w:val="single" w:sz="4" w:space="0" w:color="auto"/>
              <w:right w:val="single" w:sz="4" w:space="0" w:color="auto"/>
            </w:tcBorders>
            <w:shd w:val="clear" w:color="000000" w:fill="FFFFFF"/>
            <w:noWrap/>
            <w:vAlign w:val="center"/>
            <w:hideMark/>
          </w:tcPr>
          <w:p w14:paraId="67420E2C"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102.107,76</w:t>
            </w:r>
          </w:p>
        </w:tc>
        <w:tc>
          <w:tcPr>
            <w:tcW w:w="991" w:type="dxa"/>
            <w:tcBorders>
              <w:top w:val="nil"/>
              <w:left w:val="nil"/>
              <w:bottom w:val="nil"/>
              <w:right w:val="nil"/>
            </w:tcBorders>
            <w:shd w:val="clear" w:color="auto" w:fill="auto"/>
            <w:noWrap/>
            <w:vAlign w:val="center"/>
            <w:hideMark/>
          </w:tcPr>
          <w:p w14:paraId="6C26AE4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4" w:type="dxa"/>
            <w:tcBorders>
              <w:top w:val="nil"/>
              <w:left w:val="nil"/>
              <w:bottom w:val="nil"/>
              <w:right w:val="nil"/>
            </w:tcBorders>
            <w:shd w:val="clear" w:color="auto" w:fill="auto"/>
            <w:noWrap/>
            <w:vAlign w:val="center"/>
            <w:hideMark/>
          </w:tcPr>
          <w:p w14:paraId="22F818F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3" w:type="dxa"/>
            <w:tcBorders>
              <w:top w:val="nil"/>
              <w:left w:val="nil"/>
              <w:bottom w:val="nil"/>
              <w:right w:val="nil"/>
            </w:tcBorders>
            <w:shd w:val="clear" w:color="auto" w:fill="auto"/>
            <w:noWrap/>
            <w:vAlign w:val="center"/>
            <w:hideMark/>
          </w:tcPr>
          <w:p w14:paraId="22E32A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4EE51525" w14:textId="77777777" w:rsidR="00F56356" w:rsidRPr="00F56356" w:rsidRDefault="00F56356" w:rsidP="00F56356">
      <w:pPr>
        <w:spacing w:after="0" w:line="240" w:lineRule="auto"/>
        <w:ind w:firstLine="567"/>
        <w:jc w:val="both"/>
        <w:rPr>
          <w:rFonts w:ascii="Calibri" w:eastAsia="Times New Roman" w:hAnsi="Calibri" w:cs="Calibri"/>
          <w:color w:val="FF0000"/>
          <w:sz w:val="4"/>
          <w:szCs w:val="16"/>
          <w:lang w:eastAsia="it-IT"/>
        </w:rPr>
      </w:pPr>
    </w:p>
    <w:p w14:paraId="45690AA0" w14:textId="721476EE" w:rsidR="00F56356" w:rsidRDefault="00F56356" w:rsidP="00F56356">
      <w:pPr>
        <w:spacing w:after="0" w:line="240" w:lineRule="auto"/>
        <w:ind w:firstLine="284"/>
        <w:jc w:val="both"/>
        <w:rPr>
          <w:rFonts w:ascii="Calibri" w:eastAsia="Times New Roman" w:hAnsi="Calibri" w:cs="Calibri"/>
          <w:color w:val="FF0000"/>
          <w:sz w:val="16"/>
          <w:szCs w:val="16"/>
          <w:lang w:eastAsia="it-IT"/>
        </w:rPr>
      </w:pPr>
    </w:p>
    <w:p w14:paraId="16237B67" w14:textId="77777777" w:rsidR="0043213C" w:rsidRPr="00F56356" w:rsidRDefault="0043213C" w:rsidP="00F56356">
      <w:pPr>
        <w:spacing w:after="0" w:line="240" w:lineRule="auto"/>
        <w:ind w:firstLine="284"/>
        <w:jc w:val="both"/>
        <w:rPr>
          <w:rFonts w:ascii="Calibri" w:eastAsia="Times New Roman" w:hAnsi="Calibri" w:cs="Calibri"/>
          <w:color w:val="FF0000"/>
          <w:sz w:val="16"/>
          <w:szCs w:val="16"/>
          <w:lang w:eastAsia="it-IT"/>
        </w:rPr>
      </w:pPr>
    </w:p>
    <w:tbl>
      <w:tblPr>
        <w:tblW w:w="6860" w:type="dxa"/>
        <w:jc w:val="center"/>
        <w:tblCellMar>
          <w:left w:w="70" w:type="dxa"/>
          <w:right w:w="70" w:type="dxa"/>
        </w:tblCellMar>
        <w:tblLook w:val="04A0" w:firstRow="1" w:lastRow="0" w:firstColumn="1" w:lastColumn="0" w:noHBand="0" w:noVBand="1"/>
      </w:tblPr>
      <w:tblGrid>
        <w:gridCol w:w="471"/>
        <w:gridCol w:w="1546"/>
        <w:gridCol w:w="1530"/>
        <w:gridCol w:w="978"/>
        <w:gridCol w:w="1198"/>
        <w:gridCol w:w="1137"/>
      </w:tblGrid>
      <w:tr w:rsidR="00F56356" w:rsidRPr="00F56356" w14:paraId="7299A110"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98253"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lastRenderedPageBreak/>
              <w:t>SPESE PER INTERVENTI</w:t>
            </w:r>
          </w:p>
        </w:tc>
      </w:tr>
      <w:tr w:rsidR="00F56356" w:rsidRPr="00F56356" w14:paraId="28A3B742" w14:textId="77777777" w:rsidTr="00F56356">
        <w:trPr>
          <w:trHeight w:val="465"/>
          <w:jc w:val="center"/>
        </w:trPr>
        <w:tc>
          <w:tcPr>
            <w:tcW w:w="4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C4C6C5"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3A0A3308"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14:paraId="34548DFA"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13" w:type="dxa"/>
            <w:gridSpan w:val="3"/>
            <w:tcBorders>
              <w:top w:val="single" w:sz="4" w:space="0" w:color="auto"/>
              <w:left w:val="nil"/>
              <w:bottom w:val="single" w:sz="4" w:space="0" w:color="auto"/>
              <w:right w:val="single" w:sz="4" w:space="0" w:color="000000"/>
            </w:tcBorders>
            <w:shd w:val="clear" w:color="auto" w:fill="auto"/>
            <w:vAlign w:val="center"/>
            <w:hideMark/>
          </w:tcPr>
          <w:p w14:paraId="2AD78205"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597F4033" w14:textId="77777777" w:rsidTr="00F56356">
        <w:trPr>
          <w:trHeight w:val="300"/>
          <w:jc w:val="center"/>
        </w:trPr>
        <w:tc>
          <w:tcPr>
            <w:tcW w:w="471" w:type="dxa"/>
            <w:vMerge/>
            <w:tcBorders>
              <w:top w:val="nil"/>
              <w:left w:val="single" w:sz="4" w:space="0" w:color="auto"/>
              <w:bottom w:val="single" w:sz="4" w:space="0" w:color="auto"/>
              <w:right w:val="single" w:sz="4" w:space="0" w:color="auto"/>
            </w:tcBorders>
            <w:vAlign w:val="center"/>
            <w:hideMark/>
          </w:tcPr>
          <w:p w14:paraId="2BBA36B8"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46" w:type="dxa"/>
            <w:vMerge/>
            <w:tcBorders>
              <w:top w:val="nil"/>
              <w:left w:val="single" w:sz="4" w:space="0" w:color="auto"/>
              <w:bottom w:val="single" w:sz="4" w:space="0" w:color="auto"/>
              <w:right w:val="single" w:sz="4" w:space="0" w:color="auto"/>
            </w:tcBorders>
            <w:vAlign w:val="center"/>
            <w:hideMark/>
          </w:tcPr>
          <w:p w14:paraId="21D1FF3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30" w:type="dxa"/>
            <w:vMerge/>
            <w:tcBorders>
              <w:top w:val="nil"/>
              <w:left w:val="single" w:sz="4" w:space="0" w:color="auto"/>
              <w:bottom w:val="single" w:sz="4" w:space="0" w:color="auto"/>
              <w:right w:val="single" w:sz="4" w:space="0" w:color="auto"/>
            </w:tcBorders>
            <w:vAlign w:val="center"/>
            <w:hideMark/>
          </w:tcPr>
          <w:p w14:paraId="1038E10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78" w:type="dxa"/>
            <w:tcBorders>
              <w:top w:val="nil"/>
              <w:left w:val="nil"/>
              <w:bottom w:val="single" w:sz="4" w:space="0" w:color="auto"/>
              <w:right w:val="single" w:sz="4" w:space="0" w:color="auto"/>
            </w:tcBorders>
            <w:shd w:val="clear" w:color="auto" w:fill="auto"/>
            <w:vAlign w:val="center"/>
            <w:hideMark/>
          </w:tcPr>
          <w:p w14:paraId="711DDA0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98" w:type="dxa"/>
            <w:tcBorders>
              <w:top w:val="nil"/>
              <w:left w:val="nil"/>
              <w:bottom w:val="single" w:sz="4" w:space="0" w:color="auto"/>
              <w:right w:val="single" w:sz="4" w:space="0" w:color="auto"/>
            </w:tcBorders>
            <w:shd w:val="clear" w:color="auto" w:fill="auto"/>
            <w:vAlign w:val="center"/>
            <w:hideMark/>
          </w:tcPr>
          <w:p w14:paraId="214139F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37" w:type="dxa"/>
            <w:tcBorders>
              <w:top w:val="nil"/>
              <w:left w:val="nil"/>
              <w:bottom w:val="single" w:sz="4" w:space="0" w:color="auto"/>
              <w:right w:val="single" w:sz="4" w:space="0" w:color="auto"/>
            </w:tcBorders>
            <w:shd w:val="clear" w:color="auto" w:fill="auto"/>
            <w:vAlign w:val="center"/>
            <w:hideMark/>
          </w:tcPr>
          <w:p w14:paraId="5E5AB93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22ADD8F"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01CED59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632</w:t>
            </w:r>
          </w:p>
        </w:tc>
        <w:tc>
          <w:tcPr>
            <w:tcW w:w="1546" w:type="dxa"/>
            <w:tcBorders>
              <w:top w:val="nil"/>
              <w:left w:val="nil"/>
              <w:bottom w:val="single" w:sz="4" w:space="0" w:color="auto"/>
              <w:right w:val="single" w:sz="4" w:space="0" w:color="auto"/>
            </w:tcBorders>
            <w:shd w:val="clear" w:color="000000" w:fill="FFFFFF"/>
            <w:noWrap/>
            <w:vAlign w:val="center"/>
            <w:hideMark/>
          </w:tcPr>
          <w:p w14:paraId="76E505B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5.128.522,08</w:t>
            </w:r>
          </w:p>
        </w:tc>
        <w:tc>
          <w:tcPr>
            <w:tcW w:w="1530" w:type="dxa"/>
            <w:tcBorders>
              <w:top w:val="nil"/>
              <w:left w:val="nil"/>
              <w:bottom w:val="single" w:sz="4" w:space="0" w:color="auto"/>
              <w:right w:val="single" w:sz="4" w:space="0" w:color="auto"/>
            </w:tcBorders>
            <w:shd w:val="clear" w:color="000000" w:fill="FFFFFF"/>
            <w:noWrap/>
            <w:vAlign w:val="center"/>
            <w:hideMark/>
          </w:tcPr>
          <w:p w14:paraId="4B19A4C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4.907.977,29</w:t>
            </w:r>
          </w:p>
        </w:tc>
        <w:tc>
          <w:tcPr>
            <w:tcW w:w="978" w:type="dxa"/>
            <w:tcBorders>
              <w:top w:val="nil"/>
              <w:left w:val="nil"/>
              <w:bottom w:val="single" w:sz="4" w:space="0" w:color="auto"/>
              <w:right w:val="single" w:sz="4" w:space="0" w:color="auto"/>
            </w:tcBorders>
            <w:shd w:val="clear" w:color="auto" w:fill="auto"/>
            <w:noWrap/>
            <w:vAlign w:val="center"/>
            <w:hideMark/>
          </w:tcPr>
          <w:p w14:paraId="31D3994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98" w:type="dxa"/>
            <w:tcBorders>
              <w:top w:val="nil"/>
              <w:left w:val="nil"/>
              <w:bottom w:val="single" w:sz="4" w:space="0" w:color="auto"/>
              <w:right w:val="single" w:sz="4" w:space="0" w:color="auto"/>
            </w:tcBorders>
            <w:shd w:val="clear" w:color="auto" w:fill="auto"/>
            <w:noWrap/>
            <w:vAlign w:val="center"/>
            <w:hideMark/>
          </w:tcPr>
          <w:p w14:paraId="1DACD02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4,30</w:t>
            </w:r>
          </w:p>
        </w:tc>
        <w:tc>
          <w:tcPr>
            <w:tcW w:w="1137" w:type="dxa"/>
            <w:tcBorders>
              <w:top w:val="nil"/>
              <w:left w:val="nil"/>
              <w:bottom w:val="single" w:sz="4" w:space="0" w:color="auto"/>
              <w:right w:val="single" w:sz="4" w:space="0" w:color="auto"/>
            </w:tcBorders>
            <w:shd w:val="clear" w:color="auto" w:fill="auto"/>
            <w:noWrap/>
            <w:vAlign w:val="center"/>
            <w:hideMark/>
          </w:tcPr>
          <w:p w14:paraId="09B93B7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-45,70</w:t>
            </w:r>
          </w:p>
        </w:tc>
      </w:tr>
      <w:tr w:rsidR="00F56356" w:rsidRPr="00F56356" w14:paraId="6D089C17"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6182798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634</w:t>
            </w:r>
          </w:p>
        </w:tc>
        <w:tc>
          <w:tcPr>
            <w:tcW w:w="1546" w:type="dxa"/>
            <w:tcBorders>
              <w:top w:val="nil"/>
              <w:left w:val="nil"/>
              <w:bottom w:val="single" w:sz="4" w:space="0" w:color="auto"/>
              <w:right w:val="single" w:sz="4" w:space="0" w:color="auto"/>
            </w:tcBorders>
            <w:shd w:val="clear" w:color="000000" w:fill="FFFFFF"/>
            <w:noWrap/>
            <w:vAlign w:val="center"/>
            <w:hideMark/>
          </w:tcPr>
          <w:p w14:paraId="657E4F2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330.160,61</w:t>
            </w:r>
          </w:p>
        </w:tc>
        <w:tc>
          <w:tcPr>
            <w:tcW w:w="1530" w:type="dxa"/>
            <w:tcBorders>
              <w:top w:val="nil"/>
              <w:left w:val="nil"/>
              <w:bottom w:val="single" w:sz="4" w:space="0" w:color="auto"/>
              <w:right w:val="single" w:sz="4" w:space="0" w:color="auto"/>
            </w:tcBorders>
            <w:shd w:val="clear" w:color="000000" w:fill="FFFFFF"/>
            <w:noWrap/>
            <w:vAlign w:val="center"/>
            <w:hideMark/>
          </w:tcPr>
          <w:p w14:paraId="39AF235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330.160,61</w:t>
            </w:r>
          </w:p>
        </w:tc>
        <w:tc>
          <w:tcPr>
            <w:tcW w:w="978" w:type="dxa"/>
            <w:tcBorders>
              <w:top w:val="nil"/>
              <w:left w:val="nil"/>
              <w:bottom w:val="single" w:sz="4" w:space="0" w:color="auto"/>
              <w:right w:val="single" w:sz="4" w:space="0" w:color="auto"/>
            </w:tcBorders>
            <w:shd w:val="clear" w:color="auto" w:fill="auto"/>
            <w:noWrap/>
            <w:vAlign w:val="center"/>
            <w:hideMark/>
          </w:tcPr>
          <w:p w14:paraId="0EECC0B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8" w:type="dxa"/>
            <w:tcBorders>
              <w:top w:val="nil"/>
              <w:left w:val="nil"/>
              <w:bottom w:val="single" w:sz="4" w:space="0" w:color="auto"/>
              <w:right w:val="single" w:sz="4" w:space="0" w:color="auto"/>
            </w:tcBorders>
            <w:shd w:val="clear" w:color="auto" w:fill="auto"/>
            <w:noWrap/>
            <w:vAlign w:val="center"/>
            <w:hideMark/>
          </w:tcPr>
          <w:p w14:paraId="2BA8FD3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37" w:type="dxa"/>
            <w:tcBorders>
              <w:top w:val="nil"/>
              <w:left w:val="nil"/>
              <w:bottom w:val="single" w:sz="4" w:space="0" w:color="auto"/>
              <w:right w:val="single" w:sz="4" w:space="0" w:color="auto"/>
            </w:tcBorders>
            <w:shd w:val="clear" w:color="auto" w:fill="auto"/>
            <w:noWrap/>
            <w:vAlign w:val="center"/>
            <w:hideMark/>
          </w:tcPr>
          <w:p w14:paraId="0D07530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CA78DE5" w14:textId="77777777" w:rsidTr="00F56356">
        <w:trPr>
          <w:trHeight w:val="31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E58FDD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46" w:type="dxa"/>
            <w:tcBorders>
              <w:top w:val="nil"/>
              <w:left w:val="nil"/>
              <w:bottom w:val="single" w:sz="4" w:space="0" w:color="auto"/>
              <w:right w:val="single" w:sz="4" w:space="0" w:color="auto"/>
            </w:tcBorders>
            <w:shd w:val="clear" w:color="auto" w:fill="auto"/>
            <w:noWrap/>
            <w:vAlign w:val="center"/>
            <w:hideMark/>
          </w:tcPr>
          <w:p w14:paraId="370DFE4A"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5.458.682,69</w:t>
            </w:r>
          </w:p>
        </w:tc>
        <w:tc>
          <w:tcPr>
            <w:tcW w:w="1530" w:type="dxa"/>
            <w:tcBorders>
              <w:top w:val="nil"/>
              <w:left w:val="nil"/>
              <w:bottom w:val="single" w:sz="4" w:space="0" w:color="auto"/>
              <w:right w:val="single" w:sz="4" w:space="0" w:color="auto"/>
            </w:tcBorders>
            <w:shd w:val="clear" w:color="auto" w:fill="auto"/>
            <w:noWrap/>
            <w:vAlign w:val="center"/>
            <w:hideMark/>
          </w:tcPr>
          <w:p w14:paraId="2EE11BC0"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5.238.137,90</w:t>
            </w:r>
          </w:p>
        </w:tc>
        <w:tc>
          <w:tcPr>
            <w:tcW w:w="978" w:type="dxa"/>
            <w:tcBorders>
              <w:top w:val="nil"/>
              <w:left w:val="nil"/>
              <w:bottom w:val="nil"/>
              <w:right w:val="nil"/>
            </w:tcBorders>
            <w:shd w:val="clear" w:color="auto" w:fill="auto"/>
            <w:noWrap/>
            <w:vAlign w:val="center"/>
            <w:hideMark/>
          </w:tcPr>
          <w:p w14:paraId="0CF2577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98" w:type="dxa"/>
            <w:tcBorders>
              <w:top w:val="nil"/>
              <w:left w:val="nil"/>
              <w:bottom w:val="nil"/>
              <w:right w:val="nil"/>
            </w:tcBorders>
            <w:shd w:val="clear" w:color="auto" w:fill="auto"/>
            <w:noWrap/>
            <w:vAlign w:val="center"/>
            <w:hideMark/>
          </w:tcPr>
          <w:p w14:paraId="4811307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37" w:type="dxa"/>
            <w:tcBorders>
              <w:top w:val="nil"/>
              <w:left w:val="nil"/>
              <w:bottom w:val="nil"/>
              <w:right w:val="nil"/>
            </w:tcBorders>
            <w:shd w:val="clear" w:color="auto" w:fill="auto"/>
            <w:noWrap/>
            <w:vAlign w:val="center"/>
            <w:hideMark/>
          </w:tcPr>
          <w:p w14:paraId="567E0C3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02FB63F6"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013678B6" w14:textId="77777777" w:rsidR="00F56356" w:rsidRPr="00F56356" w:rsidRDefault="00F56356" w:rsidP="00F56356">
      <w:pPr>
        <w:spacing w:after="0" w:line="360" w:lineRule="auto"/>
        <w:ind w:left="284"/>
        <w:jc w:val="both"/>
        <w:rPr>
          <w:rFonts w:ascii="Times New Roman" w:eastAsia="Times New Roman" w:hAnsi="Times New Roman" w:cs="Times New Roman"/>
          <w:b/>
          <w:sz w:val="18"/>
          <w:szCs w:val="18"/>
          <w:lang w:eastAsia="it-IT"/>
        </w:rPr>
      </w:pPr>
    </w:p>
    <w:p w14:paraId="21C1954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di euro 6.149.129,16</w:t>
      </w:r>
      <w:r w:rsidRPr="00F56356">
        <w:rPr>
          <w:rFonts w:ascii="Times New Roman" w:eastAsia="Times New Roman" w:hAnsi="Times New Roman" w:cs="Times New Roman"/>
          <w:color w:val="000000" w:themeColor="text1"/>
          <w:sz w:val="24"/>
          <w:szCs w:val="24"/>
          <w:lang w:eastAsia="it-IT"/>
        </w:rPr>
        <w:t xml:space="preserve"> sono state destinate per euro 3.242.973,87 al funzionamento e per euro 2.906.155,29 agli interventi.</w:t>
      </w:r>
    </w:p>
    <w:p w14:paraId="1A88368E"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2"/>
          <w:szCs w:val="24"/>
          <w:lang w:eastAsia="it-IT"/>
        </w:rPr>
      </w:pPr>
    </w:p>
    <w:p w14:paraId="76A198A6" w14:textId="77777777" w:rsidR="00F56356" w:rsidRPr="00F56356" w:rsidRDefault="00F56356" w:rsidP="00F56356">
      <w:pPr>
        <w:spacing w:after="0" w:line="360" w:lineRule="auto"/>
        <w:ind w:left="284"/>
        <w:jc w:val="both"/>
        <w:rPr>
          <w:rFonts w:ascii="Times New Roman" w:eastAsia="Times New Roman" w:hAnsi="Times New Roman" w:cs="Times New Roman"/>
          <w:b/>
          <w:color w:val="FF0000"/>
          <w:sz w:val="2"/>
          <w:szCs w:val="24"/>
          <w:lang w:eastAsia="it-IT"/>
        </w:rPr>
      </w:pPr>
    </w:p>
    <w:p w14:paraId="3069FD3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 3.242.973,87</w:t>
      </w:r>
      <w:r w:rsidRPr="00F56356">
        <w:rPr>
          <w:rFonts w:ascii="Times New Roman" w:eastAsia="Times New Roman" w:hAnsi="Times New Roman" w:cs="Times New Roman"/>
          <w:color w:val="000000" w:themeColor="text1"/>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 xml:space="preserve">sono state destinate al funzionamento della </w:t>
      </w:r>
      <w:r w:rsidRPr="00F56356">
        <w:rPr>
          <w:rFonts w:ascii="Times New Roman" w:eastAsia="Times New Roman" w:hAnsi="Times New Roman" w:cs="Times New Roman"/>
          <w:iCs/>
          <w:color w:val="000000" w:themeColor="text1"/>
          <w:sz w:val="24"/>
          <w:szCs w:val="24"/>
          <w:lang w:eastAsia="it-IT"/>
        </w:rPr>
        <w:t>“Struttura di missione per il coordinamento dei processi di ricostruzione e sviluppo nei territori colpiti dal sisma del 6 aprile 2009” (</w:t>
      </w:r>
      <w:r w:rsidRPr="00F56356">
        <w:rPr>
          <w:rFonts w:ascii="Times New Roman" w:eastAsia="Times New Roman" w:hAnsi="Times New Roman" w:cs="Times New Roman"/>
          <w:color w:val="000000" w:themeColor="text1"/>
          <w:sz w:val="24"/>
          <w:szCs w:val="24"/>
          <w:lang w:eastAsia="it-IT"/>
        </w:rPr>
        <w:t xml:space="preserve">cap. 248) e delle Strutture tecniche dipartimentali quali il Nucleo tecnico per il coordinamento della politica economica (cap. 614) e il Nucleo di valutazione e verifica degli investimenti pubblici (cap. 639), al rimborso delle spese di missione (cap. 600), alle spese per esperti in materia di investimenti pubblici e finanza di progetto (cap. 611), al funzionamento del Comitato interministeriale per la programmazione economica (cap. 622), alle spese per acquisto di giornali, riviste e periodici (cap. 623) e al potenziamento delle attività e degli strumenti di analisi e di monitoraggio del Dipartimento (cap. 642). </w:t>
      </w:r>
    </w:p>
    <w:p w14:paraId="6D234426"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7CFA4F9A" w14:textId="77777777" w:rsidR="00F56356" w:rsidRPr="00F56356" w:rsidRDefault="00F56356" w:rsidP="00F56356">
      <w:pPr>
        <w:autoSpaceDE w:val="0"/>
        <w:autoSpaceDN w:val="0"/>
        <w:adjustRightInd w:val="0"/>
        <w:spacing w:after="0" w:line="360" w:lineRule="auto"/>
        <w:ind w:right="-1"/>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02272" behindDoc="1" locked="0" layoutInCell="1" allowOverlap="1" wp14:anchorId="1E0EE1D1" wp14:editId="3BF9CC84">
            <wp:simplePos x="0" y="0"/>
            <wp:positionH relativeFrom="column">
              <wp:posOffset>198755</wp:posOffset>
            </wp:positionH>
            <wp:positionV relativeFrom="paragraph">
              <wp:posOffset>264795</wp:posOffset>
            </wp:positionV>
            <wp:extent cx="5829300" cy="2291715"/>
            <wp:effectExtent l="0" t="0" r="0" b="0"/>
            <wp:wrapTight wrapText="bothSides">
              <wp:wrapPolygon edited="0">
                <wp:start x="0" y="0"/>
                <wp:lineTo x="0" y="21367"/>
                <wp:lineTo x="11718" y="21367"/>
                <wp:lineTo x="11718" y="20110"/>
                <wp:lineTo x="21529" y="19751"/>
                <wp:lineTo x="21529" y="18135"/>
                <wp:lineTo x="21247" y="17237"/>
                <wp:lineTo x="21459" y="16698"/>
                <wp:lineTo x="21529" y="15441"/>
                <wp:lineTo x="21529" y="5027"/>
                <wp:lineTo x="21176" y="2873"/>
                <wp:lineTo x="21459" y="2873"/>
                <wp:lineTo x="21529" y="2155"/>
                <wp:lineTo x="21529" y="0"/>
                <wp:lineTo x="0" y="0"/>
              </wp:wrapPolygon>
            </wp:wrapTight>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29300" cy="229171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29CCB312" w14:textId="77777777" w:rsidR="00F56356" w:rsidRPr="00F56356" w:rsidRDefault="00F56356" w:rsidP="00F56356">
      <w:pPr>
        <w:autoSpaceDE w:val="0"/>
        <w:autoSpaceDN w:val="0"/>
        <w:adjustRightInd w:val="0"/>
        <w:spacing w:after="0" w:line="360" w:lineRule="auto"/>
        <w:ind w:right="-1"/>
        <w:jc w:val="center"/>
        <w:rPr>
          <w:rFonts w:ascii="Times New Roman" w:eastAsia="Times New Roman" w:hAnsi="Times New Roman" w:cs="Times New Roman"/>
          <w:sz w:val="24"/>
          <w:szCs w:val="24"/>
          <w:lang w:eastAsia="it-IT"/>
        </w:rPr>
      </w:pPr>
    </w:p>
    <w:p w14:paraId="2CFE7136" w14:textId="77777777" w:rsidR="00F56356" w:rsidRPr="00F56356" w:rsidRDefault="00F56356" w:rsidP="00F56356">
      <w:pPr>
        <w:spacing w:after="0" w:line="240" w:lineRule="auto"/>
        <w:ind w:left="284" w:right="282"/>
        <w:jc w:val="both"/>
        <w:rPr>
          <w:rFonts w:eastAsia="Times New Roman" w:cstheme="minorHAnsi"/>
          <w:i/>
          <w:color w:val="FF0000"/>
          <w:sz w:val="16"/>
          <w:szCs w:val="16"/>
          <w:lang w:eastAsia="it-IT"/>
        </w:rPr>
      </w:pPr>
      <w:r w:rsidRPr="00F56356">
        <w:rPr>
          <w:rFonts w:eastAsia="Times New Roman" w:cstheme="minorHAnsi"/>
          <w:color w:val="000000" w:themeColor="text1"/>
          <w:sz w:val="16"/>
          <w:szCs w:val="16"/>
          <w:lang w:eastAsia="it-IT"/>
        </w:rPr>
        <w:t xml:space="preserve">(*) </w:t>
      </w:r>
      <w:r w:rsidRPr="00F56356">
        <w:rPr>
          <w:rFonts w:eastAsia="Times New Roman" w:cstheme="minorHAnsi"/>
          <w:i/>
          <w:color w:val="000000" w:themeColor="text1"/>
          <w:sz w:val="16"/>
          <w:szCs w:val="16"/>
          <w:lang w:eastAsia="it-IT"/>
        </w:rPr>
        <w:t>La dotazione finanziaria del capitolo 249 relativa alle retribuzioni del personale in servizio presso la “Struttura di missione” è stata trasferita sul pertinente capitolo di spesa 124, iscritto nel CR 1 “Segretariato generale” per la gestione in forma accentrata da parte del Dipartimento per il personale</w:t>
      </w:r>
      <w:r w:rsidRPr="00F56356">
        <w:rPr>
          <w:rFonts w:eastAsia="Times New Roman" w:cstheme="minorHAnsi"/>
          <w:i/>
          <w:color w:val="FF0000"/>
          <w:sz w:val="16"/>
          <w:szCs w:val="16"/>
          <w:lang w:eastAsia="it-IT"/>
        </w:rPr>
        <w:t>.</w:t>
      </w:r>
    </w:p>
    <w:p w14:paraId="3849FCE2" w14:textId="77777777" w:rsidR="00F56356" w:rsidRPr="00F56356" w:rsidRDefault="00F56356" w:rsidP="00F56356">
      <w:pPr>
        <w:spacing w:after="0" w:line="240" w:lineRule="auto"/>
        <w:jc w:val="both"/>
        <w:rPr>
          <w:rFonts w:ascii="Times New Roman" w:eastAsia="Times New Roman" w:hAnsi="Times New Roman" w:cs="Times New Roman"/>
          <w:i/>
          <w:color w:val="FF0000"/>
          <w:sz w:val="18"/>
          <w:szCs w:val="18"/>
          <w:lang w:eastAsia="it-IT"/>
        </w:rPr>
      </w:pPr>
    </w:p>
    <w:p w14:paraId="097742E5" w14:textId="77777777" w:rsidR="00F56356" w:rsidRPr="00F56356" w:rsidRDefault="00F56356" w:rsidP="00F56356">
      <w:pPr>
        <w:spacing w:after="0" w:line="240" w:lineRule="auto"/>
        <w:jc w:val="both"/>
        <w:rPr>
          <w:rFonts w:ascii="Times New Roman" w:eastAsia="Times New Roman" w:hAnsi="Times New Roman" w:cs="Times New Roman"/>
          <w:color w:val="FF0000"/>
          <w:sz w:val="18"/>
          <w:szCs w:val="18"/>
          <w:lang w:eastAsia="it-IT"/>
        </w:rPr>
      </w:pPr>
    </w:p>
    <w:p w14:paraId="3F4E080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2.2.2 </w:t>
      </w:r>
      <w:r w:rsidRPr="00F56356">
        <w:rPr>
          <w:rFonts w:ascii="Times New Roman" w:eastAsia="Times New Roman" w:hAnsi="Times New Roman" w:cs="Times New Roman"/>
          <w:sz w:val="24"/>
          <w:szCs w:val="24"/>
          <w:lang w:eastAsia="it-IT"/>
        </w:rPr>
        <w:t>Le risorse impegnate per gli interventi di euro 2.906.155,29,</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di cui euro 306.155,29 </w:t>
      </w:r>
      <w:r w:rsidRPr="00F56356">
        <w:rPr>
          <w:rFonts w:ascii="Times New Roman" w:eastAsia="Times New Roman" w:hAnsi="Times New Roman" w:cs="Times New Roman"/>
          <w:sz w:val="24"/>
          <w:szCs w:val="24"/>
          <w:lang w:eastAsia="it-IT"/>
        </w:rPr>
        <w:t xml:space="preserve">riferiti a reiscrizioni di residui passivi perenti, sono state destinate ai </w:t>
      </w: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 xml:space="preserve">Servizi di natura tecnica e assistenza qualificata per il coordinamento delle attività di ricostruzione e sviluppo del cratere aquilano” </w:t>
      </w:r>
      <w:r w:rsidRPr="00F56356">
        <w:rPr>
          <w:rFonts w:ascii="Times New Roman" w:eastAsia="Times New Roman" w:hAnsi="Times New Roman" w:cs="Times New Roman"/>
          <w:color w:val="000000" w:themeColor="text1"/>
          <w:sz w:val="24"/>
          <w:szCs w:val="24"/>
          <w:lang w:eastAsia="it-IT"/>
        </w:rPr>
        <w:lastRenderedPageBreak/>
        <w:t>(cap. 214), in particolare per le esigenze operative della “Struttura di missione per il coordinamento dei processi di ricostruzione e sviluppo nei territori colpiti dal sisma del 6 aprile 2009”.</w:t>
      </w:r>
    </w:p>
    <w:p w14:paraId="2F9707A1"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500C7478"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03296" behindDoc="1" locked="0" layoutInCell="1" allowOverlap="1" wp14:anchorId="7927C9A1" wp14:editId="066F11FD">
            <wp:simplePos x="0" y="0"/>
            <wp:positionH relativeFrom="margin">
              <wp:align>right</wp:align>
            </wp:positionH>
            <wp:positionV relativeFrom="paragraph">
              <wp:posOffset>127000</wp:posOffset>
            </wp:positionV>
            <wp:extent cx="5874385" cy="1436370"/>
            <wp:effectExtent l="0" t="0" r="0" b="0"/>
            <wp:wrapTight wrapText="bothSides">
              <wp:wrapPolygon edited="0">
                <wp:start x="0" y="0"/>
                <wp:lineTo x="0" y="21199"/>
                <wp:lineTo x="11698" y="21199"/>
                <wp:lineTo x="12258" y="20912"/>
                <wp:lineTo x="21504" y="18621"/>
                <wp:lineTo x="21504" y="8021"/>
                <wp:lineTo x="21154" y="4584"/>
                <wp:lineTo x="21434" y="4584"/>
                <wp:lineTo x="21504" y="3438"/>
                <wp:lineTo x="21504" y="0"/>
                <wp:lineTo x="0" y="0"/>
              </wp:wrapPolygon>
            </wp:wrapTight>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74385" cy="1436370"/>
                    </a:xfrm>
                    <a:prstGeom prst="rect">
                      <a:avLst/>
                    </a:prstGeom>
                    <a:noFill/>
                    <a:ln>
                      <a:noFill/>
                    </a:ln>
                  </pic:spPr>
                </pic:pic>
              </a:graphicData>
            </a:graphic>
            <wp14:sizeRelH relativeFrom="margin">
              <wp14:pctWidth>0</wp14:pctWidth>
            </wp14:sizeRelH>
          </wp:anchor>
        </w:drawing>
      </w:r>
    </w:p>
    <w:p w14:paraId="08DCF64A"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8"/>
          <w:szCs w:val="24"/>
          <w:lang w:eastAsia="it-IT"/>
        </w:rPr>
      </w:pPr>
    </w:p>
    <w:p w14:paraId="1FE12E6E" w14:textId="77777777" w:rsidR="00F56356" w:rsidRPr="00F56356" w:rsidRDefault="00F56356" w:rsidP="00F56356">
      <w:pPr>
        <w:autoSpaceDE w:val="0"/>
        <w:autoSpaceDN w:val="0"/>
        <w:adjustRightInd w:val="0"/>
        <w:spacing w:after="0" w:line="360" w:lineRule="auto"/>
        <w:ind w:right="-284"/>
        <w:rPr>
          <w:rFonts w:ascii="Times New Roman" w:eastAsia="Times New Roman" w:hAnsi="Times New Roman" w:cs="Times New Roman"/>
          <w:color w:val="FF0000"/>
          <w:sz w:val="24"/>
          <w:szCs w:val="24"/>
          <w:lang w:eastAsia="it-IT"/>
        </w:rPr>
      </w:pPr>
    </w:p>
    <w:p w14:paraId="1CBEF89F" w14:textId="77777777" w:rsidR="00F56356" w:rsidRPr="00F56356" w:rsidRDefault="00F56356" w:rsidP="00F56356">
      <w:pPr>
        <w:spacing w:after="0" w:line="240" w:lineRule="auto"/>
        <w:jc w:val="both"/>
        <w:rPr>
          <w:rFonts w:ascii="Times New Roman" w:eastAsia="Times New Roman" w:hAnsi="Times New Roman" w:cs="Times New Roman"/>
          <w:color w:val="FF0000"/>
          <w:sz w:val="10"/>
          <w:szCs w:val="18"/>
          <w:lang w:eastAsia="it-IT"/>
        </w:rPr>
      </w:pPr>
    </w:p>
    <w:p w14:paraId="6554AA40"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12"/>
          <w:szCs w:val="12"/>
          <w:lang w:eastAsia="it-IT"/>
        </w:rPr>
      </w:pPr>
    </w:p>
    <w:p w14:paraId="7C1445D1"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in particolare: </w:t>
      </w:r>
    </w:p>
    <w:p w14:paraId="30C76AB2"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642 – </w:t>
      </w:r>
      <w:r w:rsidRPr="00F56356">
        <w:rPr>
          <w:rFonts w:ascii="Times New Roman" w:eastAsia="Times New Roman" w:hAnsi="Times New Roman" w:cs="Times New Roman"/>
          <w:i/>
          <w:color w:val="000000" w:themeColor="text1"/>
          <w:sz w:val="24"/>
          <w:szCs w:val="24"/>
          <w:lang w:eastAsia="it-IT"/>
        </w:rPr>
        <w:t>Spese per il potenziamento delle attività e degli strumenti di analisi e monitoraggio de Dipartimento,</w:t>
      </w:r>
      <w:r w:rsidRPr="00F56356">
        <w:rPr>
          <w:rFonts w:ascii="Times New Roman" w:eastAsia="Times New Roman" w:hAnsi="Times New Roman" w:cs="Times New Roman"/>
          <w:color w:val="000000" w:themeColor="text1"/>
          <w:sz w:val="24"/>
          <w:szCs w:val="24"/>
          <w:lang w:eastAsia="it-IT"/>
        </w:rPr>
        <w:t xml:space="preserve"> in quanto non sono stati effettuati affidamenti;</w:t>
      </w:r>
    </w:p>
    <w:p w14:paraId="6D550D99"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622 – </w:t>
      </w:r>
      <w:r w:rsidRPr="00F56356">
        <w:rPr>
          <w:rFonts w:ascii="Times New Roman" w:eastAsia="Times New Roman" w:hAnsi="Times New Roman" w:cs="Times New Roman"/>
          <w:i/>
          <w:color w:val="000000" w:themeColor="text1"/>
          <w:sz w:val="24"/>
          <w:szCs w:val="24"/>
          <w:lang w:eastAsia="it-IT"/>
        </w:rPr>
        <w:t>Spese per il funzionamento del Comitato interministeriale per la programmazione economica,</w:t>
      </w:r>
      <w:r w:rsidRPr="00F56356">
        <w:rPr>
          <w:rFonts w:ascii="Times New Roman" w:eastAsia="Times New Roman" w:hAnsi="Times New Roman" w:cs="Times New Roman"/>
          <w:color w:val="000000" w:themeColor="text1"/>
          <w:sz w:val="24"/>
          <w:szCs w:val="24"/>
          <w:lang w:eastAsia="it-IT"/>
        </w:rPr>
        <w:t xml:space="preserve"> in quanto le fatturazioni da parte delle Società affidatarie del servizio di </w:t>
      </w:r>
      <w:proofErr w:type="spellStart"/>
      <w:r w:rsidRPr="00F56356">
        <w:rPr>
          <w:rFonts w:ascii="Times New Roman" w:eastAsia="Times New Roman" w:hAnsi="Times New Roman" w:cs="Times New Roman"/>
          <w:color w:val="000000" w:themeColor="text1"/>
          <w:sz w:val="24"/>
          <w:szCs w:val="24"/>
          <w:lang w:eastAsia="it-IT"/>
        </w:rPr>
        <w:t>resocontazione</w:t>
      </w:r>
      <w:proofErr w:type="spellEnd"/>
      <w:r w:rsidRPr="00F56356">
        <w:rPr>
          <w:rFonts w:ascii="Times New Roman" w:eastAsia="Times New Roman" w:hAnsi="Times New Roman" w:cs="Times New Roman"/>
          <w:color w:val="000000" w:themeColor="text1"/>
          <w:sz w:val="24"/>
          <w:szCs w:val="24"/>
          <w:lang w:eastAsia="it-IT"/>
        </w:rPr>
        <w:t xml:space="preserve"> e della gestione del servizio per il pagamento dei compensi spettanti agli esperti DIPE sono state effettuate oltre il termine previsto per l’emissione dei mandati di pagamento;</w:t>
      </w:r>
    </w:p>
    <w:p w14:paraId="72F785B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per il capitolo 248 – S</w:t>
      </w:r>
      <w:r w:rsidRPr="00F56356">
        <w:rPr>
          <w:rFonts w:ascii="Times New Roman" w:eastAsia="Times New Roman" w:hAnsi="Times New Roman" w:cs="Times New Roman"/>
          <w:i/>
          <w:color w:val="000000" w:themeColor="text1"/>
          <w:sz w:val="24"/>
          <w:szCs w:val="24"/>
          <w:lang w:eastAsia="it-IT"/>
        </w:rPr>
        <w:t>pese per il funzionamento</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della</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Struttura di missione per il coordinamento dei processi di ricostruzione e sviluppo nei territori colpiti dal sisma del 6 aprile 2009, </w:t>
      </w:r>
      <w:r w:rsidRPr="00F56356">
        <w:rPr>
          <w:rFonts w:ascii="Times New Roman" w:eastAsia="Times New Roman" w:hAnsi="Times New Roman" w:cs="Times New Roman"/>
          <w:color w:val="000000" w:themeColor="text1"/>
          <w:sz w:val="24"/>
          <w:szCs w:val="24"/>
          <w:lang w:eastAsia="it-IT"/>
        </w:rPr>
        <w:t xml:space="preserve">relativamente alla capacità di smaltimento residui, a causa di una errata fatturazione da parte della società fornitrice, per la quale la Struttura ha richiesto l’emissione di note di credito, pervenute oltre il termine per la chiusura dei pagamenti per l’esercizio finanziario 2022; pertanto non è stata liquidata la somma residua impegnata in favore di Telecom Italia </w:t>
      </w:r>
      <w:proofErr w:type="spellStart"/>
      <w:r w:rsidRPr="00F56356">
        <w:rPr>
          <w:rFonts w:ascii="Times New Roman" w:eastAsia="Times New Roman" w:hAnsi="Times New Roman" w:cs="Times New Roman"/>
          <w:color w:val="000000" w:themeColor="text1"/>
          <w:sz w:val="24"/>
          <w:szCs w:val="24"/>
          <w:lang w:eastAsia="it-IT"/>
        </w:rPr>
        <w:t>S.p.A</w:t>
      </w:r>
      <w:proofErr w:type="spellEnd"/>
      <w:r w:rsidRPr="00F56356">
        <w:rPr>
          <w:rFonts w:ascii="Times New Roman" w:eastAsia="Times New Roman" w:hAnsi="Times New Roman" w:cs="Times New Roman"/>
          <w:color w:val="000000" w:themeColor="text1"/>
          <w:sz w:val="24"/>
          <w:szCs w:val="24"/>
          <w:lang w:eastAsia="it-IT"/>
        </w:rPr>
        <w:t xml:space="preserve"> nell’esercizio finanziario 2022;</w:t>
      </w:r>
    </w:p>
    <w:p w14:paraId="1CD297E0"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d) per i capitoli 214 – </w:t>
      </w:r>
      <w:r w:rsidRPr="00F56356">
        <w:rPr>
          <w:rFonts w:ascii="Times New Roman" w:eastAsia="Times New Roman" w:hAnsi="Times New Roman" w:cs="Times New Roman"/>
          <w:i/>
          <w:sz w:val="24"/>
          <w:szCs w:val="24"/>
          <w:lang w:eastAsia="it-IT"/>
        </w:rPr>
        <w:t>Servizi di natura tecnica e assistenza qualificata per il coordinamento delle attività di ricostruzione e sviluppo del cratere aquilano</w:t>
      </w:r>
      <w:r w:rsidRPr="00F56356">
        <w:rPr>
          <w:rFonts w:ascii="Times New Roman" w:eastAsia="Times New Roman" w:hAnsi="Times New Roman" w:cs="Times New Roman"/>
          <w:sz w:val="24"/>
          <w:szCs w:val="24"/>
          <w:lang w:eastAsia="it-IT"/>
        </w:rPr>
        <w:t xml:space="preserve"> - e 634 – </w:t>
      </w:r>
      <w:r w:rsidRPr="00F56356">
        <w:rPr>
          <w:rFonts w:ascii="Times New Roman" w:eastAsia="Times New Roman" w:hAnsi="Times New Roman" w:cs="Times New Roman"/>
          <w:i/>
          <w:sz w:val="24"/>
          <w:szCs w:val="24"/>
          <w:lang w:eastAsia="it-IT"/>
        </w:rPr>
        <w:t xml:space="preserve">Somme da destinare all’implementazione del sistema  di monitoraggio finanziario di cui all’art. 176, comma 3, </w:t>
      </w:r>
      <w:proofErr w:type="spellStart"/>
      <w:r w:rsidRPr="00F56356">
        <w:rPr>
          <w:rFonts w:ascii="Times New Roman" w:eastAsia="Times New Roman" w:hAnsi="Times New Roman" w:cs="Times New Roman"/>
          <w:i/>
          <w:sz w:val="24"/>
          <w:szCs w:val="24"/>
          <w:lang w:eastAsia="it-IT"/>
        </w:rPr>
        <w:t>lett.e</w:t>
      </w:r>
      <w:proofErr w:type="spellEnd"/>
      <w:r w:rsidRPr="00F56356">
        <w:rPr>
          <w:rFonts w:ascii="Times New Roman" w:eastAsia="Times New Roman" w:hAnsi="Times New Roman" w:cs="Times New Roman"/>
          <w:i/>
          <w:sz w:val="24"/>
          <w:szCs w:val="24"/>
          <w:lang w:eastAsia="it-IT"/>
        </w:rPr>
        <w:t xml:space="preserve">) del d.lgs. n. 163/2006 e all’art. 36, comma 4, del </w:t>
      </w:r>
      <w:proofErr w:type="spellStart"/>
      <w:r w:rsidRPr="00F56356">
        <w:rPr>
          <w:rFonts w:ascii="Times New Roman" w:eastAsia="Times New Roman" w:hAnsi="Times New Roman" w:cs="Times New Roman"/>
          <w:i/>
          <w:sz w:val="24"/>
          <w:szCs w:val="24"/>
          <w:lang w:eastAsia="it-IT"/>
        </w:rPr>
        <w:t>d.l.</w:t>
      </w:r>
      <w:proofErr w:type="spellEnd"/>
      <w:r w:rsidRPr="00F56356">
        <w:rPr>
          <w:rFonts w:ascii="Times New Roman" w:eastAsia="Times New Roman" w:hAnsi="Times New Roman" w:cs="Times New Roman"/>
          <w:i/>
          <w:sz w:val="24"/>
          <w:szCs w:val="24"/>
          <w:lang w:eastAsia="it-IT"/>
        </w:rPr>
        <w:t xml:space="preserve"> n.90/2014</w:t>
      </w:r>
      <w:r w:rsidRPr="00F56356">
        <w:rPr>
          <w:rFonts w:ascii="Times New Roman" w:eastAsia="Times New Roman" w:hAnsi="Times New Roman" w:cs="Times New Roman"/>
          <w:sz w:val="24"/>
          <w:szCs w:val="24"/>
          <w:lang w:eastAsia="it-IT"/>
        </w:rPr>
        <w:t xml:space="preserve"> - non sono stati individuati target attesi per gli indicatori finanziari, in quanto i relativi stanziamenti sono stati iscritti nel corso dell’esercizio finanziario 2022, determinando l’impossibilità di effettuare la programmazione d’impegno/spesa.</w:t>
      </w:r>
    </w:p>
    <w:p w14:paraId="56193BB9"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Si evidenzia, inoltre, che: </w:t>
      </w:r>
    </w:p>
    <w:p w14:paraId="21150FC3"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a) per il capitolo 632 – </w:t>
      </w:r>
      <w:r w:rsidRPr="00F56356">
        <w:rPr>
          <w:rFonts w:ascii="Times New Roman" w:eastAsia="Times New Roman" w:hAnsi="Times New Roman" w:cs="Times New Roman"/>
          <w:i/>
          <w:sz w:val="24"/>
          <w:szCs w:val="24"/>
          <w:lang w:eastAsia="it-IT"/>
        </w:rPr>
        <w:t>Fondo per la costituzione e il funzionamento di unità tecniche di supporto alla programmazione, alla valutazione ed al monitoraggio degli investimenti pubblici,</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non è stato </w:t>
      </w:r>
      <w:r w:rsidRPr="00F56356">
        <w:rPr>
          <w:rFonts w:ascii="Times New Roman" w:eastAsia="Times New Roman" w:hAnsi="Times New Roman" w:cs="Times New Roman"/>
          <w:color w:val="000000" w:themeColor="text1"/>
          <w:sz w:val="24"/>
          <w:szCs w:val="24"/>
          <w:lang w:eastAsia="it-IT"/>
        </w:rPr>
        <w:lastRenderedPageBreak/>
        <w:t xml:space="preserve">possibile procedere all’impegno </w:t>
      </w:r>
      <w:r w:rsidRPr="00F56356">
        <w:rPr>
          <w:rFonts w:ascii="Times New Roman" w:eastAsia="Times New Roman" w:hAnsi="Times New Roman" w:cs="Times New Roman"/>
          <w:sz w:val="24"/>
          <w:szCs w:val="24"/>
          <w:lang w:eastAsia="it-IT"/>
        </w:rPr>
        <w:t xml:space="preserve">a causa della mancata pubblicazione della delibera CIPESS di riparto del Fondo avente ad oggetto le risorse destinate alle Amministrazioni centrali e regionali per attività connesse alla valutazione degli investimenti pubblici (Nuclei di valutazione e verifica degli investimenti pubblici, NUVV), oltre che per le strutture del Dipartimento dedicate al sistema di monitoraggio degli investimenti pubblici “MIP/CUP”. La delibera in argomento, n. 61/2022, è stata assunta in data 27 dicembre 2022 ed è stata trasmessa in data 13 febbraio 2023 alla Corte dei conti. In relazione alla capacità di smaltimento residui, si rappresenta che la stessa è stata inferiore rispetto al preventivato, in quanto le relative fatture non sono pervenute entro i termini. Relativamente all’unica fattura pervenuta della Società Invitalia, non è stato possibile procedere alla liquidazione nel corso dell’esercizio finanziario 2022, in quanto l’iter di acquisizione della documentazione propedeutica alla liquidazione si è concluso successivamente alla scadenza prevista per l’emissione dei mandati di pagamento. </w:t>
      </w:r>
    </w:p>
    <w:p w14:paraId="400A605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8"/>
          <w:szCs w:val="18"/>
          <w:lang w:eastAsia="it-IT"/>
        </w:rPr>
      </w:pPr>
    </w:p>
    <w:p w14:paraId="691FB64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8"/>
          <w:szCs w:val="18"/>
          <w:lang w:eastAsia="it-IT"/>
        </w:rPr>
      </w:pPr>
    </w:p>
    <w:p w14:paraId="00A0FAF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2020-2022:</w:t>
      </w:r>
    </w:p>
    <w:p w14:paraId="3AC7C306" w14:textId="77777777" w:rsidR="00F56356" w:rsidRPr="00F56356" w:rsidRDefault="00F56356" w:rsidP="00F56356">
      <w:pPr>
        <w:spacing w:after="0" w:line="360" w:lineRule="auto"/>
        <w:jc w:val="center"/>
        <w:rPr>
          <w:rFonts w:ascii="Times New Roman" w:eastAsia="Times New Roman" w:hAnsi="Times New Roman" w:cs="Times New Roman"/>
          <w:noProof/>
          <w:color w:val="FF0000"/>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6E11CAFC" wp14:editId="3BA5089A">
            <wp:extent cx="3156369" cy="308360"/>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00772" cy="332237"/>
                    </a:xfrm>
                    <a:prstGeom prst="rect">
                      <a:avLst/>
                    </a:prstGeom>
                    <a:noFill/>
                    <a:ln>
                      <a:noFill/>
                    </a:ln>
                  </pic:spPr>
                </pic:pic>
              </a:graphicData>
            </a:graphic>
          </wp:inline>
        </w:drawing>
      </w:r>
    </w:p>
    <w:p w14:paraId="1C917DFF" w14:textId="77777777" w:rsidR="00F56356" w:rsidRPr="00F56356" w:rsidRDefault="00F56356" w:rsidP="00F56356">
      <w:pPr>
        <w:spacing w:after="0" w:line="360" w:lineRule="auto"/>
        <w:jc w:val="center"/>
        <w:rPr>
          <w:rFonts w:ascii="Times New Roman" w:eastAsia="Times New Roman" w:hAnsi="Times New Roman" w:cs="Times New Roman"/>
          <w:noProof/>
          <w:color w:val="FF0000"/>
          <w:sz w:val="24"/>
          <w:szCs w:val="24"/>
          <w:lang w:eastAsia="it-IT"/>
        </w:rPr>
      </w:pPr>
      <w:r w:rsidRPr="00F56356">
        <w:rPr>
          <w:rFonts w:ascii="Times New Roman" w:eastAsia="Times New Roman" w:hAnsi="Times New Roman" w:cs="Times New Roman"/>
          <w:noProof/>
          <w:color w:val="FF0000"/>
          <w:sz w:val="24"/>
          <w:szCs w:val="24"/>
          <w:lang w:eastAsia="it-IT"/>
        </w:rPr>
        <w:drawing>
          <wp:inline distT="0" distB="0" distL="0" distR="0" wp14:anchorId="4547DAE1" wp14:editId="70A4C8E5">
            <wp:extent cx="3235198" cy="1931203"/>
            <wp:effectExtent l="0" t="0" r="381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258147" cy="1944902"/>
                    </a:xfrm>
                    <a:prstGeom prst="rect">
                      <a:avLst/>
                    </a:prstGeom>
                    <a:noFill/>
                  </pic:spPr>
                </pic:pic>
              </a:graphicData>
            </a:graphic>
          </wp:inline>
        </w:drawing>
      </w:r>
    </w:p>
    <w:p w14:paraId="149B6326"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28377588"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72A4BC3E"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34D68E8F"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44D94923" w14:textId="6A41EA78" w:rsid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7DCCE571" w14:textId="388B16D0"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4AF6FFA8" w14:textId="00BA9E8F"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12619537" w14:textId="44A61A7A"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335281D7" w14:textId="7F4BEA38"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1E6573BC" w14:textId="3515C3D9"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1F07196D" w14:textId="6E6729E9"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06BFBC25" w14:textId="04A18B85"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44722A02" w14:textId="6AC26D82" w:rsidR="0043213C"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3FF00BD0" w14:textId="77777777" w:rsidR="0043213C" w:rsidRPr="00F56356" w:rsidRDefault="0043213C"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5ED79576"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0F8DB03A"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49AE6B2D"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4352697A" w14:textId="77777777" w:rsidR="00F56356" w:rsidRPr="00F56356" w:rsidRDefault="00F56356" w:rsidP="00F56356">
      <w:pPr>
        <w:autoSpaceDE w:val="0"/>
        <w:autoSpaceDN w:val="0"/>
        <w:adjustRightInd w:val="0"/>
        <w:spacing w:after="0" w:line="360" w:lineRule="auto"/>
        <w:ind w:right="-284"/>
        <w:jc w:val="center"/>
        <w:rPr>
          <w:rFonts w:ascii="Times New Roman" w:eastAsia="Times New Roman" w:hAnsi="Times New Roman" w:cs="Times New Roman"/>
          <w:sz w:val="12"/>
          <w:szCs w:val="24"/>
          <w:lang w:eastAsia="it-IT"/>
        </w:rPr>
      </w:pPr>
    </w:p>
    <w:p w14:paraId="4BA535C7"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Nella Tabella sottostante è indicata la ripartizione delle risorse relative a interventi per destinatari finali, comprensive delle risorse relative ai residui passivi perenti </w:t>
      </w:r>
      <w:proofErr w:type="spellStart"/>
      <w:r w:rsidRPr="00F56356">
        <w:rPr>
          <w:rFonts w:ascii="Times New Roman" w:eastAsia="Times New Roman" w:hAnsi="Times New Roman" w:cs="Times New Roman"/>
          <w:sz w:val="24"/>
          <w:szCs w:val="24"/>
          <w:lang w:eastAsia="it-IT"/>
        </w:rPr>
        <w:t>reiscritti</w:t>
      </w:r>
      <w:proofErr w:type="spellEnd"/>
      <w:r w:rsidRPr="00F56356">
        <w:rPr>
          <w:rFonts w:ascii="Times New Roman" w:eastAsia="Times New Roman" w:hAnsi="Times New Roman" w:cs="Times New Roman"/>
          <w:sz w:val="24"/>
          <w:szCs w:val="24"/>
          <w:lang w:eastAsia="it-IT"/>
        </w:rPr>
        <w:t>:</w:t>
      </w:r>
    </w:p>
    <w:p w14:paraId="1C0CDF93"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04320" behindDoc="1" locked="0" layoutInCell="1" allowOverlap="1" wp14:anchorId="7CBBED41" wp14:editId="5089BE63">
            <wp:simplePos x="0" y="0"/>
            <wp:positionH relativeFrom="margin">
              <wp:align>right</wp:align>
            </wp:positionH>
            <wp:positionV relativeFrom="paragraph">
              <wp:posOffset>262255</wp:posOffset>
            </wp:positionV>
            <wp:extent cx="5848350" cy="1786890"/>
            <wp:effectExtent l="0" t="0" r="0" b="3810"/>
            <wp:wrapTight wrapText="bothSides">
              <wp:wrapPolygon edited="0">
                <wp:start x="0" y="0"/>
                <wp:lineTo x="0" y="19574"/>
                <wp:lineTo x="633" y="21416"/>
                <wp:lineTo x="19630" y="21416"/>
                <wp:lineTo x="21530" y="19574"/>
                <wp:lineTo x="21530" y="19113"/>
                <wp:lineTo x="19630" y="18422"/>
                <wp:lineTo x="19630" y="14738"/>
                <wp:lineTo x="19982" y="14738"/>
                <wp:lineTo x="21530" y="11744"/>
                <wp:lineTo x="21530" y="0"/>
                <wp:lineTo x="0" y="0"/>
              </wp:wrapPolygon>
            </wp:wrapTight>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48350" cy="1786890"/>
                    </a:xfrm>
                    <a:prstGeom prst="rect">
                      <a:avLst/>
                    </a:prstGeom>
                    <a:noFill/>
                    <a:ln>
                      <a:noFill/>
                    </a:ln>
                  </pic:spPr>
                </pic:pic>
              </a:graphicData>
            </a:graphic>
            <wp14:sizeRelH relativeFrom="margin">
              <wp14:pctWidth>0</wp14:pctWidth>
            </wp14:sizeRelH>
          </wp:anchor>
        </w:drawing>
      </w:r>
    </w:p>
    <w:p w14:paraId="34E9BA6F"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05A1F85D"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31C1B891"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6FD24FAA"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7247276A"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p>
    <w:p w14:paraId="2EBFF4AF"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151ABC10" w14:textId="77777777" w:rsidR="00F56356" w:rsidRPr="00F56356" w:rsidRDefault="00F56356" w:rsidP="00F56356">
      <w:pPr>
        <w:spacing w:after="0" w:line="360" w:lineRule="auto"/>
        <w:jc w:val="both"/>
        <w:rPr>
          <w:rFonts w:ascii="Times New Roman" w:eastAsia="Times New Roman" w:hAnsi="Times New Roman" w:cs="Times New Roman"/>
          <w:sz w:val="24"/>
          <w:szCs w:val="24"/>
          <w:lang w:eastAsia="it-IT"/>
        </w:rPr>
      </w:pPr>
    </w:p>
    <w:p w14:paraId="3DAD6729" w14:textId="77777777" w:rsidR="00F56356" w:rsidRPr="00F56356" w:rsidRDefault="00F56356" w:rsidP="00F56356">
      <w:pPr>
        <w:tabs>
          <w:tab w:val="left" w:pos="0"/>
        </w:tabs>
        <w:spacing w:after="120" w:line="360" w:lineRule="auto"/>
        <w:jc w:val="both"/>
        <w:rPr>
          <w:rFonts w:ascii="Times New Roman" w:eastAsia="Times New Roman" w:hAnsi="Times New Roman" w:cs="Times New Roman"/>
          <w:color w:val="FF0000"/>
          <w:sz w:val="24"/>
          <w:szCs w:val="24"/>
          <w:lang w:eastAsia="it-IT"/>
        </w:rPr>
      </w:pPr>
    </w:p>
    <w:p w14:paraId="405B7652" w14:textId="77777777" w:rsidR="00F56356" w:rsidRPr="00F56356" w:rsidRDefault="00F56356" w:rsidP="00F56356">
      <w:pPr>
        <w:tabs>
          <w:tab w:val="left" w:pos="0"/>
        </w:tabs>
        <w:spacing w:after="120" w:line="360" w:lineRule="auto"/>
        <w:jc w:val="both"/>
        <w:rPr>
          <w:rFonts w:ascii="Times New Roman" w:eastAsia="Times New Roman" w:hAnsi="Times New Roman" w:cs="Times New Roman"/>
          <w:color w:val="FF0000"/>
          <w:sz w:val="24"/>
          <w:szCs w:val="24"/>
          <w:lang w:eastAsia="it-IT"/>
        </w:rPr>
      </w:pPr>
    </w:p>
    <w:p w14:paraId="0FD70D3F" w14:textId="77777777" w:rsidR="00F56356" w:rsidRPr="00F56356" w:rsidRDefault="00F56356" w:rsidP="00F56356">
      <w:pPr>
        <w:tabs>
          <w:tab w:val="left" w:pos="0"/>
        </w:tabs>
        <w:spacing w:after="120" w:line="360" w:lineRule="auto"/>
        <w:jc w:val="both"/>
        <w:rPr>
          <w:rFonts w:ascii="Times New Roman" w:eastAsia="Times New Roman" w:hAnsi="Times New Roman" w:cs="Times New Roman"/>
          <w:color w:val="FF0000"/>
          <w:sz w:val="24"/>
          <w:szCs w:val="24"/>
          <w:lang w:eastAsia="it-IT"/>
        </w:rPr>
      </w:pPr>
    </w:p>
    <w:p w14:paraId="4823DB1D"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299CE57"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018D9B2D"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086D056"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EF3358E"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35A646A"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0DCAEDCF"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D11D3A0"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FF06828"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4D8A7DC"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6ACA154"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4F59CBD5" wp14:editId="42ED8B7C">
            <wp:extent cx="5936776" cy="8140700"/>
            <wp:effectExtent l="0" t="0" r="6985"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9287" cy="8144143"/>
                    </a:xfrm>
                    <a:prstGeom prst="rect">
                      <a:avLst/>
                    </a:prstGeom>
                    <a:noFill/>
                    <a:ln>
                      <a:noFill/>
                    </a:ln>
                  </pic:spPr>
                </pic:pic>
              </a:graphicData>
            </a:graphic>
          </wp:inline>
        </w:drawing>
      </w:r>
    </w:p>
    <w:p w14:paraId="17B5D77A" w14:textId="77777777" w:rsidR="00F56356" w:rsidRPr="00F56356" w:rsidRDefault="00F56356" w:rsidP="00F56356">
      <w:pPr>
        <w:spacing w:after="0" w:line="360" w:lineRule="auto"/>
        <w:ind w:left="284"/>
        <w:rPr>
          <w:rFonts w:ascii="Times New Roman" w:eastAsia="Times New Roman" w:hAnsi="Times New Roman" w:cs="Times New Roman"/>
          <w:b/>
          <w:color w:val="000000" w:themeColor="text1"/>
          <w:sz w:val="24"/>
          <w:szCs w:val="24"/>
          <w:lang w:eastAsia="it-IT"/>
        </w:rPr>
      </w:pPr>
    </w:p>
    <w:p w14:paraId="3618337F" w14:textId="77777777" w:rsidR="00F56356" w:rsidRPr="00F56356" w:rsidRDefault="00F56356" w:rsidP="00F56356">
      <w:pPr>
        <w:spacing w:after="0" w:line="360" w:lineRule="auto"/>
        <w:ind w:left="284"/>
        <w:rPr>
          <w:rFonts w:ascii="Times New Roman" w:eastAsia="Times New Roman" w:hAnsi="Times New Roman" w:cs="Times New Roman"/>
          <w:b/>
          <w:color w:val="000000" w:themeColor="text1"/>
          <w:sz w:val="24"/>
          <w:szCs w:val="24"/>
          <w:lang w:eastAsia="it-IT"/>
        </w:rPr>
      </w:pPr>
    </w:p>
    <w:p w14:paraId="597C5040" w14:textId="77777777" w:rsidR="00F56356" w:rsidRPr="00F56356" w:rsidRDefault="00F56356" w:rsidP="00F56356">
      <w:pPr>
        <w:spacing w:after="0" w:line="360" w:lineRule="auto"/>
        <w:ind w:left="284"/>
        <w:rPr>
          <w:rFonts w:ascii="Times New Roman" w:eastAsia="Times New Roman" w:hAnsi="Times New Roman" w:cs="Times New Roman"/>
          <w:b/>
          <w:color w:val="000000" w:themeColor="text1"/>
          <w:sz w:val="24"/>
          <w:szCs w:val="24"/>
          <w:lang w:eastAsia="it-IT"/>
        </w:rPr>
      </w:pPr>
    </w:p>
    <w:p w14:paraId="111F7B2C" w14:textId="77777777" w:rsidR="00F56356" w:rsidRPr="00F56356" w:rsidRDefault="00F56356" w:rsidP="00F56356">
      <w:pPr>
        <w:spacing w:after="0" w:line="360" w:lineRule="auto"/>
        <w:ind w:left="284"/>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CDR 12 “Innovazione tecnologica e trasformazione digitale”</w:t>
      </w:r>
    </w:p>
    <w:p w14:paraId="7FC50B3E" w14:textId="77777777" w:rsidR="00F56356" w:rsidRPr="00F56356" w:rsidRDefault="00F56356" w:rsidP="00F56356">
      <w:pPr>
        <w:spacing w:after="0" w:line="360" w:lineRule="auto"/>
        <w:ind w:left="284"/>
        <w:rPr>
          <w:rFonts w:ascii="Times New Roman" w:eastAsia="Times New Roman" w:hAnsi="Times New Roman" w:cs="Times New Roman"/>
          <w:b/>
          <w:color w:val="000000" w:themeColor="text1"/>
          <w:sz w:val="6"/>
          <w:szCs w:val="24"/>
          <w:lang w:eastAsia="it-IT"/>
        </w:rPr>
      </w:pPr>
    </w:p>
    <w:p w14:paraId="454D3592"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4"/>
          <w:szCs w:val="24"/>
          <w:lang w:eastAsia="it-IT"/>
        </w:rPr>
      </w:pPr>
    </w:p>
    <w:p w14:paraId="3E0CF92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12C03D1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 xml:space="preserve">Presidenza del Consiglio dei ministri </w:t>
      </w:r>
    </w:p>
    <w:p w14:paraId="73F3897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6"/>
          <w:szCs w:val="6"/>
          <w:lang w:eastAsia="it-IT"/>
        </w:rPr>
      </w:pPr>
    </w:p>
    <w:p w14:paraId="60EDA7B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17 - </w:t>
      </w:r>
      <w:r w:rsidRPr="00F56356">
        <w:rPr>
          <w:rFonts w:ascii="Times New Roman" w:eastAsia="Times New Roman" w:hAnsi="Times New Roman" w:cs="Times New Roman"/>
          <w:color w:val="000000" w:themeColor="text1"/>
          <w:sz w:val="24"/>
          <w:szCs w:val="24"/>
          <w:lang w:eastAsia="it-IT"/>
        </w:rPr>
        <w:t>Ricerca e innovazione</w:t>
      </w:r>
    </w:p>
    <w:p w14:paraId="18472F1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17.15 - </w:t>
      </w:r>
      <w:r w:rsidRPr="00F56356">
        <w:rPr>
          <w:rFonts w:ascii="Times New Roman" w:eastAsia="Times New Roman" w:hAnsi="Times New Roman" w:cs="Times New Roman"/>
          <w:color w:val="000000" w:themeColor="text1"/>
          <w:sz w:val="24"/>
          <w:szCs w:val="24"/>
          <w:lang w:eastAsia="it-IT"/>
        </w:rPr>
        <w:t>Ricerca di base e applicata</w:t>
      </w:r>
    </w:p>
    <w:p w14:paraId="7DE6F7A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6"/>
          <w:szCs w:val="6"/>
          <w:lang w:eastAsia="it-IT"/>
        </w:rPr>
      </w:pPr>
    </w:p>
    <w:p w14:paraId="20B86BA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bCs/>
          <w:color w:val="000000" w:themeColor="text1"/>
          <w:sz w:val="24"/>
          <w:szCs w:val="24"/>
          <w:lang w:eastAsia="it-IT"/>
        </w:rPr>
        <w:t>Diritti</w:t>
      </w:r>
      <w:r w:rsidRPr="00F56356">
        <w:rPr>
          <w:rFonts w:ascii="Times New Roman" w:eastAsia="Times New Roman" w:hAnsi="Times New Roman" w:cs="Times New Roman"/>
          <w:color w:val="000000" w:themeColor="text1"/>
          <w:sz w:val="24"/>
          <w:szCs w:val="24"/>
          <w:lang w:eastAsia="it-IT"/>
        </w:rPr>
        <w:t xml:space="preserve"> sociali, politiche sociali e famiglia</w:t>
      </w:r>
    </w:p>
    <w:p w14:paraId="5E06F4B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w:t>
      </w:r>
      <w:r w:rsidRPr="00F56356">
        <w:rPr>
          <w:rFonts w:ascii="Times New Roman" w:eastAsia="Times New Roman" w:hAnsi="Times New Roman" w:cs="Times New Roman"/>
          <w:color w:val="000000" w:themeColor="text1"/>
          <w:sz w:val="24"/>
          <w:szCs w:val="24"/>
          <w:lang w:eastAsia="it-IT"/>
        </w:rPr>
        <w:t>- Famiglia, pari opportunità e situazioni</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di disagio</w:t>
      </w:r>
    </w:p>
    <w:p w14:paraId="4BE6941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6"/>
          <w:szCs w:val="6"/>
          <w:lang w:eastAsia="it-IT"/>
        </w:rPr>
      </w:pPr>
    </w:p>
    <w:p w14:paraId="67CB925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32 – </w:t>
      </w:r>
      <w:r w:rsidRPr="00F56356">
        <w:rPr>
          <w:rFonts w:ascii="Times New Roman" w:eastAsia="Times New Roman" w:hAnsi="Times New Roman" w:cs="Times New Roman"/>
          <w:color w:val="000000" w:themeColor="text1"/>
          <w:sz w:val="24"/>
          <w:szCs w:val="24"/>
          <w:lang w:eastAsia="it-IT"/>
        </w:rPr>
        <w:t>Servizi istituzionali e generali delle amministrazioni pubbliche</w:t>
      </w:r>
    </w:p>
    <w:p w14:paraId="07B8F91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32.4 – </w:t>
      </w:r>
      <w:r w:rsidRPr="00F56356">
        <w:rPr>
          <w:rFonts w:ascii="Times New Roman" w:eastAsia="Times New Roman" w:hAnsi="Times New Roman" w:cs="Times New Roman"/>
          <w:color w:val="000000" w:themeColor="text1"/>
          <w:sz w:val="24"/>
          <w:szCs w:val="24"/>
          <w:lang w:eastAsia="it-IT"/>
        </w:rPr>
        <w:t>Servizi generali delle strutture pubbliche preposte ad attività formative e ad altre attività trasversali per le pubbliche amministrazioni</w:t>
      </w:r>
    </w:p>
    <w:p w14:paraId="5E3945D1"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8"/>
          <w:szCs w:val="28"/>
          <w:lang w:eastAsia="it-IT"/>
        </w:rPr>
      </w:pPr>
    </w:p>
    <w:p w14:paraId="563847EE"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6"/>
          <w:szCs w:val="6"/>
          <w:lang w:eastAsia="it-IT"/>
        </w:rPr>
      </w:pPr>
    </w:p>
    <w:p w14:paraId="482C499B" w14:textId="77777777" w:rsidR="00F56356" w:rsidRPr="00F56356" w:rsidRDefault="00F56356"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i/>
          <w:color w:val="000000" w:themeColor="text1"/>
          <w:sz w:val="24"/>
          <w:szCs w:val="24"/>
          <w:lang w:eastAsia="it-IT"/>
        </w:rPr>
        <w:t>1.  Mission</w:t>
      </w:r>
    </w:p>
    <w:p w14:paraId="66109879"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Il Centro di responsabilità 12 “Innovazione tecnologica e trasformazione digitale” è la struttura di supporto al Presidente per la promozione e il coordinamento delle azioni del Governo finalizzate alla definizione di una strategia unitaria in materia di trasformazione digitale e di modernizzazione del Paese attraverso le tecnologie digitali. Con decreto del Presidente del Consiglio dei ministri 19 giugno 2019, di modifica del decreto del Presidente del Consiglio dei ministri 1° ottobre 2012 recante “Ordinamento delle Strutture generali della Presidenza del Consiglio dei ministri”, è stato istituito il Dipartimento per la trasformazione digitale per dare attuazione alle direttive del Presidente in materia e per assicurare il coordinamento e l’esecuzione dei programmi di trasformazione digitale. Per tali finalità il Dipartimento fornisce supporto al Presidente per l’esercizio delle funzioni di cui all’</w:t>
      </w:r>
      <w:hyperlink r:id="rId159" w:anchor="id=10LX0000871084ART20,__m=document" w:history="1">
        <w:r w:rsidRPr="00F56356">
          <w:rPr>
            <w:rFonts w:ascii="Times New Roman" w:eastAsia="Times New Roman" w:hAnsi="Times New Roman" w:cs="Times New Roman"/>
            <w:i/>
            <w:iCs/>
            <w:color w:val="000000" w:themeColor="text1"/>
            <w:sz w:val="24"/>
            <w:szCs w:val="24"/>
            <w:lang w:eastAsia="it-IT"/>
          </w:rPr>
          <w:t>articolo 8, commi 1-ter e 3, del decreto-legge 14 dicembre 2018, n. 135</w:t>
        </w:r>
      </w:hyperlink>
      <w:r w:rsidRPr="00F56356">
        <w:rPr>
          <w:rFonts w:ascii="Times New Roman" w:eastAsia="Times New Roman" w:hAnsi="Times New Roman" w:cs="Times New Roman"/>
          <w:color w:val="000000" w:themeColor="text1"/>
          <w:sz w:val="24"/>
          <w:szCs w:val="24"/>
          <w:lang w:eastAsia="it-IT"/>
        </w:rPr>
        <w:t>, per l’esercizio della vigilanza sulla società di cui all’</w:t>
      </w:r>
      <w:r w:rsidRPr="00F56356">
        <w:rPr>
          <w:rFonts w:ascii="Times New Roman" w:eastAsia="Times New Roman" w:hAnsi="Times New Roman" w:cs="Times New Roman"/>
          <w:sz w:val="24"/>
          <w:szCs w:val="24"/>
          <w:lang w:eastAsia="it-IT"/>
        </w:rPr>
        <w:t>articolo 8, comma 2, del decreto-legge 14 dicembre 2018, n. 135</w:t>
      </w:r>
      <w:r w:rsidRPr="00F56356">
        <w:rPr>
          <w:rFonts w:ascii="Times New Roman" w:eastAsia="Times New Roman" w:hAnsi="Times New Roman" w:cs="Times New Roman"/>
          <w:color w:val="000000" w:themeColor="text1"/>
          <w:sz w:val="24"/>
          <w:szCs w:val="24"/>
          <w:lang w:eastAsia="it-IT"/>
        </w:rPr>
        <w:t>, e per la partecipazione alle sedi istituzionali internazionali nelle quali si discute di innovazione tecnologica e agenda digitale europea. A decorrere dal 1° gennaio 2020 il Dipartimento per la trasformazione digitale, ai sensi del richiamato articolo 8, comma 1-ter, del decreto-legge n. 135/2018, è subentrato nello svolgimento delle funzioni e dei compiti dell’ex Struttura Commissariale per l’attuazione dell’Agenda digitale, che ha cessato la propria attività il 31 dicembre 2019. A</w:t>
      </w:r>
      <w:r w:rsidRPr="00F56356">
        <w:rPr>
          <w:rFonts w:ascii="Times New Roman" w:eastAsia="Times New Roman" w:hAnsi="Times New Roman" w:cs="Times New Roman"/>
          <w:sz w:val="24"/>
          <w:szCs w:val="24"/>
          <w:lang w:eastAsia="it-IT"/>
        </w:rPr>
        <w:t xml:space="preserve"> supporto del Comitato interministeriale per la transizione digitale (</w:t>
      </w:r>
      <w:proofErr w:type="spellStart"/>
      <w:r w:rsidRPr="00F56356">
        <w:rPr>
          <w:rFonts w:ascii="Times New Roman" w:eastAsia="Times New Roman" w:hAnsi="Times New Roman" w:cs="Times New Roman"/>
          <w:sz w:val="24"/>
          <w:szCs w:val="24"/>
          <w:lang w:eastAsia="it-IT"/>
        </w:rPr>
        <w:t>CiTD</w:t>
      </w:r>
      <w:proofErr w:type="spellEnd"/>
      <w:r w:rsidRPr="00F56356">
        <w:rPr>
          <w:rFonts w:ascii="Times New Roman" w:eastAsia="Times New Roman" w:hAnsi="Times New Roman" w:cs="Times New Roman"/>
          <w:sz w:val="24"/>
          <w:szCs w:val="24"/>
          <w:lang w:eastAsia="it-IT"/>
        </w:rPr>
        <w:t xml:space="preserve">), istituito presso la Presidenza del Consiglio dei ministri, ai sensi del comma 2, dell’articolo 8 del decreto-legge 1° marzo 2021, n. 22, presso il Dipartimento è stata istituita una Segreteria tecnico-amministrativa, composta da esperti in possesso di specifica ed elevata competenza nello studio, sviluppo e gestione di processi di trasformazione tecnologica e digitale e da personale non </w:t>
      </w:r>
      <w:r w:rsidRPr="00F56356">
        <w:rPr>
          <w:rFonts w:ascii="Times New Roman" w:eastAsia="Times New Roman" w:hAnsi="Times New Roman" w:cs="Times New Roman"/>
          <w:sz w:val="24"/>
          <w:szCs w:val="24"/>
          <w:lang w:eastAsia="it-IT"/>
        </w:rPr>
        <w:lastRenderedPageBreak/>
        <w:t>dirigenziale proveniente da altre amministrazioni. Con decreto del Presidente del Consiglio dei ministri 30 luglio 2021 è stata, inoltre, istituita, ai sensi dell’articolo 8, comma 1, del decreto-legge n. 77 del 2021, nell’ambito del Dipartimento, l’Unità di Missione (UDM) per il “PNRR” con i compiti di coordinamento, attuazione, monitoraggio e rendicontazione dei milestone e dei target degli interventi del Piano nazionale per la ripresa e la resilienza (“PNRR”) di competenza del DTD.</w:t>
      </w:r>
    </w:p>
    <w:p w14:paraId="25B639A4" w14:textId="77777777" w:rsidR="00F56356" w:rsidRPr="00F56356" w:rsidRDefault="00F56356" w:rsidP="00F56356">
      <w:pPr>
        <w:spacing w:after="0" w:line="360" w:lineRule="auto"/>
        <w:ind w:left="284"/>
        <w:jc w:val="both"/>
        <w:rPr>
          <w:rFonts w:ascii="Times New Roman" w:eastAsia="Times New Roman" w:hAnsi="Times New Roman" w:cs="Times New Roman"/>
          <w:sz w:val="6"/>
          <w:szCs w:val="16"/>
          <w:lang w:eastAsia="it-IT"/>
        </w:rPr>
      </w:pPr>
    </w:p>
    <w:p w14:paraId="5ACE20B1" w14:textId="77777777" w:rsidR="00F56356" w:rsidRPr="00F56356" w:rsidRDefault="00F56356" w:rsidP="00F56356">
      <w:pPr>
        <w:spacing w:after="0" w:line="360" w:lineRule="auto"/>
        <w:ind w:left="284"/>
        <w:jc w:val="both"/>
        <w:rPr>
          <w:rFonts w:ascii="Times New Roman" w:hAnsi="Times New Roman" w:cs="Times New Roman"/>
          <w:b/>
          <w:color w:val="000000" w:themeColor="text1"/>
          <w:sz w:val="24"/>
          <w:szCs w:val="24"/>
          <w:lang w:eastAsia="it-IT"/>
        </w:rPr>
      </w:pPr>
      <w:r w:rsidRPr="00F56356">
        <w:rPr>
          <w:rFonts w:ascii="Times New Roman" w:eastAsia="Times New Roman" w:hAnsi="Times New Roman" w:cs="Times New Roman"/>
          <w:b/>
          <w:sz w:val="24"/>
          <w:szCs w:val="24"/>
          <w:lang w:eastAsia="it-IT"/>
        </w:rPr>
        <w:t>2.</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b/>
          <w:iCs/>
          <w:color w:val="000000" w:themeColor="text1"/>
          <w:sz w:val="24"/>
          <w:szCs w:val="24"/>
          <w:lang w:eastAsia="it-IT"/>
        </w:rPr>
        <w:t>Ricostruzione flussi finanziari e aspetti rilevanti della gestione</w:t>
      </w:r>
      <w:r w:rsidRPr="00F56356">
        <w:rPr>
          <w:rFonts w:ascii="Times New Roman" w:eastAsia="Times New Roman" w:hAnsi="Times New Roman" w:cs="Times New Roman"/>
          <w:b/>
          <w:color w:val="000000" w:themeColor="text1"/>
          <w:sz w:val="24"/>
          <w:szCs w:val="24"/>
          <w:lang w:eastAsia="it-IT"/>
        </w:rPr>
        <w:t xml:space="preserve"> </w:t>
      </w:r>
    </w:p>
    <w:p w14:paraId="30C91785" w14:textId="77777777" w:rsidR="00F56356" w:rsidRPr="00F56356" w:rsidRDefault="00F56356" w:rsidP="00F56356">
      <w:pPr>
        <w:tabs>
          <w:tab w:val="left" w:pos="0"/>
        </w:tabs>
        <w:spacing w:after="0" w:line="360" w:lineRule="auto"/>
        <w:ind w:left="284"/>
        <w:jc w:val="both"/>
        <w:rPr>
          <w:rFonts w:ascii="Times New Roman" w:eastAsia="Times New Roman" w:hAnsi="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385.274.577,84,</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di cui di cui euro 264.575,98 riferiti a reiscrizioni di residui passivi perenti ed euro 96.155.413,86 riferiti a riassegnazioni dall’avanzo di esercizio 2021.</w:t>
      </w:r>
    </w:p>
    <w:p w14:paraId="2D980E6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114.019.204,47, con economia di bilancio di euro 271.255.373,37.</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Il totale dei pagamenti è pari a euro 67.533.985,40, con un indice di capacità di pagamento (rapporto pagato/impegnato) che si attesta al 59,23 per cento.</w:t>
      </w:r>
    </w:p>
    <w:p w14:paraId="3D6D4B0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24E41B9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E026337"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2E0CFD79" wp14:editId="4364D43D">
            <wp:extent cx="3803650" cy="641307"/>
            <wp:effectExtent l="0" t="0" r="0" b="698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04744" cy="658352"/>
                    </a:xfrm>
                    <a:prstGeom prst="rect">
                      <a:avLst/>
                    </a:prstGeom>
                    <a:noFill/>
                    <a:ln>
                      <a:noFill/>
                    </a:ln>
                  </pic:spPr>
                </pic:pic>
              </a:graphicData>
            </a:graphic>
          </wp:inline>
        </w:drawing>
      </w:r>
    </w:p>
    <w:p w14:paraId="1CA51125"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12"/>
          <w:szCs w:val="24"/>
          <w:lang w:eastAsia="it-IT"/>
        </w:rPr>
      </w:pPr>
    </w:p>
    <w:p w14:paraId="038F7BF5"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0E2EF45E" wp14:editId="3A616336">
            <wp:extent cx="3865372" cy="1975858"/>
            <wp:effectExtent l="0" t="0" r="1905" b="571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98457" cy="1992770"/>
                    </a:xfrm>
                    <a:prstGeom prst="rect">
                      <a:avLst/>
                    </a:prstGeom>
                    <a:noFill/>
                  </pic:spPr>
                </pic:pic>
              </a:graphicData>
            </a:graphic>
          </wp:inline>
        </w:drawing>
      </w:r>
    </w:p>
    <w:p w14:paraId="32930C5E"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4E4E4BFD"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p>
    <w:p w14:paraId="2CC5FA95" w14:textId="77777777" w:rsidR="00F56356" w:rsidRPr="00F56356" w:rsidRDefault="00F56356" w:rsidP="00F56356">
      <w:pPr>
        <w:spacing w:after="0" w:line="360" w:lineRule="auto"/>
        <w:ind w:left="142"/>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57.578.330,41. Su questi sono stati effettuati pagamenti per euro 18.645.554,30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e realizzate economie per euro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649.890,94.</w:t>
      </w:r>
    </w:p>
    <w:p w14:paraId="422AFF85" w14:textId="77777777" w:rsidR="00F56356" w:rsidRPr="00F56356" w:rsidRDefault="00F56356" w:rsidP="00F56356">
      <w:pPr>
        <w:spacing w:after="0" w:line="360" w:lineRule="auto"/>
        <w:ind w:left="142"/>
        <w:jc w:val="both"/>
        <w:rPr>
          <w:rFonts w:ascii="Times New Roman" w:eastAsia="Times New Roman" w:hAnsi="Times New Roman" w:cs="Times New Roman"/>
          <w:color w:val="000000" w:themeColor="text1"/>
          <w:sz w:val="24"/>
          <w:szCs w:val="24"/>
          <w:lang w:eastAsia="it-IT"/>
        </w:rPr>
      </w:pPr>
    </w:p>
    <w:p w14:paraId="06995F8C" w14:textId="77020081" w:rsidR="00F56356" w:rsidRDefault="00F56356" w:rsidP="00F56356">
      <w:pPr>
        <w:spacing w:after="0" w:line="360" w:lineRule="auto"/>
        <w:ind w:left="142"/>
        <w:jc w:val="both"/>
        <w:rPr>
          <w:rFonts w:ascii="Times New Roman" w:eastAsia="Times New Roman" w:hAnsi="Times New Roman" w:cs="Times New Roman"/>
          <w:color w:val="000000" w:themeColor="text1"/>
          <w:sz w:val="24"/>
          <w:szCs w:val="24"/>
          <w:lang w:eastAsia="it-IT"/>
        </w:rPr>
      </w:pPr>
    </w:p>
    <w:p w14:paraId="22DA3BD1" w14:textId="29358A95" w:rsidR="0043213C" w:rsidRDefault="0043213C" w:rsidP="00F56356">
      <w:pPr>
        <w:spacing w:after="0" w:line="360" w:lineRule="auto"/>
        <w:ind w:left="142"/>
        <w:jc w:val="both"/>
        <w:rPr>
          <w:rFonts w:ascii="Times New Roman" w:eastAsia="Times New Roman" w:hAnsi="Times New Roman" w:cs="Times New Roman"/>
          <w:color w:val="000000" w:themeColor="text1"/>
          <w:sz w:val="24"/>
          <w:szCs w:val="24"/>
          <w:lang w:eastAsia="it-IT"/>
        </w:rPr>
      </w:pPr>
    </w:p>
    <w:p w14:paraId="06123ED0" w14:textId="05006C63" w:rsidR="0043213C" w:rsidRDefault="0043213C" w:rsidP="00F56356">
      <w:pPr>
        <w:spacing w:after="0" w:line="360" w:lineRule="auto"/>
        <w:ind w:left="142"/>
        <w:jc w:val="both"/>
        <w:rPr>
          <w:rFonts w:ascii="Times New Roman" w:eastAsia="Times New Roman" w:hAnsi="Times New Roman" w:cs="Times New Roman"/>
          <w:color w:val="000000" w:themeColor="text1"/>
          <w:sz w:val="24"/>
          <w:szCs w:val="24"/>
          <w:lang w:eastAsia="it-IT"/>
        </w:rPr>
      </w:pPr>
    </w:p>
    <w:p w14:paraId="7C4AB5A1" w14:textId="77777777" w:rsidR="0043213C" w:rsidRPr="00F56356" w:rsidRDefault="0043213C" w:rsidP="00F56356">
      <w:pPr>
        <w:spacing w:after="0" w:line="360" w:lineRule="auto"/>
        <w:ind w:left="142"/>
        <w:jc w:val="both"/>
        <w:rPr>
          <w:rFonts w:ascii="Times New Roman" w:eastAsia="Times New Roman" w:hAnsi="Times New Roman" w:cs="Times New Roman"/>
          <w:color w:val="000000" w:themeColor="text1"/>
          <w:sz w:val="24"/>
          <w:szCs w:val="24"/>
          <w:lang w:eastAsia="it-IT"/>
        </w:rPr>
      </w:pPr>
    </w:p>
    <w:p w14:paraId="44F32340" w14:textId="77777777" w:rsidR="00F56356" w:rsidRPr="00F56356" w:rsidRDefault="00F56356" w:rsidP="00F56356">
      <w:pPr>
        <w:spacing w:after="0" w:line="360" w:lineRule="auto"/>
        <w:ind w:left="142"/>
        <w:jc w:val="both"/>
        <w:rPr>
          <w:rFonts w:ascii="Times New Roman" w:eastAsia="Times New Roman" w:hAnsi="Times New Roman" w:cs="Times New Roman"/>
          <w:color w:val="000000" w:themeColor="text1"/>
          <w:sz w:val="24"/>
          <w:szCs w:val="24"/>
          <w:lang w:eastAsia="it-IT"/>
        </w:rPr>
      </w:pPr>
    </w:p>
    <w:p w14:paraId="3E9C1A3A"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lastRenderedPageBreak/>
        <w:t>Indicatori di bilancio</w:t>
      </w:r>
    </w:p>
    <w:p w14:paraId="05A703F5"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4527D6C6" wp14:editId="246740B3">
            <wp:extent cx="4340860" cy="1266825"/>
            <wp:effectExtent l="0" t="0" r="2540" b="9525"/>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40860" cy="1266825"/>
                    </a:xfrm>
                    <a:prstGeom prst="rect">
                      <a:avLst/>
                    </a:prstGeom>
                    <a:noFill/>
                    <a:ln>
                      <a:noFill/>
                    </a:ln>
                  </pic:spPr>
                </pic:pic>
              </a:graphicData>
            </a:graphic>
          </wp:inline>
        </w:drawing>
      </w:r>
    </w:p>
    <w:p w14:paraId="734F7C28"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p>
    <w:p w14:paraId="4B5B068A"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2829D38B" wp14:editId="67A53E08">
            <wp:extent cx="4340860" cy="1718945"/>
            <wp:effectExtent l="0" t="0" r="254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40860" cy="1718945"/>
                    </a:xfrm>
                    <a:prstGeom prst="rect">
                      <a:avLst/>
                    </a:prstGeom>
                    <a:noFill/>
                    <a:ln>
                      <a:noFill/>
                    </a:ln>
                  </pic:spPr>
                </pic:pic>
              </a:graphicData>
            </a:graphic>
          </wp:inline>
        </w:drawing>
      </w:r>
    </w:p>
    <w:p w14:paraId="7E16A748"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461C7C7A" w14:textId="77777777" w:rsidR="00F56356" w:rsidRPr="00F56356" w:rsidRDefault="00F56356" w:rsidP="00F56356">
      <w:pPr>
        <w:spacing w:after="0" w:line="360" w:lineRule="auto"/>
        <w:ind w:left="284"/>
        <w:jc w:val="center"/>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49499E22" wp14:editId="28446767">
            <wp:extent cx="4340860" cy="1575435"/>
            <wp:effectExtent l="0" t="0" r="2540" b="5715"/>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40860" cy="1575435"/>
                    </a:xfrm>
                    <a:prstGeom prst="rect">
                      <a:avLst/>
                    </a:prstGeom>
                    <a:noFill/>
                    <a:ln>
                      <a:noFill/>
                    </a:ln>
                  </pic:spPr>
                </pic:pic>
              </a:graphicData>
            </a:graphic>
          </wp:inline>
        </w:drawing>
      </w:r>
    </w:p>
    <w:p w14:paraId="4DE02FF5"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2C9CA97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pari a euro </w:t>
      </w:r>
      <w:r w:rsidRPr="00F56356">
        <w:rPr>
          <w:rFonts w:ascii="Times New Roman" w:eastAsia="Times New Roman" w:hAnsi="Times New Roman" w:cs="Times New Roman"/>
          <w:color w:val="000000" w:themeColor="text1"/>
          <w:sz w:val="24"/>
          <w:szCs w:val="24"/>
          <w:lang w:eastAsia="it-IT"/>
        </w:rPr>
        <w:t xml:space="preserve">114.019.204,47 </w:t>
      </w:r>
      <w:r w:rsidRPr="00F56356">
        <w:rPr>
          <w:rFonts w:ascii="Times New Roman" w:eastAsia="Times New Roman" w:hAnsi="Times New Roman" w:cs="Times New Roman"/>
          <w:sz w:val="24"/>
          <w:szCs w:val="24"/>
          <w:lang w:eastAsia="it-IT"/>
        </w:rPr>
        <w:t xml:space="preserve">sono state destinate per euro 12.665.333,89 </w:t>
      </w:r>
      <w:r w:rsidRPr="00F56356">
        <w:rPr>
          <w:rFonts w:ascii="Times New Roman" w:eastAsia="Times New Roman" w:hAnsi="Times New Roman" w:cs="Times New Roman"/>
          <w:color w:val="000000" w:themeColor="text1"/>
          <w:sz w:val="24"/>
          <w:szCs w:val="24"/>
          <w:lang w:eastAsia="it-IT"/>
        </w:rPr>
        <w:t>al funzionamento, per euro 3.958.756,04 agli interventi e per euro 97.395.114,54 alle spese in conto capitale.</w:t>
      </w:r>
    </w:p>
    <w:p w14:paraId="111DFD72"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p>
    <w:p w14:paraId="4690AF4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 xml:space="preserve">Le risorse impegnate per il funzionamento di euro 12.665.333,89 </w:t>
      </w:r>
      <w:r w:rsidRPr="00F56356">
        <w:rPr>
          <w:rFonts w:ascii="Times New Roman" w:eastAsia="Times New Roman" w:hAnsi="Times New Roman" w:cs="Times New Roman"/>
          <w:color w:val="000000" w:themeColor="text1"/>
          <w:sz w:val="24"/>
          <w:szCs w:val="24"/>
          <w:lang w:eastAsia="it-IT"/>
        </w:rPr>
        <w:t xml:space="preserve">sono state destinate al rimborso delle spese per missioni del personale assegnato al Dipartimento per la trasformazione digitale, ivi comprese quelle del Ministro/Autorità politica delegata, nonché al pagamento della diaria di soggiorno a Roma per Ministri e Sottosegretari non parlamentari e al rimborso delle spese di viaggio sostenute dal Ministro per gli spostamenti tra Roma e la località di residenza (cap. 140) e alle spese per la realizzazione delle azioni e dei progetti connessi all’attuazione degli obiettivi dell’Agenda digitale (cap. 501).  </w:t>
      </w:r>
    </w:p>
    <w:p w14:paraId="37A0AE07"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p>
    <w:p w14:paraId="2A4112B8"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08416" behindDoc="1" locked="0" layoutInCell="1" allowOverlap="1" wp14:anchorId="633FA738" wp14:editId="1BFEF027">
            <wp:simplePos x="0" y="0"/>
            <wp:positionH relativeFrom="margin">
              <wp:align>right</wp:align>
            </wp:positionH>
            <wp:positionV relativeFrom="paragraph">
              <wp:posOffset>262255</wp:posOffset>
            </wp:positionV>
            <wp:extent cx="5924550" cy="1868805"/>
            <wp:effectExtent l="0" t="0" r="0" b="0"/>
            <wp:wrapTight wrapText="bothSides">
              <wp:wrapPolygon edited="0">
                <wp:start x="0" y="0"/>
                <wp:lineTo x="0" y="21358"/>
                <wp:lineTo x="11807" y="21358"/>
                <wp:lineTo x="16391" y="21138"/>
                <wp:lineTo x="21531" y="19376"/>
                <wp:lineTo x="21531" y="6165"/>
                <wp:lineTo x="21183" y="3523"/>
                <wp:lineTo x="21461" y="3523"/>
                <wp:lineTo x="21531" y="2642"/>
                <wp:lineTo x="21531" y="0"/>
                <wp:lineTo x="0" y="0"/>
              </wp:wrapPolygon>
            </wp:wrapTight>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24550" cy="18688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1D77DDF5"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p>
    <w:p w14:paraId="1A8AD3ED"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p>
    <w:p w14:paraId="5AF0EF5B"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2.2.2 </w:t>
      </w:r>
      <w:r w:rsidRPr="00F56356">
        <w:rPr>
          <w:rFonts w:ascii="Times New Roman" w:eastAsia="Times New Roman" w:hAnsi="Times New Roman" w:cs="Times New Roman"/>
          <w:sz w:val="24"/>
          <w:szCs w:val="24"/>
          <w:lang w:eastAsia="it-IT"/>
        </w:rPr>
        <w:t>Le risorse impegnate per gli interventi pari a euro 3.958.756,04</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sz w:val="24"/>
          <w:szCs w:val="24"/>
          <w:lang w:eastAsia="it-IT"/>
        </w:rPr>
        <w:t>sono state destinate:</w:t>
      </w:r>
    </w:p>
    <w:p w14:paraId="681B621A"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 xml:space="preserve">“Somma destinata allo sviluppo della piattaforma digitale per le notifiche della pubblica amministrazione” </w:t>
      </w:r>
      <w:r w:rsidRPr="00F56356">
        <w:rPr>
          <w:rFonts w:ascii="Times New Roman" w:eastAsia="Times New Roman" w:hAnsi="Times New Roman" w:cs="Times New Roman"/>
          <w:color w:val="000000" w:themeColor="text1"/>
          <w:sz w:val="24"/>
          <w:szCs w:val="24"/>
          <w:lang w:eastAsia="it-IT"/>
        </w:rPr>
        <w:t>(cap. 505)</w:t>
      </w:r>
    </w:p>
    <w:p w14:paraId="7D8F7CC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euro 1.999.976,50, in attuazione di quanto disposto dall’articolo 1, commi 402 e 403, della legge 27 dicembre 2019, n. 160, alla prosecuzione dello sviluppo, attraverso 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(società di cui all’articolo 8, comma 2, del decreto-legge n. 135/2018), di una piattaforma digitale finalizzata allo scopo di rendere più semplice, efficiente, sicura ed economica la notificazione con valore legale di atti, provvedimenti, avvisi e comunicazioni della pubblica amministrazione, con risparmio per la spesa pubblica e minori oneri per i cittadini. In particolare, l’importo è relativo all’imputazione finanziaria per l’anno 2022 del valore complessivo del contratto, con durata pluriennale, sottoscritto in data 21 settembre 2021 con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per l’effettuazione delle ulteriori attività, ad integrazione, completamento e/o continuazione di quelle già realizzate, per lo sviluppo della cd. Piattaforma per le notifiche digitali della PA (Progetto “PND”);</w:t>
      </w:r>
    </w:p>
    <w:p w14:paraId="04B399E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w:t>
      </w:r>
      <w:r w:rsidRPr="00F56356">
        <w:rPr>
          <w:rFonts w:ascii="Times New Roman" w:eastAsia="Times New Roman" w:hAnsi="Times New Roman" w:cs="Times New Roman"/>
          <w:i/>
          <w:color w:val="000000" w:themeColor="text1"/>
          <w:sz w:val="24"/>
          <w:szCs w:val="24"/>
          <w:lang w:eastAsia="it-IT"/>
        </w:rPr>
        <w:t xml:space="preserve">“Spese per la promozione e la gestione di progetti di innovazione tecnologica e di trasformazione digitale, tra cui la piattaforma di allerta Covid-19 nonché gli altri progetti previsti dall’art. 8, comma 1-ter del DL n.135 del 2018” </w:t>
      </w:r>
      <w:r w:rsidRPr="00F56356">
        <w:rPr>
          <w:rFonts w:ascii="Times New Roman" w:eastAsia="Times New Roman" w:hAnsi="Times New Roman" w:cs="Times New Roman"/>
          <w:color w:val="000000" w:themeColor="text1"/>
          <w:sz w:val="24"/>
          <w:szCs w:val="24"/>
          <w:lang w:eastAsia="it-IT"/>
        </w:rPr>
        <w:t xml:space="preserve">(cap. 508) </w:t>
      </w:r>
    </w:p>
    <w:p w14:paraId="79239C5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1.858.870,08 allo sviluppo e al funzionamento dell’App “IMMUNI”</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(articolo 1, comma 621, della legge n. 178/2020), mediante la sottoscrizione in data 7 marzo 2022 di un’apposita Convenzione con il Ministero della salute e la società SOGEI - Società Generale d’Informatica </w:t>
      </w:r>
      <w:proofErr w:type="gramStart"/>
      <w:r w:rsidRPr="00F56356">
        <w:rPr>
          <w:rFonts w:ascii="Times New Roman" w:eastAsia="Times New Roman" w:hAnsi="Times New Roman" w:cs="Times New Roman"/>
          <w:color w:val="000000" w:themeColor="text1"/>
          <w:sz w:val="24"/>
          <w:szCs w:val="24"/>
          <w:lang w:eastAsia="it-IT"/>
        </w:rPr>
        <w:t>S.p.A..</w:t>
      </w:r>
      <w:proofErr w:type="gramEnd"/>
      <w:r w:rsidRPr="00F56356">
        <w:rPr>
          <w:rFonts w:ascii="Times New Roman" w:eastAsia="Times New Roman" w:hAnsi="Times New Roman" w:cs="Times New Roman"/>
          <w:color w:val="000000" w:themeColor="text1"/>
          <w:sz w:val="24"/>
          <w:szCs w:val="24"/>
          <w:lang w:eastAsia="it-IT"/>
        </w:rPr>
        <w:t xml:space="preserve"> La suddetta App “IMMUNI” è stata implementata con nuove funzionalità, come quella del “Green Pass”, ai sensi dell’articolo 42, comma 2, del decreto-legge n. 77 del 2021, convertito, con modificazioni, dalla legge n. 108 del 2021. A decorrere dal 31 dicembre 2022, l’App “IMMUNI” non è più attiva, essendo stata dismessa, dalla medesima data, la Piattaforma unica nazionale per la gestione del Sistema di allerta Covid-19;</w:t>
      </w:r>
    </w:p>
    <w:p w14:paraId="6632822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c) </w:t>
      </w:r>
      <w:r w:rsidRPr="00F56356">
        <w:rPr>
          <w:rFonts w:ascii="Times New Roman" w:eastAsia="Times New Roman" w:hAnsi="Times New Roman" w:cs="Times New Roman"/>
          <w:i/>
          <w:color w:val="000000" w:themeColor="text1"/>
          <w:sz w:val="24"/>
          <w:szCs w:val="24"/>
          <w:lang w:eastAsia="it-IT"/>
        </w:rPr>
        <w:t xml:space="preserve">“Fondo destinato alla realizzazione di una piattaforma di raccolta delle firme digitali per l’inclusione delle persone con disabilità alla vita democratica” </w:t>
      </w:r>
      <w:r w:rsidRPr="00F56356">
        <w:rPr>
          <w:rFonts w:ascii="Times New Roman" w:eastAsia="Times New Roman" w:hAnsi="Times New Roman" w:cs="Times New Roman"/>
          <w:color w:val="000000" w:themeColor="text1"/>
          <w:sz w:val="24"/>
          <w:szCs w:val="24"/>
          <w:lang w:eastAsia="it-IT"/>
        </w:rPr>
        <w:t>(cap. 513)</w:t>
      </w:r>
    </w:p>
    <w:p w14:paraId="3AB7575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99.909,46 alla realizzazione della piattaforma di raccolta delle firme digitali da utilizzare per gli adempimenti di cui all’articolo 8 della legge 25 maggio 1970, n. 352, con l’obiettivo di contribuire alla rimozione degli ostacoli che impediscono la piena inclusione sociale delle persone con disabilità e di garantire loro il diritto alla partecipazione democratica, ai sensi dall’articolo 1, commi 341 e 342, della legge n. 178 del 2020. Per dare attuazione alla disposizione normativa contenuta all’articolo 1, comma 341, della legge n. 178 del 2020, è stato sottoscritto,</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in data 18 ottobre 2021,</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con SOGEI S.p.A. un Accordo esecutivo per l’acquisizione dei servizi per la realizzazione e conduzione della piattaforma “Referendum Digitale”, con una durata prevista fino al 30 ottobre 2022. L’importo impegnato corrisponde all’imputazione finanziaria per l’anno 2022 del valore complessivo del suddetto Accordo esecutivo.  </w:t>
      </w:r>
    </w:p>
    <w:p w14:paraId="269EDAF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0"/>
          <w:szCs w:val="10"/>
          <w:lang w:eastAsia="it-IT"/>
        </w:rPr>
      </w:pPr>
    </w:p>
    <w:p w14:paraId="3743AD5F" w14:textId="77777777" w:rsidR="00F56356" w:rsidRPr="00F56356" w:rsidRDefault="00F56356" w:rsidP="00F56356">
      <w:pPr>
        <w:tabs>
          <w:tab w:val="left" w:pos="426"/>
        </w:tabs>
        <w:spacing w:after="0" w:line="360" w:lineRule="auto"/>
        <w:ind w:left="284"/>
        <w:jc w:val="center"/>
        <w:rPr>
          <w:rFonts w:ascii="Times New Roman" w:eastAsia="Times New Roman" w:hAnsi="Times New Roman" w:cs="Times New Roman"/>
          <w:color w:val="000000" w:themeColor="text1"/>
          <w:sz w:val="4"/>
          <w:szCs w:val="24"/>
          <w:lang w:eastAsia="it-IT"/>
        </w:rPr>
      </w:pPr>
      <w:r w:rsidRPr="00F56356">
        <w:rPr>
          <w:rFonts w:ascii="Times New Roman" w:eastAsia="Times New Roman" w:hAnsi="Times New Roman" w:cs="Times New Roman"/>
          <w:sz w:val="24"/>
          <w:szCs w:val="24"/>
          <w:lang w:eastAsia="it-IT"/>
        </w:rPr>
        <w:t>Indicatori di bilancio</w:t>
      </w:r>
      <w:r w:rsidRPr="00F56356">
        <w:rPr>
          <w:rFonts w:ascii="Times New Roman" w:eastAsia="Times New Roman" w:hAnsi="Times New Roman" w:cs="Times New Roman"/>
          <w:noProof/>
          <w:sz w:val="24"/>
          <w:szCs w:val="24"/>
          <w:lang w:eastAsia="it-IT"/>
        </w:rPr>
        <w:drawing>
          <wp:anchor distT="0" distB="0" distL="114300" distR="114300" simplePos="0" relativeHeight="251705344" behindDoc="1" locked="0" layoutInCell="1" allowOverlap="1" wp14:anchorId="1E4FD5B9" wp14:editId="77C6CD9B">
            <wp:simplePos x="0" y="0"/>
            <wp:positionH relativeFrom="margin">
              <wp:align>right</wp:align>
            </wp:positionH>
            <wp:positionV relativeFrom="paragraph">
              <wp:posOffset>197485</wp:posOffset>
            </wp:positionV>
            <wp:extent cx="5934075" cy="1722120"/>
            <wp:effectExtent l="0" t="0" r="9525" b="0"/>
            <wp:wrapTight wrapText="bothSides">
              <wp:wrapPolygon edited="0">
                <wp:start x="0" y="0"/>
                <wp:lineTo x="0" y="21265"/>
                <wp:lineTo x="11788" y="21265"/>
                <wp:lineTo x="11788" y="19115"/>
                <wp:lineTo x="21565" y="19115"/>
                <wp:lineTo x="21565" y="6690"/>
                <wp:lineTo x="21219" y="3823"/>
                <wp:lineTo x="21496" y="3823"/>
                <wp:lineTo x="21565" y="2867"/>
                <wp:lineTo x="21565" y="0"/>
                <wp:lineTo x="0" y="0"/>
              </wp:wrapPolygon>
            </wp:wrapTight>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4075" cy="1722120"/>
                    </a:xfrm>
                    <a:prstGeom prst="rect">
                      <a:avLst/>
                    </a:prstGeom>
                    <a:noFill/>
                    <a:ln>
                      <a:noFill/>
                    </a:ln>
                  </pic:spPr>
                </pic:pic>
              </a:graphicData>
            </a:graphic>
            <wp14:sizeRelH relativeFrom="margin">
              <wp14:pctWidth>0</wp14:pctWidth>
            </wp14:sizeRelH>
          </wp:anchor>
        </w:drawing>
      </w:r>
    </w:p>
    <w:p w14:paraId="3A5ED55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4"/>
          <w:szCs w:val="24"/>
          <w:lang w:eastAsia="it-IT"/>
        </w:rPr>
      </w:pPr>
    </w:p>
    <w:p w14:paraId="632BAE3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6"/>
          <w:szCs w:val="16"/>
          <w:lang w:eastAsia="it-IT"/>
        </w:rPr>
      </w:pPr>
      <w:r w:rsidRPr="00F56356">
        <w:rPr>
          <w:rFonts w:ascii="Times New Roman" w:eastAsia="Times New Roman" w:hAnsi="Times New Roman" w:cs="Times New Roman"/>
          <w:color w:val="000000" w:themeColor="text1"/>
          <w:sz w:val="24"/>
          <w:szCs w:val="24"/>
          <w:lang w:eastAsia="it-IT"/>
        </w:rPr>
        <w:t xml:space="preserve"> </w:t>
      </w:r>
    </w:p>
    <w:p w14:paraId="1DC8647B" w14:textId="77777777" w:rsidR="00F56356" w:rsidRPr="00F56356" w:rsidRDefault="00F56356" w:rsidP="00F56356">
      <w:pPr>
        <w:spacing w:after="0" w:line="360" w:lineRule="auto"/>
        <w:ind w:left="284"/>
        <w:jc w:val="both"/>
        <w:rPr>
          <w:rFonts w:ascii="Times New Roman" w:eastAsia="Times New Roman" w:hAnsi="Times New Roman" w:cs="Times New Roman"/>
          <w:b/>
          <w:bCs/>
          <w:color w:val="000000" w:themeColor="text1"/>
          <w:sz w:val="24"/>
          <w:szCs w:val="24"/>
          <w:lang w:eastAsia="it-IT"/>
        </w:rPr>
      </w:pPr>
    </w:p>
    <w:p w14:paraId="2BC3820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2.2.3</w:t>
      </w:r>
      <w:r w:rsidRPr="00F56356">
        <w:rPr>
          <w:rFonts w:ascii="Times New Roman" w:eastAsia="Times New Roman" w:hAnsi="Times New Roman" w:cs="Times New Roman"/>
          <w:color w:val="000000" w:themeColor="text1"/>
          <w:sz w:val="24"/>
          <w:szCs w:val="24"/>
          <w:lang w:eastAsia="it-IT"/>
        </w:rPr>
        <w:t xml:space="preserve"> Le risorse impegnate per le spese in conto capitale pari a euro 97.395.114,54 sono state destinate:</w:t>
      </w:r>
    </w:p>
    <w:p w14:paraId="065F002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“Fondo per l’innovazione tecnologica e la digitalizzazione</w:t>
      </w:r>
      <w:r w:rsidRPr="00F56356">
        <w:rPr>
          <w:rFonts w:ascii="Times New Roman" w:eastAsia="Times New Roman" w:hAnsi="Times New Roman" w:cs="Times New Roman"/>
          <w:color w:val="000000" w:themeColor="text1"/>
          <w:sz w:val="24"/>
          <w:szCs w:val="24"/>
          <w:lang w:eastAsia="it-IT"/>
        </w:rPr>
        <w:t>” (cap. 920)</w:t>
      </w:r>
    </w:p>
    <w:p w14:paraId="0594F2CB"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euro 11.916.951,31, di cui:</w:t>
      </w:r>
    </w:p>
    <w:p w14:paraId="3E33127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808.660,36 all’attuazione del programma denominato “Sistema Integrato di Anagrafi” (“SIA”), per la definizione delle caratteristiche essenziali del programma, per il disegno dell’ecosistema delle anagrafi integrato e per il supporto specialistico per le attività di implementazione del servizio. Per la realizzazione della predetta iniziativa progettuale è stato sottoscritto, in data 17 marzo 2022, un Contratto esecutivo, in adesione all’Accordo Quadro Consip “Digital Transformation” Lotto 1 con il R.T.I. costituito da Accenture S.p.A. (mandataria), EY </w:t>
      </w:r>
      <w:proofErr w:type="spellStart"/>
      <w:r w:rsidRPr="00F56356">
        <w:rPr>
          <w:rFonts w:ascii="Times New Roman" w:eastAsia="Times New Roman" w:hAnsi="Times New Roman" w:cs="Times New Roman"/>
          <w:color w:val="000000" w:themeColor="text1"/>
          <w:sz w:val="24"/>
          <w:szCs w:val="24"/>
          <w:lang w:eastAsia="it-IT"/>
        </w:rPr>
        <w:t>Advisory</w:t>
      </w:r>
      <w:proofErr w:type="spellEnd"/>
      <w:r w:rsidRPr="00F56356">
        <w:rPr>
          <w:rFonts w:ascii="Times New Roman" w:eastAsia="Times New Roman" w:hAnsi="Times New Roman" w:cs="Times New Roman"/>
          <w:color w:val="000000" w:themeColor="text1"/>
          <w:sz w:val="24"/>
          <w:szCs w:val="24"/>
          <w:lang w:eastAsia="it-IT"/>
        </w:rPr>
        <w:t xml:space="preserve"> S.p.A. e Luiss Libera Università Internazionale degli Studi Sociali - Guido Carli, la cui durata è stata prevista in 5 mesi, con imputazione del relativo costo a valere sull’esercizio finanziario 2022 in applicazione della deroga al principio di impegno pluriennale a esigibilità contenuta </w:t>
      </w:r>
      <w:r w:rsidRPr="00F56356">
        <w:rPr>
          <w:rFonts w:ascii="Times New Roman" w:eastAsia="Times New Roman" w:hAnsi="Times New Roman" w:cs="Times New Roman"/>
          <w:color w:val="000000" w:themeColor="text1"/>
          <w:sz w:val="24"/>
          <w:szCs w:val="24"/>
          <w:lang w:eastAsia="it-IT"/>
        </w:rPr>
        <w:lastRenderedPageBreak/>
        <w:t>nell’articolo 19, comma 4, lett. c), del decreto del Presidente del Consiglio dei ministri 22 novembre 2010, recante il Regolamento di autonomia finanziaria e contabile della PCM;</w:t>
      </w:r>
    </w:p>
    <w:p w14:paraId="4857317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109.190,00 alla realizzazione, implementazione e gestione dell’Anagrafe nazionale della popolazione residente (“ANPR”) e, in particolare, alle attività di analisi, approfondimento e redazione di proposte di soluzioni riferite a quesiti e problematiche tecniche e organizzative connesse alla realizzazione della predetta anagrafe nazionale. Per la realizzazione delle richiamate attività è stato sottoscritto, in data 19 maggio 2022, un Contratto per l’acquisizione di servizi di supporto specialistico con l’Associazione nazionale degli Ufficiali di Stato Civile e d’Anagrafe (A.N.U.S.C.A.), la cui durata è stata prevista in 24 mesi;</w:t>
      </w:r>
    </w:p>
    <w:p w14:paraId="5411C02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1.999.946,00 allo sviluppo, gestione e manutenzione dell’App “IO” (punto di accesso telematico di cui all’articolo 64-bis del CAD). Ai fini dell’attuazione della predetta iniziativa progettuale è stato sottoscritto, in data 1° luglio 2022, un apposito Contratto con 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(società individuata per legge per la realizzazione delle attività di sviluppo del progetto “IO”), la cui durata è stata prevista fino al 31 dicembre 2022;</w:t>
      </w:r>
    </w:p>
    <w:p w14:paraId="48067AA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2.999.980,00 allo sviluppo, gestione, manutenzione, evoluzione e diffusione della Piattaforma Digitale Nazionale Dati (“PDND”), componente “</w:t>
      </w:r>
      <w:proofErr w:type="spellStart"/>
      <w:r w:rsidRPr="00F56356">
        <w:rPr>
          <w:rFonts w:ascii="Times New Roman" w:eastAsia="Times New Roman" w:hAnsi="Times New Roman" w:cs="Times New Roman"/>
          <w:color w:val="000000" w:themeColor="text1"/>
          <w:sz w:val="24"/>
          <w:szCs w:val="24"/>
          <w:lang w:eastAsia="it-IT"/>
        </w:rPr>
        <w:t>Datalake</w:t>
      </w:r>
      <w:proofErr w:type="spellEnd"/>
      <w:r w:rsidRPr="00F56356">
        <w:rPr>
          <w:rFonts w:ascii="Times New Roman" w:eastAsia="Times New Roman" w:hAnsi="Times New Roman" w:cs="Times New Roman"/>
          <w:color w:val="000000" w:themeColor="text1"/>
          <w:sz w:val="24"/>
          <w:szCs w:val="24"/>
          <w:lang w:eastAsia="it-IT"/>
        </w:rPr>
        <w:t xml:space="preserve">” (piattaforma di cui all’articolo 50-ter del CAD), attraverso la sottoscrizione, in data 1° luglio 2022, di un apposito Contratto con 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(società individuata per legge per la realizzazione delle attività di sviluppo del progetto “PDND”), la cui durata è stata prevista fino al 31 dicembre 2022; </w:t>
      </w:r>
    </w:p>
    <w:p w14:paraId="3B9C3F9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4.999.743,00 alla realizzazione di ulteriori sviluppi dell’App “IO” (punto di accesso telematico di cui all’articolo 64-bis del CAD), consistente nelle attività di evoluzione, scalabilità, cybersecurity e assistenza a Enti e cittadini. Per l’attuazione delle richiamate ulteriori attività di sviluppo dell’App “IO” è stato sottoscritto, in data 19 ottobre 2022, un apposito Contratto con 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la cui durata è stata prevista fino al 31 marzo 2023;</w:t>
      </w:r>
    </w:p>
    <w:p w14:paraId="7441804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999.431,95 all’acquisizione di un servizio di assistenza tecnica per la realizzazione delle attività necessarie alla piena attuazione e gestione delle azioni contenute nel Piano Strategico nazionale per l’innovazione “Italia 2025”, finalizzate all’attuazione della strategia per l’innovazione tecnologica e la digitalizzazione del settore pubblico e di eventuali altri progetti, in coerenza con l’evoluzione del Piano medesimo e dei suoi obiettivi, per quanto riguarda le iniziative di digitalizzazione del settore pubblico, l’attuazione dei progetti e le attività di diffusione e di raccordo con gli enti locali. Per il predetto servizio di assistenza tecnica è stata sottoscritta, in data 5 agosto 2022, una Convenzione con Invitalia S.p.A., la cui durata è stata fissata in 9 mesi;</w:t>
      </w:r>
    </w:p>
    <w:p w14:paraId="0FE291D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Fondo complementare PNRR - Tecnologie satellitari ed economia spaziale</w:t>
      </w:r>
      <w:r w:rsidRPr="00F56356">
        <w:rPr>
          <w:rFonts w:ascii="Times New Roman" w:eastAsia="Times New Roman" w:hAnsi="Times New Roman" w:cs="Times New Roman"/>
          <w:color w:val="000000" w:themeColor="text1"/>
          <w:sz w:val="24"/>
          <w:szCs w:val="24"/>
          <w:lang w:eastAsia="it-IT"/>
        </w:rPr>
        <w:t>” (cap. 926)</w:t>
      </w:r>
    </w:p>
    <w:p w14:paraId="02009BA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65.980.000,00, di cui:</w:t>
      </w:r>
    </w:p>
    <w:p w14:paraId="6C5F126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52.000.000,00 all’attuazione dei sub-investimenti “M1.C</w:t>
      </w:r>
      <w:proofErr w:type="gramStart"/>
      <w:r w:rsidRPr="00F56356">
        <w:rPr>
          <w:rFonts w:ascii="Times New Roman" w:eastAsia="Times New Roman" w:hAnsi="Times New Roman" w:cs="Times New Roman"/>
          <w:color w:val="000000" w:themeColor="text1"/>
          <w:sz w:val="24"/>
          <w:szCs w:val="24"/>
          <w:lang w:eastAsia="it-IT"/>
        </w:rPr>
        <w:t>2.I</w:t>
      </w:r>
      <w:proofErr w:type="gramEnd"/>
      <w:r w:rsidRPr="00F56356">
        <w:rPr>
          <w:rFonts w:ascii="Times New Roman" w:eastAsia="Times New Roman" w:hAnsi="Times New Roman" w:cs="Times New Roman"/>
          <w:color w:val="000000" w:themeColor="text1"/>
          <w:sz w:val="24"/>
          <w:szCs w:val="24"/>
          <w:lang w:eastAsia="it-IT"/>
        </w:rPr>
        <w:t xml:space="preserve">4.2 Osservazione della Terra” (46 milioni di euro) e “M1.C2.I4.4 Accesso allo Spazio (Sistemi di trasporto spaziale)” (6 milioni di euro), in relazione ai quali è stata sottoscritta, in data 10 giugno 2022, una Convenzione con la </w:t>
      </w:r>
      <w:proofErr w:type="spellStart"/>
      <w:r w:rsidRPr="00F56356">
        <w:rPr>
          <w:rFonts w:ascii="Times New Roman" w:eastAsia="Times New Roman" w:hAnsi="Times New Roman" w:cs="Times New Roman"/>
          <w:color w:val="000000" w:themeColor="text1"/>
          <w:sz w:val="24"/>
          <w:szCs w:val="24"/>
          <w:lang w:eastAsia="it-IT"/>
        </w:rPr>
        <w:t>European</w:t>
      </w:r>
      <w:proofErr w:type="spellEnd"/>
      <w:r w:rsidRPr="00F56356">
        <w:rPr>
          <w:rFonts w:ascii="Times New Roman" w:eastAsia="Times New Roman" w:hAnsi="Times New Roman" w:cs="Times New Roman"/>
          <w:color w:val="000000" w:themeColor="text1"/>
          <w:sz w:val="24"/>
          <w:szCs w:val="24"/>
          <w:lang w:eastAsia="it-IT"/>
        </w:rPr>
        <w:t xml:space="preserve"> Space Agency (ESA), in attuazione del decreto del Presidente del Consiglio dei ministri 18 febbraio 2022; </w:t>
      </w:r>
    </w:p>
    <w:p w14:paraId="1651EBF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10.000.000,00  a “Garantire il finanziamento di strumenti a supporto di aziende innovative operanti nell’industria Aerospaziale con particolare riguardo al supporto di un ecosistema di servizi e tecnologie basati su dati e infrastrutture di Osservazione della Terra”, per i quali è stata sottoscritta, in data 26 luglio 2022, una  Convenzione con Cassa Depositi e Prestiti Capital Venture SGR S.p.A., il cui valore complessivo per le annualità dal 2022 al 2025 ammonta a 90 milioni di euro, in attuazione del decreto del Presidente del Consiglio dei ministri 20 gennaio 2022;  </w:t>
      </w:r>
    </w:p>
    <w:p w14:paraId="5FD708F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3.980.000,00 alla realizzazione del progetto High </w:t>
      </w:r>
      <w:proofErr w:type="spellStart"/>
      <w:r w:rsidRPr="00F56356">
        <w:rPr>
          <w:rFonts w:ascii="Times New Roman" w:eastAsia="Times New Roman" w:hAnsi="Times New Roman" w:cs="Times New Roman"/>
          <w:color w:val="000000" w:themeColor="text1"/>
          <w:sz w:val="24"/>
          <w:szCs w:val="24"/>
          <w:lang w:eastAsia="it-IT"/>
        </w:rPr>
        <w:t>Thrust</w:t>
      </w:r>
      <w:proofErr w:type="spellEnd"/>
      <w:r w:rsidRPr="00F56356">
        <w:rPr>
          <w:rFonts w:ascii="Times New Roman" w:eastAsia="Times New Roman" w:hAnsi="Times New Roman" w:cs="Times New Roman"/>
          <w:color w:val="000000" w:themeColor="text1"/>
          <w:sz w:val="24"/>
          <w:szCs w:val="24"/>
          <w:lang w:eastAsia="it-IT"/>
        </w:rPr>
        <w:t xml:space="preserve"> Engine (HTE) per l’attuazione del sub-investimento M1.C2.I4.3 della Missione 1 - Componente 2 del PNRR, “Space </w:t>
      </w:r>
      <w:proofErr w:type="spellStart"/>
      <w:r w:rsidRPr="00F56356">
        <w:rPr>
          <w:rFonts w:ascii="Times New Roman" w:eastAsia="Times New Roman" w:hAnsi="Times New Roman" w:cs="Times New Roman"/>
          <w:color w:val="000000" w:themeColor="text1"/>
          <w:sz w:val="24"/>
          <w:szCs w:val="24"/>
          <w:lang w:eastAsia="it-IT"/>
        </w:rPr>
        <w:t>Factory</w:t>
      </w:r>
      <w:proofErr w:type="spellEnd"/>
      <w:r w:rsidRPr="00F56356">
        <w:rPr>
          <w:rFonts w:ascii="Times New Roman" w:eastAsia="Times New Roman" w:hAnsi="Times New Roman" w:cs="Times New Roman"/>
          <w:color w:val="000000" w:themeColor="text1"/>
          <w:sz w:val="24"/>
          <w:szCs w:val="24"/>
          <w:lang w:eastAsia="it-IT"/>
        </w:rPr>
        <w:t xml:space="preserve">” (relativo al programma Space Access e al progetto High </w:t>
      </w:r>
      <w:proofErr w:type="spellStart"/>
      <w:r w:rsidRPr="00F56356">
        <w:rPr>
          <w:rFonts w:ascii="Times New Roman" w:eastAsia="Times New Roman" w:hAnsi="Times New Roman" w:cs="Times New Roman"/>
          <w:color w:val="000000" w:themeColor="text1"/>
          <w:sz w:val="24"/>
          <w:szCs w:val="24"/>
          <w:lang w:eastAsia="it-IT"/>
        </w:rPr>
        <w:t>Thrust</w:t>
      </w:r>
      <w:proofErr w:type="spellEnd"/>
      <w:r w:rsidRPr="00F56356">
        <w:rPr>
          <w:rFonts w:ascii="Times New Roman" w:eastAsia="Times New Roman" w:hAnsi="Times New Roman" w:cs="Times New Roman"/>
          <w:color w:val="000000" w:themeColor="text1"/>
          <w:sz w:val="24"/>
          <w:szCs w:val="24"/>
          <w:lang w:eastAsia="it-IT"/>
        </w:rPr>
        <w:t xml:space="preserve"> Engine), con riferimento al quale è stata sottoscritta, in data 2 agosto 2022, una Convenzione con la </w:t>
      </w:r>
      <w:proofErr w:type="spellStart"/>
      <w:r w:rsidRPr="00F56356">
        <w:rPr>
          <w:rFonts w:ascii="Times New Roman" w:eastAsia="Times New Roman" w:hAnsi="Times New Roman" w:cs="Times New Roman"/>
          <w:color w:val="000000" w:themeColor="text1"/>
          <w:sz w:val="24"/>
          <w:szCs w:val="24"/>
          <w:lang w:eastAsia="it-IT"/>
        </w:rPr>
        <w:t>European</w:t>
      </w:r>
      <w:proofErr w:type="spellEnd"/>
      <w:r w:rsidRPr="00F56356">
        <w:rPr>
          <w:rFonts w:ascii="Times New Roman" w:eastAsia="Times New Roman" w:hAnsi="Times New Roman" w:cs="Times New Roman"/>
          <w:color w:val="000000" w:themeColor="text1"/>
          <w:sz w:val="24"/>
          <w:szCs w:val="24"/>
          <w:lang w:eastAsia="it-IT"/>
        </w:rPr>
        <w:t xml:space="preserve"> Space Agency (ESA), il cui importo complessivo ammonta per le annualità dal 2022 al 2026 a euro 64.000.000,00, in attuazione di quanto previsto dal decreto del Presidente del Consiglio dei ministri 27 gennaio 2022;</w:t>
      </w:r>
    </w:p>
    <w:p w14:paraId="57801DE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“Spese per la realizzazione delle azioni e dei progetti connessi all’attuazione degli obiettivi dell’Agenda digitale”</w:t>
      </w:r>
      <w:r w:rsidRPr="00F56356">
        <w:rPr>
          <w:rFonts w:ascii="Times New Roman" w:eastAsia="Times New Roman" w:hAnsi="Times New Roman" w:cs="Times New Roman"/>
          <w:color w:val="000000" w:themeColor="text1"/>
          <w:sz w:val="24"/>
          <w:szCs w:val="24"/>
          <w:lang w:eastAsia="it-IT"/>
        </w:rPr>
        <w:t xml:space="preserve"> (cap. 942) </w:t>
      </w:r>
    </w:p>
    <w:p w14:paraId="69084B3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1.529.613,22, di cui:</w:t>
      </w:r>
    </w:p>
    <w:p w14:paraId="7E3B239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126.880,00 all’acquisizione di servizi di assistenza legale in tema di procedure ad evidenza pubblica in relazione ai Piani di intervento del progetto “Strategia italiana per la banda ultra larga”, mediante contratto sottoscritto in data 5 maggio 2022 con lo Studio legale associato a </w:t>
      </w:r>
      <w:proofErr w:type="spellStart"/>
      <w:r w:rsidRPr="00F56356">
        <w:rPr>
          <w:rFonts w:ascii="Times New Roman" w:eastAsia="Times New Roman" w:hAnsi="Times New Roman" w:cs="Times New Roman"/>
          <w:color w:val="000000" w:themeColor="text1"/>
          <w:sz w:val="24"/>
          <w:szCs w:val="24"/>
          <w:lang w:eastAsia="it-IT"/>
        </w:rPr>
        <w:t>Freshfields</w:t>
      </w:r>
      <w:proofErr w:type="spellEnd"/>
      <w:r w:rsidRPr="00F56356">
        <w:rPr>
          <w:rFonts w:ascii="Times New Roman" w:eastAsia="Times New Roman" w:hAnsi="Times New Roman" w:cs="Times New Roman"/>
          <w:color w:val="000000" w:themeColor="text1"/>
          <w:sz w:val="24"/>
          <w:szCs w:val="24"/>
          <w:lang w:eastAsia="it-IT"/>
        </w:rPr>
        <w:t xml:space="preserve"> </w:t>
      </w:r>
      <w:proofErr w:type="spellStart"/>
      <w:r w:rsidRPr="00F56356">
        <w:rPr>
          <w:rFonts w:ascii="Times New Roman" w:eastAsia="Times New Roman" w:hAnsi="Times New Roman" w:cs="Times New Roman"/>
          <w:color w:val="000000" w:themeColor="text1"/>
          <w:sz w:val="24"/>
          <w:szCs w:val="24"/>
          <w:lang w:eastAsia="it-IT"/>
        </w:rPr>
        <w:t>Bruckhaus</w:t>
      </w:r>
      <w:proofErr w:type="spellEnd"/>
      <w:r w:rsidRPr="00F56356">
        <w:rPr>
          <w:rFonts w:ascii="Times New Roman" w:eastAsia="Times New Roman" w:hAnsi="Times New Roman" w:cs="Times New Roman"/>
          <w:color w:val="000000" w:themeColor="text1"/>
          <w:sz w:val="24"/>
          <w:szCs w:val="24"/>
          <w:lang w:eastAsia="it-IT"/>
        </w:rPr>
        <w:t xml:space="preserve"> </w:t>
      </w:r>
      <w:proofErr w:type="spellStart"/>
      <w:r w:rsidRPr="00F56356">
        <w:rPr>
          <w:rFonts w:ascii="Times New Roman" w:eastAsia="Times New Roman" w:hAnsi="Times New Roman" w:cs="Times New Roman"/>
          <w:color w:val="000000" w:themeColor="text1"/>
          <w:sz w:val="24"/>
          <w:szCs w:val="24"/>
          <w:lang w:eastAsia="it-IT"/>
        </w:rPr>
        <w:t>Deringer</w:t>
      </w:r>
      <w:proofErr w:type="spellEnd"/>
      <w:r w:rsidRPr="00F56356">
        <w:rPr>
          <w:rFonts w:ascii="Times New Roman" w:eastAsia="Times New Roman" w:hAnsi="Times New Roman" w:cs="Times New Roman"/>
          <w:color w:val="000000" w:themeColor="text1"/>
          <w:sz w:val="24"/>
          <w:szCs w:val="24"/>
          <w:lang w:eastAsia="it-IT"/>
        </w:rPr>
        <w:t xml:space="preserve"> LLP;</w:t>
      </w:r>
    </w:p>
    <w:p w14:paraId="3DD1868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168.848,00 al servizio di pianificazione ed esecuzione della valutazione di impatto dei regimi di aiuto di Stato relativi ai piani di intervento denominati “Italia a 1Giga” e “Italia 5G”, per il progetto “Strategia italiana per la banda ultra larga, mediante contratto con il Politecnico di Torino – Dipartimento di Ingegneria Gestionale e della Produzione, sottoscritto in data 16 giugno 2022;</w:t>
      </w:r>
    </w:p>
    <w:p w14:paraId="2A22390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73.200,00 all’acquisizione del servizio di supporto specialistico per attività di consulenza in ambito di formazione online e produzione di contenuti multimediali rivolti alla cittadinanza al fine di consentire il raggiungimento di competenze digitali di livello base e intermedio (Programma Repubblica Digitale, progetto ACCEDI – Ambiente per la Cittadinanza Consapevole attraverso l’Educazione Digitale), mediante  contratto con l’Università degli studi di Firenze, sottoscritto in data 27 ottobre 2022;</w:t>
      </w:r>
    </w:p>
    <w:p w14:paraId="7DF217B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1.160.685,33 all’implementazione del progetto relativo alla realizzazione dell’Anagrafe nazionale della popolazione residente (“ANPR”), relativo all’Accordo di collaborazione sottoscritto con il Ministero dell’interno in data 16 gennaio 2020 (III Accordo “ANPR”), atteso che l’impegno precedentemente assunto, in assenza della apposita richiesta di emissione da parte del Ministero, non è stato mantenuto in bilancio; </w:t>
      </w:r>
    </w:p>
    <w:p w14:paraId="4B85538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w:t>
      </w:r>
      <w:r w:rsidRPr="00F56356">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alla cittadinanza digitale provenienti dal Fondo complementare PNRR</w:t>
      </w:r>
      <w:r w:rsidRPr="00F56356">
        <w:rPr>
          <w:rFonts w:ascii="Times New Roman" w:eastAsia="Times New Roman" w:hAnsi="Times New Roman" w:cs="Times New Roman"/>
          <w:color w:val="000000" w:themeColor="text1"/>
          <w:sz w:val="24"/>
          <w:szCs w:val="24"/>
          <w:lang w:eastAsia="it-IT"/>
        </w:rPr>
        <w:t>” (cap. 948)</w:t>
      </w:r>
    </w:p>
    <w:p w14:paraId="54E124F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17.968.549,90 così destinati:</w:t>
      </w:r>
    </w:p>
    <w:p w14:paraId="5C55401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4.000.000,00 quale quota parte per il 2022 per il progetto “ID PAV”, una piattaforma che agevola, per tutte le pubbliche amministrazioni centrali o locali, la possibilità di erogare, in modo semplice e automatico, bonus statali, regionali o comunali a diverse categorie di cittadini (ad es. Residenti, ISEE sotto un certo livello, Giovani, Anziani, Neo genitori), mediante la Convenzione con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sottoscritta in data 22 dicembre 2022. L’uso di una piattaforma unica nazionale permette di rendere facile e accessibile l’erogazione dei vantaggi anche per le amministrazioni più piccole e meno digitali, evitando così di sviluppare, ogni volta, un meccanismo e un processo ad hoc. La necessità della piattaforma e i limiti di costo con cui operare sono stati definiti dall’articolo 28-bis del decreto-legge 6 novembre 2021, n. 152. La dotazione a disposizione del progetto è quantificata in un importo massimo di 5,5 milioni di euro a valere sul Piano Nazionale Complementare;</w:t>
      </w:r>
    </w:p>
    <w:p w14:paraId="4D89DE4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4.660.000,00 alla realizzazione del Sistema Gestione Deleghe (SGD) mediante Accordo con l’Istituto Poligrafico Zecca dello Stato (IPZS); in particolare, con decreto in data 28 luglio 2022 è stato approvato il suddetto Accordo per l’attuazione della Misura 1.4.4. “Rafforzamento dell’adozione delle piattaforme nazionali di Identità Digitale (SPID, CIE) e dell’anagrafe nazionale digitale (ANPR)” - Intervento “Istituzione del Sistema Gestione Deleghe (SGD)” finanziato sia con risorse del PNRR sia con risorse del PNC;</w:t>
      </w:r>
    </w:p>
    <w:p w14:paraId="3D20E45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146.430,00</w:t>
      </w:r>
      <w:r w:rsidRPr="00F56356">
        <w:rPr>
          <w:rFonts w:ascii="Times New Roman" w:eastAsia="Times New Roman" w:hAnsi="Times New Roman" w:cs="Times New Roman"/>
          <w:color w:val="000000" w:themeColor="text1"/>
          <w:sz w:val="24"/>
          <w:szCs w:val="24"/>
          <w:lang w:eastAsia="it-IT"/>
        </w:rPr>
        <w:tab/>
        <w:t xml:space="preserve">all’affidamento allo Studio legale </w:t>
      </w:r>
      <w:proofErr w:type="spellStart"/>
      <w:r w:rsidRPr="00F56356">
        <w:rPr>
          <w:rFonts w:ascii="Times New Roman" w:eastAsia="Times New Roman" w:hAnsi="Times New Roman" w:cs="Times New Roman"/>
          <w:color w:val="000000" w:themeColor="text1"/>
          <w:sz w:val="24"/>
          <w:szCs w:val="24"/>
          <w:lang w:eastAsia="it-IT"/>
        </w:rPr>
        <w:t>Chiomenti</w:t>
      </w:r>
      <w:proofErr w:type="spellEnd"/>
      <w:r w:rsidRPr="00F56356">
        <w:rPr>
          <w:rFonts w:ascii="Times New Roman" w:eastAsia="Times New Roman" w:hAnsi="Times New Roman" w:cs="Times New Roman"/>
          <w:color w:val="000000" w:themeColor="text1"/>
          <w:sz w:val="24"/>
          <w:szCs w:val="24"/>
          <w:lang w:eastAsia="it-IT"/>
        </w:rPr>
        <w:t>, previa RDO su MEPA, di un incarico avente ad oggetto il supporto specialistico per la consulenza giuridica necessaria ai fini della predisposizione dello statuto sociale della costituenda società 3-I S.p.A., dedicata allo sviluppo, la manutenzione e la gestione di soluzioni software e di servizi informatici a favore degli enti INPS, INAIL e ISTAT e delle pubbliche amministrazioni centrali, così come previsto dalla Riforma 1.2 - Missione 1 Componente 1 del PNRR, e la cui costituzione è stata prevista dall’articolo 28 del decreto-legge 30 aprile 2022, n. 36;</w:t>
      </w:r>
    </w:p>
    <w:p w14:paraId="31E3DCC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168.414,40</w:t>
      </w:r>
      <w:r w:rsidRPr="00F56356">
        <w:rPr>
          <w:rFonts w:ascii="Times New Roman" w:eastAsia="Times New Roman" w:hAnsi="Times New Roman" w:cs="Times New Roman"/>
          <w:color w:val="000000" w:themeColor="text1"/>
          <w:sz w:val="24"/>
          <w:szCs w:val="24"/>
          <w:lang w:eastAsia="it-IT"/>
        </w:rPr>
        <w:tab/>
        <w:t xml:space="preserve">all’affidamento alla società The Boston Consulting Group S.r.l., previa RDO su MEPA, di un incarico avente ad oggetto l’erogazione di servizi di supporto specialistico mirati </w:t>
      </w:r>
      <w:r w:rsidRPr="00F56356">
        <w:rPr>
          <w:rFonts w:ascii="Times New Roman" w:eastAsia="Times New Roman" w:hAnsi="Times New Roman" w:cs="Times New Roman"/>
          <w:color w:val="000000" w:themeColor="text1"/>
          <w:sz w:val="24"/>
          <w:szCs w:val="24"/>
          <w:lang w:eastAsia="it-IT"/>
        </w:rPr>
        <w:lastRenderedPageBreak/>
        <w:t>all’attrazione di investimenti in Italia per la creazione di uno stabilimento avanzato di produzione di semiconduttori;</w:t>
      </w:r>
    </w:p>
    <w:p w14:paraId="0D9A9B7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732.201,06 quale quota parte per il 2022 relativa all’Accordo esecutivo con la società Sogei S.p.A., stipulato in data 13 ottobre 2022, avente ad oggetto la presa in carico delle attività di progettazione, sviluppo, evoluzione e gestione della “Piattaforma di comunicazione, gestione dei bandi, monitoraggio e rendicontazione dei progetti relativi agli investimenti del PNRR” - PA digitale 2026;</w:t>
      </w:r>
    </w:p>
    <w:p w14:paraId="7F4AC26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7.000.000,00 quale quota parte per il 2022 per la predisposizione dei sistemi informativi necessari per la messa a disposizione del Servizio dedicato di collegamento telematico con la Piattaforma Digitale Nazionale Dati (PDND) di cui all’articolo 50-ter del D.lgs. n. 82/2005, che consente alle imprese di effettuare controlli automatizzati e di acquisire certificati relativi a propri fatti, stati e qualità, mediante la Convenzione con il Ministero dello sviluppo economico, Unioncamere e </w:t>
      </w:r>
      <w:proofErr w:type="spellStart"/>
      <w:r w:rsidRPr="00F56356">
        <w:rPr>
          <w:rFonts w:ascii="Times New Roman" w:eastAsia="Times New Roman" w:hAnsi="Times New Roman" w:cs="Times New Roman"/>
          <w:color w:val="000000" w:themeColor="text1"/>
          <w:sz w:val="24"/>
          <w:szCs w:val="24"/>
          <w:lang w:eastAsia="it-IT"/>
        </w:rPr>
        <w:t>InfoCamere</w:t>
      </w:r>
      <w:proofErr w:type="spellEnd"/>
      <w:r w:rsidRPr="00F56356">
        <w:rPr>
          <w:rFonts w:ascii="Times New Roman" w:eastAsia="Times New Roman" w:hAnsi="Times New Roman" w:cs="Times New Roman"/>
          <w:color w:val="000000" w:themeColor="text1"/>
          <w:sz w:val="24"/>
          <w:szCs w:val="24"/>
          <w:lang w:eastAsia="it-IT"/>
        </w:rPr>
        <w:t xml:space="preserve"> </w:t>
      </w:r>
      <w:proofErr w:type="spellStart"/>
      <w:r w:rsidRPr="00F56356">
        <w:rPr>
          <w:rFonts w:ascii="Times New Roman" w:eastAsia="Times New Roman" w:hAnsi="Times New Roman" w:cs="Times New Roman"/>
          <w:color w:val="000000" w:themeColor="text1"/>
          <w:sz w:val="24"/>
          <w:szCs w:val="24"/>
          <w:lang w:eastAsia="it-IT"/>
        </w:rPr>
        <w:t>S.C.p.A</w:t>
      </w:r>
      <w:proofErr w:type="spellEnd"/>
      <w:r w:rsidRPr="00F56356">
        <w:rPr>
          <w:rFonts w:ascii="Times New Roman" w:eastAsia="Times New Roman" w:hAnsi="Times New Roman" w:cs="Times New Roman"/>
          <w:color w:val="000000" w:themeColor="text1"/>
          <w:sz w:val="24"/>
          <w:szCs w:val="24"/>
          <w:lang w:eastAsia="it-IT"/>
        </w:rPr>
        <w:t>., stipulata in data 3 agosto 2022, modificata e integrata dall’Atto aggiuntivo sottoscritto in data 10 novembre 2022;</w:t>
      </w:r>
    </w:p>
    <w:p w14:paraId="7211B127"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1.261.504,44 quale quota parte per il 2022 per l’affidamento di servizi di PMO di programmi di digitalizzazione, per progetti cross-ambito e supporto alla gestione dei progetti e dei programmi collegati alla Digital Transformation gestiti e/o attuati dal Dipartimento per la trasformazione digitale, mediante Contratto esecutivo con Business Integration Partner S.p.A. (mandataria) - Soft </w:t>
      </w:r>
      <w:proofErr w:type="spellStart"/>
      <w:r w:rsidRPr="00F56356">
        <w:rPr>
          <w:rFonts w:ascii="Times New Roman" w:eastAsia="Times New Roman" w:hAnsi="Times New Roman" w:cs="Times New Roman"/>
          <w:color w:val="000000" w:themeColor="text1"/>
          <w:sz w:val="24"/>
          <w:szCs w:val="24"/>
          <w:lang w:eastAsia="it-IT"/>
        </w:rPr>
        <w:t>Strategy</w:t>
      </w:r>
      <w:proofErr w:type="spellEnd"/>
      <w:r w:rsidRPr="00F56356">
        <w:rPr>
          <w:rFonts w:ascii="Times New Roman" w:eastAsia="Times New Roman" w:hAnsi="Times New Roman" w:cs="Times New Roman"/>
          <w:color w:val="000000" w:themeColor="text1"/>
          <w:sz w:val="24"/>
          <w:szCs w:val="24"/>
          <w:lang w:eastAsia="it-IT"/>
        </w:rPr>
        <w:t xml:space="preserve"> S.p.A., 3P Italia S.p.A., Go Project S.r.l., Consorzio Sapienza Innovazione (mandanti) approvato con decreto n. 21/2022 – PNC del 28 ottobre 2022, in adesione all’Accordo Quadro per Servizi di Digital Transformation (ID SIGEF 2069).</w:t>
      </w:r>
    </w:p>
    <w:p w14:paraId="2BC61231" w14:textId="77777777" w:rsidR="00F56356" w:rsidRPr="00F56356" w:rsidRDefault="00F56356" w:rsidP="00F56356">
      <w:pPr>
        <w:tabs>
          <w:tab w:val="left" w:pos="426"/>
        </w:tabs>
        <w:spacing w:after="0" w:line="360" w:lineRule="auto"/>
        <w:ind w:left="284"/>
        <w:jc w:val="center"/>
        <w:rPr>
          <w:rFonts w:ascii="Times New Roman" w:eastAsia="Times New Roman" w:hAnsi="Times New Roman" w:cs="Times New Roman"/>
          <w:color w:val="000000" w:themeColor="text1"/>
          <w:sz w:val="12"/>
          <w:szCs w:val="24"/>
          <w:lang w:eastAsia="it-IT"/>
        </w:rPr>
      </w:pPr>
    </w:p>
    <w:p w14:paraId="68B4A05D" w14:textId="77777777" w:rsidR="00F56356" w:rsidRPr="00F56356" w:rsidRDefault="00F56356" w:rsidP="00F56356">
      <w:pPr>
        <w:tabs>
          <w:tab w:val="left" w:pos="426"/>
        </w:tabs>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06368" behindDoc="1" locked="0" layoutInCell="1" allowOverlap="1" wp14:anchorId="20CAA461" wp14:editId="1910D477">
            <wp:simplePos x="0" y="0"/>
            <wp:positionH relativeFrom="margin">
              <wp:align>right</wp:align>
            </wp:positionH>
            <wp:positionV relativeFrom="paragraph">
              <wp:posOffset>339090</wp:posOffset>
            </wp:positionV>
            <wp:extent cx="5934075" cy="1868805"/>
            <wp:effectExtent l="0" t="0" r="9525" b="0"/>
            <wp:wrapTight wrapText="bothSides">
              <wp:wrapPolygon edited="0">
                <wp:start x="0" y="0"/>
                <wp:lineTo x="0" y="21358"/>
                <wp:lineTo x="11788" y="21358"/>
                <wp:lineTo x="16434" y="21138"/>
                <wp:lineTo x="21565" y="19376"/>
                <wp:lineTo x="21565" y="6165"/>
                <wp:lineTo x="21219" y="3523"/>
                <wp:lineTo x="21496" y="3523"/>
                <wp:lineTo x="21565" y="2642"/>
                <wp:lineTo x="21565" y="0"/>
                <wp:lineTo x="0" y="0"/>
              </wp:wrapPolygon>
            </wp:wrapTight>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4075" cy="18688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sz w:val="24"/>
          <w:szCs w:val="24"/>
          <w:lang w:eastAsia="it-IT"/>
        </w:rPr>
        <w:t>Indicatori di bilancio</w:t>
      </w:r>
    </w:p>
    <w:p w14:paraId="74790352"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61816470"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p>
    <w:p w14:paraId="3BF6FC12"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0D312126"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 capitoli 502 e 503 denominati, rispettivamente, “</w:t>
      </w:r>
      <w:r w:rsidRPr="00F56356">
        <w:rPr>
          <w:rFonts w:ascii="Times New Roman" w:eastAsia="Times New Roman" w:hAnsi="Times New Roman" w:cs="Times New Roman"/>
          <w:i/>
          <w:color w:val="000000" w:themeColor="text1"/>
          <w:sz w:val="24"/>
          <w:szCs w:val="24"/>
          <w:lang w:eastAsia="it-IT"/>
        </w:rPr>
        <w:t xml:space="preserve">Spese di rappresentanza” </w:t>
      </w: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Spese per acquisto giornali, riviste e abbonamenti, anche on line”</w:t>
      </w:r>
      <w:r w:rsidRPr="00F56356">
        <w:rPr>
          <w:rFonts w:ascii="Times New Roman" w:eastAsia="Times New Roman" w:hAnsi="Times New Roman" w:cs="Times New Roman"/>
          <w:color w:val="000000" w:themeColor="text1"/>
          <w:sz w:val="24"/>
          <w:szCs w:val="24"/>
          <w:lang w:eastAsia="it-IT"/>
        </w:rPr>
        <w:t xml:space="preserve">, dalla circostanza che le relative tipologie </w:t>
      </w:r>
      <w:r w:rsidRPr="00F56356">
        <w:rPr>
          <w:rFonts w:ascii="Times New Roman" w:eastAsia="Times New Roman" w:hAnsi="Times New Roman" w:cs="Times New Roman"/>
          <w:color w:val="000000" w:themeColor="text1"/>
          <w:sz w:val="24"/>
          <w:szCs w:val="24"/>
          <w:lang w:eastAsia="it-IT"/>
        </w:rPr>
        <w:lastRenderedPageBreak/>
        <w:t>di spesa scaturiscono da decisioni dell’Autorità politica, e nel corso dell’esercizio finanziario 2022, non sono state manifestate dagli Uffici di diretta collaborazione dell’Autorità politica delegata in materia di innovazione tecnologica e digitalizzazione esigenze di acquisto per tali</w:t>
      </w:r>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ambiti di spesa;</w:t>
      </w:r>
    </w:p>
    <w:p w14:paraId="30D163C8" w14:textId="77777777" w:rsidR="00F56356" w:rsidRPr="00F56356" w:rsidRDefault="00F56356" w:rsidP="00F56356">
      <w:pPr>
        <w:tabs>
          <w:tab w:val="left" w:pos="567"/>
          <w:tab w:val="left" w:pos="9638"/>
        </w:tabs>
        <w:spacing w:after="0" w:line="360" w:lineRule="auto"/>
        <w:ind w:left="284"/>
        <w:contextualSpacing/>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w:t>
      </w:r>
      <w:r w:rsidRPr="00F56356">
        <w:rPr>
          <w:rFonts w:ascii="Times New Roman" w:eastAsia="Times New Roman" w:hAnsi="Times New Roman" w:cs="Times New Roman"/>
          <w:color w:val="000000" w:themeColor="text1"/>
          <w:sz w:val="24"/>
          <w:szCs w:val="24"/>
          <w:lang w:eastAsia="it-IT"/>
        </w:rPr>
        <w:tab/>
        <w:t>per il capitolo</w:t>
      </w:r>
      <w:r w:rsidRPr="00F56356">
        <w:rPr>
          <w:rFonts w:ascii="Times New Roman" w:eastAsia="Times New Roman" w:hAnsi="Times New Roman" w:cs="Times New Roman"/>
          <w:iCs/>
          <w:color w:val="000000" w:themeColor="text1"/>
          <w:sz w:val="24"/>
          <w:szCs w:val="24"/>
          <w:lang w:eastAsia="it-IT"/>
        </w:rPr>
        <w:t xml:space="preserve"> 516 - </w:t>
      </w:r>
      <w:r w:rsidRPr="00F56356">
        <w:rPr>
          <w:rFonts w:ascii="Times New Roman" w:eastAsia="Times New Roman" w:hAnsi="Times New Roman" w:cs="Times New Roman"/>
          <w:i/>
          <w:color w:val="000000" w:themeColor="text1"/>
          <w:sz w:val="24"/>
          <w:szCs w:val="24"/>
          <w:lang w:eastAsia="it-IT"/>
        </w:rPr>
        <w:t xml:space="preserve">Spese per il contingente di esperti di cui all’art. 8, comma 9, del decreto-legge 1° marzo 2021, n. 22, operante presso la Segreteria tecnico-amministrativa del CITD, </w:t>
      </w:r>
      <w:r w:rsidRPr="00F56356">
        <w:rPr>
          <w:rFonts w:ascii="Times New Roman" w:eastAsia="Times New Roman" w:hAnsi="Times New Roman" w:cs="Times New Roman"/>
          <w:color w:val="000000" w:themeColor="text1"/>
          <w:sz w:val="24"/>
          <w:szCs w:val="24"/>
          <w:lang w:eastAsia="it-IT"/>
        </w:rPr>
        <w:t>dalla non adozione da parte dell’Autorità politica delegata per l’innovazione tecnologica e la transizione digitale di atti di conferimento di incarichi di esperto presso il contingente previsto per la Segreteria tecnico-amministrativa</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del CITD;  </w:t>
      </w:r>
    </w:p>
    <w:p w14:paraId="6BEDB33D" w14:textId="77777777" w:rsidR="00F56356" w:rsidRPr="00F56356" w:rsidRDefault="00F56356" w:rsidP="00F56356">
      <w:pPr>
        <w:spacing w:after="0" w:line="360" w:lineRule="auto"/>
        <w:ind w:left="284"/>
        <w:jc w:val="both"/>
        <w:rPr>
          <w:rFonts w:ascii="Times New Roman" w:eastAsia="Times New Roman" w:hAnsi="Times New Roman" w:cs="Times New Roman"/>
          <w:color w:val="222222"/>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920 </w:t>
      </w:r>
      <w:r w:rsidRPr="00F56356">
        <w:rPr>
          <w:rFonts w:ascii="Times New Roman" w:eastAsia="Times New Roman" w:hAnsi="Times New Roman" w:cs="Times New Roman"/>
          <w:i/>
          <w:color w:val="000000" w:themeColor="text1"/>
          <w:sz w:val="24"/>
          <w:szCs w:val="24"/>
          <w:lang w:eastAsia="it-IT"/>
        </w:rPr>
        <w:t>- Fondo per l’innovazione tecnologica e la digitalizzazione,</w:t>
      </w:r>
      <w:r w:rsidRPr="00F56356">
        <w:rPr>
          <w:rFonts w:ascii="Times New Roman" w:eastAsia="Times New Roman" w:hAnsi="Times New Roman" w:cs="Times New Roman"/>
          <w:color w:val="000000" w:themeColor="text1"/>
          <w:sz w:val="24"/>
          <w:szCs w:val="24"/>
          <w:lang w:eastAsia="it-IT"/>
        </w:rPr>
        <w:t xml:space="preserve"> relativamente alla capacità di impegno, da una serie di fattori, in particolare: dal consistente incremento delle risorse, dal cambio della compagine governativa con il conseguente disbrigo degli affari correnti, dell’adozione degli atti urgenti e di quelli afferenti l’attuazione del Piano nazionale di ripresa e resilienza (“PNRR”) e del Piano nazionale per gli investimenti complementari (“PNC”), che ha fortemente limitato l’avvio di ulteriori iniziative progettuali; relativamente alla capacità di pagamento, dal fatto che la quasi totalità degli atti è stata sottoscritta nell’ultimo trimestre dell’anno, pertanto, una parte consistente delle relative richieste di pagamento/erogazione di tranche di pagamento perverrà nel corso del 2023; relativamente alla capacità di smaltimento dei residui, da alcune criticità riscontrate nella verifica del raggiungimento degli obiettivi stabiliti dagli Accordi sottoscritti nell’ambito dell’iniziativa volta alla digitalizzazione dei servizi erogati dai Comuni, con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w:t>
      </w:r>
      <w:proofErr w:type="spellStart"/>
      <w:r w:rsidRPr="00F56356">
        <w:rPr>
          <w:rFonts w:ascii="Times New Roman" w:eastAsia="Times New Roman" w:hAnsi="Times New Roman" w:cs="Times New Roman"/>
          <w:color w:val="000000" w:themeColor="text1"/>
          <w:sz w:val="24"/>
          <w:szCs w:val="24"/>
          <w:lang w:eastAsia="it-IT"/>
        </w:rPr>
        <w:t>AgID</w:t>
      </w:r>
      <w:proofErr w:type="spellEnd"/>
      <w:r w:rsidRPr="00F56356">
        <w:rPr>
          <w:rFonts w:ascii="Times New Roman" w:eastAsia="Times New Roman" w:hAnsi="Times New Roman" w:cs="Times New Roman"/>
          <w:color w:val="000000" w:themeColor="text1"/>
          <w:sz w:val="24"/>
          <w:szCs w:val="24"/>
          <w:lang w:eastAsia="it-IT"/>
        </w:rPr>
        <w:t xml:space="preserve"> e IPZS e con le sei Regioni (Emilia Romagna, Friuli Venezia Giulia, Marche, Molise, Puglia e Veneto) e con la Provincia Autonoma di Trento;  </w:t>
      </w:r>
    </w:p>
    <w:p w14:paraId="1902253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942 - </w:t>
      </w:r>
      <w:r w:rsidRPr="00F56356">
        <w:rPr>
          <w:rFonts w:ascii="Times New Roman" w:eastAsia="Times New Roman" w:hAnsi="Times New Roman" w:cs="Times New Roman"/>
          <w:i/>
          <w:color w:val="222222"/>
          <w:sz w:val="24"/>
          <w:szCs w:val="24"/>
          <w:highlight w:val="white"/>
          <w:lang w:eastAsia="it-IT"/>
        </w:rPr>
        <w:t>Spese per la realizzazione delle azioni e dei proge</w:t>
      </w:r>
      <w:r w:rsidRPr="00F56356">
        <w:rPr>
          <w:rFonts w:ascii="Times New Roman" w:eastAsia="Times New Roman" w:hAnsi="Times New Roman" w:cs="Times New Roman"/>
          <w:i/>
          <w:color w:val="222222"/>
          <w:sz w:val="24"/>
          <w:szCs w:val="24"/>
          <w:lang w:eastAsia="it-IT"/>
        </w:rPr>
        <w:t>tti connessi all’attuazione degli obiettivi dell’Agenda digitale,</w:t>
      </w:r>
      <w:r w:rsidRPr="00F56356">
        <w:rPr>
          <w:rFonts w:ascii="Times New Roman" w:eastAsia="Times New Roman" w:hAnsi="Times New Roman" w:cs="Times New Roman"/>
          <w:color w:val="222222"/>
          <w:sz w:val="24"/>
          <w:szCs w:val="24"/>
          <w:lang w:eastAsia="it-IT"/>
        </w:rPr>
        <w:t xml:space="preserve"> relativamente</w:t>
      </w:r>
      <w:r w:rsidRPr="00F56356">
        <w:rPr>
          <w:rFonts w:ascii="Times New Roman" w:eastAsia="Times New Roman" w:hAnsi="Times New Roman" w:cs="Times New Roman"/>
          <w:color w:val="000000" w:themeColor="text1"/>
          <w:sz w:val="24"/>
          <w:szCs w:val="24"/>
          <w:lang w:eastAsia="it-IT"/>
        </w:rPr>
        <w:t xml:space="preserve"> alla capacità di smaltimento dei residui, dal fatto che diversi beneficiari delle somme impegnate, pur portando avanti la realizzazione delle attività previste, sono in ritardo nella rendicontazione e nella conseguente richiesta di trasferimento degli importi dovuti; </w:t>
      </w:r>
    </w:p>
    <w:p w14:paraId="025AAB2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per il capitolo 948 - </w:t>
      </w:r>
      <w:r w:rsidRPr="00F56356">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alla cittadinanza digitale provenienti dal Fondo complementare PNRR,</w:t>
      </w:r>
      <w:r w:rsidRPr="00F56356">
        <w:rPr>
          <w:rFonts w:ascii="Times New Roman" w:eastAsia="Times New Roman" w:hAnsi="Times New Roman" w:cs="Times New Roman"/>
          <w:sz w:val="24"/>
          <w:szCs w:val="24"/>
          <w:lang w:eastAsia="it-IT"/>
        </w:rPr>
        <w:t xml:space="preserve"> dal complesso iter procedurale relativo sia </w:t>
      </w:r>
      <w:r w:rsidRPr="00F56356">
        <w:rPr>
          <w:rFonts w:ascii="Times New Roman" w:eastAsia="Times New Roman" w:hAnsi="Times New Roman" w:cs="Times New Roman"/>
          <w:color w:val="000000" w:themeColor="text1"/>
          <w:sz w:val="24"/>
          <w:szCs w:val="24"/>
          <w:lang w:eastAsia="it-IT"/>
        </w:rPr>
        <w:t xml:space="preserve">all’avvio dei progetti di rafforzamento delle soluzioni di IA e </w:t>
      </w:r>
      <w:proofErr w:type="spellStart"/>
      <w:r w:rsidRPr="00F56356">
        <w:rPr>
          <w:rFonts w:ascii="Times New Roman" w:eastAsia="Times New Roman" w:hAnsi="Times New Roman" w:cs="Times New Roman"/>
          <w:color w:val="000000" w:themeColor="text1"/>
          <w:sz w:val="24"/>
          <w:szCs w:val="24"/>
          <w:lang w:eastAsia="it-IT"/>
        </w:rPr>
        <w:t>deeptech</w:t>
      </w:r>
      <w:proofErr w:type="spellEnd"/>
      <w:r w:rsidRPr="00F56356">
        <w:rPr>
          <w:rFonts w:ascii="Times New Roman" w:eastAsia="Times New Roman" w:hAnsi="Times New Roman" w:cs="Times New Roman"/>
          <w:color w:val="000000" w:themeColor="text1"/>
          <w:sz w:val="24"/>
          <w:szCs w:val="24"/>
          <w:lang w:eastAsia="it-IT"/>
        </w:rPr>
        <w:t xml:space="preserve"> in attuazione delle politiche per modernizzare la Pubblica Amministrazione delineate nel programma strategico per l’intelligenza artificiale, sia</w:t>
      </w:r>
      <w:r w:rsidRPr="00F56356">
        <w:rPr>
          <w:rFonts w:ascii="Times New Roman" w:eastAsia="Times New Roman" w:hAnsi="Times New Roman" w:cs="Times New Roman"/>
          <w:sz w:val="24"/>
          <w:szCs w:val="24"/>
          <w:lang w:eastAsia="it-IT"/>
        </w:rPr>
        <w:t xml:space="preserve"> all’Avviso pubblico a valere sul Piano Nazionale Complementare, per finanziare tre progetti pilota da realizzare in altrettante Città metropolitane, volti a introdurre, nel contesto dei sistemi di trasporto locale, il paradigma </w:t>
      </w:r>
      <w:proofErr w:type="spellStart"/>
      <w:r w:rsidRPr="00F56356">
        <w:rPr>
          <w:rFonts w:ascii="Times New Roman" w:eastAsia="Times New Roman" w:hAnsi="Times New Roman" w:cs="Times New Roman"/>
          <w:sz w:val="24"/>
          <w:szCs w:val="24"/>
          <w:lang w:eastAsia="it-IT"/>
        </w:rPr>
        <w:t>MaaS</w:t>
      </w:r>
      <w:proofErr w:type="spellEnd"/>
      <w:r w:rsidRPr="00F56356">
        <w:rPr>
          <w:rFonts w:ascii="Times New Roman" w:eastAsia="Times New Roman" w:hAnsi="Times New Roman" w:cs="Times New Roman"/>
          <w:sz w:val="24"/>
          <w:szCs w:val="24"/>
          <w:lang w:eastAsia="it-IT"/>
        </w:rPr>
        <w:t xml:space="preserve">; le risorse, pertanto, </w:t>
      </w:r>
      <w:r w:rsidRPr="00F56356">
        <w:rPr>
          <w:rFonts w:ascii="Times New Roman" w:eastAsia="Times New Roman" w:hAnsi="Times New Roman" w:cs="Times New Roman"/>
          <w:color w:val="000000" w:themeColor="text1"/>
          <w:sz w:val="24"/>
          <w:szCs w:val="24"/>
          <w:lang w:eastAsia="it-IT"/>
        </w:rPr>
        <w:t xml:space="preserve">saranno impegnate soltanto a seguito della stipula delle convenzioni con le Città, i cui progetti sono stati ammessi al finanziamento </w:t>
      </w:r>
      <w:r w:rsidRPr="00F56356">
        <w:rPr>
          <w:rFonts w:ascii="Times New Roman" w:eastAsia="Times New Roman" w:hAnsi="Times New Roman" w:cs="Times New Roman"/>
          <w:sz w:val="24"/>
          <w:szCs w:val="24"/>
          <w:lang w:eastAsia="it-IT"/>
        </w:rPr>
        <w:t>a</w:t>
      </w:r>
      <w:r w:rsidRPr="00F56356">
        <w:rPr>
          <w:rFonts w:ascii="Times New Roman" w:eastAsia="Times New Roman" w:hAnsi="Times New Roman" w:cs="Times New Roman"/>
          <w:color w:val="000000" w:themeColor="text1"/>
          <w:sz w:val="24"/>
          <w:szCs w:val="24"/>
          <w:lang w:eastAsia="it-IT"/>
        </w:rPr>
        <w:t>ll’esito della procedura selettiva pubblica.</w:t>
      </w:r>
    </w:p>
    <w:p w14:paraId="6B6436B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Cs w:val="24"/>
          <w:lang w:eastAsia="it-IT"/>
        </w:rPr>
      </w:pPr>
    </w:p>
    <w:p w14:paraId="7E9475AE"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Si evidenzia, inoltre, che: </w:t>
      </w:r>
    </w:p>
    <w:p w14:paraId="20738B9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253 - </w:t>
      </w:r>
      <w:r w:rsidRPr="00F56356">
        <w:rPr>
          <w:rFonts w:ascii="Times New Roman" w:eastAsia="Times New Roman" w:hAnsi="Times New Roman" w:cs="Times New Roman"/>
          <w:i/>
          <w:color w:val="000000" w:themeColor="text1"/>
          <w:sz w:val="24"/>
          <w:szCs w:val="24"/>
          <w:lang w:eastAsia="it-IT"/>
        </w:rPr>
        <w:t>Spese per progetti ed iniziative per l’attuazione dell’Agenda digitale</w:t>
      </w:r>
      <w:r w:rsidRPr="00F56356">
        <w:rPr>
          <w:rFonts w:ascii="Times New Roman" w:eastAsia="Times New Roman" w:hAnsi="Times New Roman" w:cs="Times New Roman"/>
          <w:color w:val="000000" w:themeColor="text1"/>
          <w:sz w:val="24"/>
          <w:szCs w:val="24"/>
          <w:lang w:eastAsia="it-IT"/>
        </w:rPr>
        <w:t xml:space="preserve">, non è stato impegnato l’importo di euro 264.575,98 (riferito a reiscrizione dei residui passivi perenti), relativo all’Atto di proroga a titolo oneroso del 2° Accordo di collaborazione ex articolo 15 della legge n. 241/1990 sottoscritto, in data 13 settembre 2019, tra l’allora Commissario straordinario per l’attuazione dell’Agenda digitale e il Ministero dell’interno per la realizzazione dell’iniziativa progettuale relativa allo sviluppo dell’Anagrafe nazionale della popolazione residente (“ANPR”), data l’impossibilità del previsto trasferimento, entro l’esercizio finanziario, a favore della Contabilità ordinaria intestata al Funzionario delegato presso il Ministero dell’interno, per il ritardo nell’adozione del decreto in data 23 dicembre 2022, oltre il termine ultimo per l’effettuazione degli Ordini di accreditamento in Contabilità ordinaria, fissato per il giorno 16 dicembre 2022); </w:t>
      </w:r>
    </w:p>
    <w:p w14:paraId="0BBE4785" w14:textId="77777777" w:rsidR="00F56356" w:rsidRPr="00F56356" w:rsidRDefault="00F56356" w:rsidP="00F56356">
      <w:pPr>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515 - </w:t>
      </w:r>
      <w:r w:rsidRPr="00F56356">
        <w:rPr>
          <w:rFonts w:ascii="Times New Roman" w:eastAsia="Times New Roman" w:hAnsi="Times New Roman" w:cs="Times New Roman"/>
          <w:i/>
          <w:color w:val="000000" w:themeColor="text1"/>
          <w:sz w:val="24"/>
          <w:szCs w:val="24"/>
          <w:lang w:eastAsia="it-IT"/>
        </w:rPr>
        <w:t xml:space="preserve">Spese per il contingente di personale non dirigenziale di prestito di cui all’art. 8, comma 9, del decreto-legge 1° marzo 2021, n. 22, chiamato ad operare presso la Segreteria tecnico-amministrativa del CITD, </w:t>
      </w:r>
      <w:r w:rsidRPr="00F56356">
        <w:rPr>
          <w:rFonts w:ascii="Times New Roman" w:eastAsia="Times New Roman" w:hAnsi="Times New Roman" w:cs="Times New Roman"/>
          <w:iCs/>
          <w:color w:val="000000" w:themeColor="text1"/>
          <w:sz w:val="24"/>
          <w:szCs w:val="24"/>
          <w:lang w:eastAsia="it-IT"/>
        </w:rPr>
        <w:t>non sono state impegnate le relative risorse per la mancata richiesta, entro la chiusura dell’esercizio finanziario, di assegnazione al Dipartimento per il personale delle somme per il personale di prestito</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iCs/>
          <w:color w:val="000000" w:themeColor="text1"/>
          <w:sz w:val="24"/>
          <w:szCs w:val="24"/>
          <w:lang w:eastAsia="it-IT"/>
        </w:rPr>
        <w:t>in servizio nella Segreteria tecnico-amministrativa del Comitato interministeriale per la transizione digitale (CITD);</w:t>
      </w:r>
    </w:p>
    <w:p w14:paraId="1DCA66E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947 - </w:t>
      </w:r>
      <w:r w:rsidRPr="00F56356">
        <w:rPr>
          <w:rFonts w:ascii="Times New Roman" w:eastAsia="Times New Roman" w:hAnsi="Times New Roman" w:cs="Times New Roman"/>
          <w:i/>
          <w:color w:val="222222"/>
          <w:sz w:val="24"/>
          <w:szCs w:val="24"/>
          <w:lang w:eastAsia="it-IT"/>
        </w:rPr>
        <w:t>Somme destinate alla realizzazione di progetti da parte del Dipartimento per la trasformazione digitale - Riparto Fondo investimenti 2020 - art. 1, comma 14, legge n. 160 del 2019</w:t>
      </w:r>
      <w:r w:rsidRPr="00F56356">
        <w:rPr>
          <w:rFonts w:ascii="Times New Roman" w:eastAsia="Times New Roman" w:hAnsi="Times New Roman" w:cs="Times New Roman"/>
          <w:color w:val="222222"/>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le attività realizzate nel corso 2022 per l’avvio dell’iniziativa “Cross Tech-</w:t>
      </w:r>
      <w:proofErr w:type="spellStart"/>
      <w:r w:rsidRPr="00F56356">
        <w:rPr>
          <w:rFonts w:ascii="Times New Roman" w:eastAsia="Times New Roman" w:hAnsi="Times New Roman" w:cs="Times New Roman"/>
          <w:color w:val="000000" w:themeColor="text1"/>
          <w:sz w:val="24"/>
          <w:szCs w:val="24"/>
          <w:lang w:eastAsia="it-IT"/>
        </w:rPr>
        <w:t>Hub</w:t>
      </w:r>
      <w:proofErr w:type="spellEnd"/>
      <w:r w:rsidRPr="00F56356">
        <w:rPr>
          <w:rFonts w:ascii="Times New Roman" w:eastAsia="Times New Roman" w:hAnsi="Times New Roman" w:cs="Times New Roman"/>
          <w:color w:val="000000" w:themeColor="text1"/>
          <w:sz w:val="24"/>
          <w:szCs w:val="24"/>
          <w:lang w:eastAsia="it-IT"/>
        </w:rPr>
        <w:t xml:space="preserve">” non hanno richiesto l’impegno delle risorse appostate sul pertinente capitolo di spesa. Tali risorse, riportate nell’esercizio finanziario 2023, verranno utilizzate per la copertura dei costi derivanti dagli atti attuativi che seguiranno al protocollo di intesa DTD-ENAC; </w:t>
      </w:r>
    </w:p>
    <w:p w14:paraId="78D963A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949 - </w:t>
      </w:r>
      <w:r w:rsidRPr="00F56356">
        <w:rPr>
          <w:rFonts w:ascii="Times New Roman" w:eastAsia="Times New Roman" w:hAnsi="Times New Roman" w:cs="Times New Roman"/>
          <w:i/>
          <w:color w:val="000000" w:themeColor="text1"/>
          <w:sz w:val="24"/>
          <w:szCs w:val="24"/>
          <w:lang w:eastAsia="it-IT"/>
        </w:rPr>
        <w:t>Somme destinate alla realizzazione dei programmi e interventi relativi ai Servizi digitali e alle competenze digitali provenienti dal fondo complementare per PNRR</w:t>
      </w:r>
      <w:r w:rsidRPr="00F56356">
        <w:rPr>
          <w:rFonts w:ascii="Times New Roman" w:eastAsia="Times New Roman" w:hAnsi="Times New Roman" w:cs="Times New Roman"/>
          <w:color w:val="000000" w:themeColor="text1"/>
          <w:sz w:val="24"/>
          <w:szCs w:val="24"/>
          <w:lang w:eastAsia="it-IT"/>
        </w:rPr>
        <w:t>, le risorse non sono state impegnate in quanto il DTD sta provvedendo a evadere le richieste pervenute dalla Corte dei conti, in seguito alla registrazione del decreto del Ministro per l’innovazione e la transizione digitale del 25 marzo 2022, propedeutiche all’erogazione delle risorse a favore dell’Agenzia delle entrate per la compensazione del credito d’imposta maturato dai soggetti aderenti alla misura relativa al Fondo Repubblica Digitale;</w:t>
      </w:r>
    </w:p>
    <w:p w14:paraId="46D029E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per il capitolo 512 - </w:t>
      </w:r>
      <w:r w:rsidRPr="00F56356">
        <w:rPr>
          <w:rFonts w:ascii="Times New Roman" w:eastAsia="Times New Roman" w:hAnsi="Times New Roman" w:cs="Times New Roman"/>
          <w:i/>
          <w:color w:val="000000" w:themeColor="text1"/>
          <w:sz w:val="24"/>
          <w:szCs w:val="24"/>
          <w:lang w:eastAsia="it-IT"/>
        </w:rPr>
        <w:t>Fondo per la corresponsione ai gestori dell’identità digitale (SPID) di un’indennità di architettura e di gestione operativa del sistema ex art. 1, co. 622, della legge n. 178 del 2020</w:t>
      </w:r>
      <w:r w:rsidRPr="00F56356">
        <w:rPr>
          <w:rFonts w:ascii="Times New Roman" w:eastAsia="Times New Roman" w:hAnsi="Times New Roman" w:cs="Times New Roman"/>
          <w:color w:val="000000" w:themeColor="text1"/>
          <w:sz w:val="24"/>
          <w:szCs w:val="24"/>
          <w:lang w:eastAsia="it-IT"/>
        </w:rPr>
        <w:t xml:space="preserve">, non sono state impegnate le risorse in quanto in data 29 settembre 2022 si è proceduto alla pubblicazione in Gazzetta Ufficiale n. 224 del decreto 30 dicembre 2021 del Ministro per </w:t>
      </w:r>
      <w:r w:rsidRPr="00F56356">
        <w:rPr>
          <w:rFonts w:ascii="Times New Roman" w:eastAsia="Times New Roman" w:hAnsi="Times New Roman" w:cs="Times New Roman"/>
          <w:color w:val="000000" w:themeColor="text1"/>
          <w:sz w:val="24"/>
          <w:szCs w:val="24"/>
          <w:lang w:eastAsia="it-IT"/>
        </w:rPr>
        <w:lastRenderedPageBreak/>
        <w:t xml:space="preserve">l’innovazione tecnologica e la transizione digitale, di concerto con il Ministro dell’economia e delle finanze, concernente la definizione dei criteri di attribuzione dell’indennità in argomento, a cui ha fatto seguito l’indicazione, in data 25 ottobre 2022, delle istruzioni operative per la richiesta di erogazione da parte degli </w:t>
      </w:r>
      <w:proofErr w:type="spellStart"/>
      <w:r w:rsidRPr="00F56356">
        <w:rPr>
          <w:rFonts w:ascii="Times New Roman" w:eastAsia="Times New Roman" w:hAnsi="Times New Roman" w:cs="Times New Roman"/>
          <w:color w:val="000000" w:themeColor="text1"/>
          <w:sz w:val="24"/>
          <w:szCs w:val="24"/>
          <w:lang w:eastAsia="it-IT"/>
        </w:rPr>
        <w:t>IdP</w:t>
      </w:r>
      <w:proofErr w:type="spellEnd"/>
      <w:r w:rsidRPr="00F56356">
        <w:rPr>
          <w:rFonts w:ascii="Times New Roman" w:eastAsia="Times New Roman" w:hAnsi="Times New Roman" w:cs="Times New Roman"/>
          <w:color w:val="000000" w:themeColor="text1"/>
          <w:sz w:val="24"/>
          <w:szCs w:val="24"/>
          <w:lang w:eastAsia="it-IT"/>
        </w:rPr>
        <w:t xml:space="preserve"> sui siti internet del Dipartimento e dell’</w:t>
      </w:r>
      <w:proofErr w:type="spellStart"/>
      <w:r w:rsidRPr="00F56356">
        <w:rPr>
          <w:rFonts w:ascii="Times New Roman" w:eastAsia="Times New Roman" w:hAnsi="Times New Roman" w:cs="Times New Roman"/>
          <w:color w:val="000000" w:themeColor="text1"/>
          <w:sz w:val="24"/>
          <w:szCs w:val="24"/>
          <w:lang w:eastAsia="it-IT"/>
        </w:rPr>
        <w:t>AgID</w:t>
      </w:r>
      <w:proofErr w:type="spellEnd"/>
      <w:r w:rsidRPr="00F56356">
        <w:rPr>
          <w:rFonts w:ascii="Times New Roman" w:eastAsia="Times New Roman" w:hAnsi="Times New Roman" w:cs="Times New Roman"/>
          <w:color w:val="000000" w:themeColor="text1"/>
          <w:sz w:val="24"/>
          <w:szCs w:val="24"/>
          <w:lang w:eastAsia="it-IT"/>
        </w:rPr>
        <w:t>. In considerazione di ciò, solo all’esito della positiva valutazione delle richieste pervenute in risposta all’indicazione delle cennate modalità operative, nell’anno 2023, potrà essere attivato l’iter per l’erogazione delle somme a favore degli Identity providers.</w:t>
      </w:r>
    </w:p>
    <w:p w14:paraId="3AE433B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FA0170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e investimenti) nel corso del triennio 2020-2022:</w:t>
      </w:r>
    </w:p>
    <w:p w14:paraId="1B9FEF1D"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35B387B0" wp14:editId="43693617">
            <wp:extent cx="3406548" cy="408432"/>
            <wp:effectExtent l="0" t="0" r="381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66018" cy="415562"/>
                    </a:xfrm>
                    <a:prstGeom prst="rect">
                      <a:avLst/>
                    </a:prstGeom>
                    <a:noFill/>
                    <a:ln>
                      <a:noFill/>
                    </a:ln>
                  </pic:spPr>
                </pic:pic>
              </a:graphicData>
            </a:graphic>
          </wp:inline>
        </w:drawing>
      </w:r>
    </w:p>
    <w:p w14:paraId="61A4EC45"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364CF150" wp14:editId="40D2658D">
            <wp:extent cx="3499231" cy="2265944"/>
            <wp:effectExtent l="0" t="0" r="6350" b="127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19632" cy="2279155"/>
                    </a:xfrm>
                    <a:prstGeom prst="rect">
                      <a:avLst/>
                    </a:prstGeom>
                    <a:noFill/>
                  </pic:spPr>
                </pic:pic>
              </a:graphicData>
            </a:graphic>
          </wp:inline>
        </w:drawing>
      </w:r>
    </w:p>
    <w:p w14:paraId="0F0910E0"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69D913E0" w14:textId="5926CD02" w:rsidR="00F56356" w:rsidRDefault="00F56356"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4093B8BE" w14:textId="7E2323E4" w:rsidR="0043213C"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2524DDFC" w14:textId="1264E5A4" w:rsidR="0043213C"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43CA76EE" w14:textId="494164B3" w:rsidR="0043213C"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6CC0F181" w14:textId="40FDD0D5" w:rsidR="0043213C"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644155AA" w14:textId="3980563E" w:rsidR="0043213C"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0B794931" w14:textId="46F986E9" w:rsidR="0043213C"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6DB975A1" w14:textId="77777777" w:rsidR="0043213C" w:rsidRPr="00F56356" w:rsidRDefault="0043213C"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47DC628C"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6CBD7D75"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3C82E139"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04071AF5"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000000" w:themeColor="text1"/>
          <w:sz w:val="24"/>
          <w:szCs w:val="24"/>
          <w:lang w:eastAsia="it-IT"/>
        </w:rPr>
      </w:pPr>
    </w:p>
    <w:p w14:paraId="1FA1D4EA"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Nelle Tabelle sottostanti è indicata la ripartizione delle risorse relative a interventi /investimenti per destinatari finali, comprensive delle risorse relative ai residui passivi perenti </w:t>
      </w:r>
      <w:proofErr w:type="spellStart"/>
      <w:r w:rsidRPr="00F56356">
        <w:rPr>
          <w:rFonts w:ascii="Times New Roman" w:eastAsia="Times New Roman" w:hAnsi="Times New Roman" w:cs="Times New Roman"/>
          <w:color w:val="000000" w:themeColor="text1"/>
          <w:sz w:val="24"/>
          <w:szCs w:val="24"/>
          <w:lang w:eastAsia="it-IT"/>
        </w:rPr>
        <w:t>reiscritti</w:t>
      </w:r>
      <w:proofErr w:type="spellEnd"/>
      <w:r w:rsidRPr="00F56356">
        <w:rPr>
          <w:rFonts w:ascii="Times New Roman" w:eastAsia="Times New Roman" w:hAnsi="Times New Roman" w:cs="Times New Roman"/>
          <w:color w:val="FF0000"/>
          <w:sz w:val="24"/>
          <w:szCs w:val="24"/>
          <w:lang w:eastAsia="it-IT"/>
        </w:rPr>
        <w:t>:</w:t>
      </w:r>
    </w:p>
    <w:p w14:paraId="1E71D96B"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07392" behindDoc="1" locked="0" layoutInCell="1" allowOverlap="1" wp14:anchorId="628EA3BE" wp14:editId="152CA1D8">
            <wp:simplePos x="0" y="0"/>
            <wp:positionH relativeFrom="column">
              <wp:posOffset>184785</wp:posOffset>
            </wp:positionH>
            <wp:positionV relativeFrom="paragraph">
              <wp:posOffset>260350</wp:posOffset>
            </wp:positionV>
            <wp:extent cx="6000750" cy="3331210"/>
            <wp:effectExtent l="0" t="0" r="0" b="2540"/>
            <wp:wrapTight wrapText="bothSides">
              <wp:wrapPolygon edited="0">
                <wp:start x="0" y="0"/>
                <wp:lineTo x="0" y="20505"/>
                <wp:lineTo x="617" y="21493"/>
                <wp:lineTo x="19611" y="21493"/>
                <wp:lineTo x="21531" y="20505"/>
                <wp:lineTo x="21531" y="20258"/>
                <wp:lineTo x="19611" y="19764"/>
                <wp:lineTo x="19611" y="15811"/>
                <wp:lineTo x="21531" y="15564"/>
                <wp:lineTo x="21531" y="15317"/>
                <wp:lineTo x="19611" y="13835"/>
                <wp:lineTo x="19611" y="9882"/>
                <wp:lineTo x="21531" y="9758"/>
                <wp:lineTo x="21531" y="9635"/>
                <wp:lineTo x="19817" y="7905"/>
                <wp:lineTo x="21531" y="6176"/>
                <wp:lineTo x="21531" y="0"/>
                <wp:lineTo x="0" y="0"/>
              </wp:wrapPolygon>
            </wp:wrapTight>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00750" cy="3331210"/>
                    </a:xfrm>
                    <a:prstGeom prst="rect">
                      <a:avLst/>
                    </a:prstGeom>
                    <a:noFill/>
                    <a:ln>
                      <a:noFill/>
                    </a:ln>
                  </pic:spPr>
                </pic:pic>
              </a:graphicData>
            </a:graphic>
            <wp14:sizeRelH relativeFrom="margin">
              <wp14:pctWidth>0</wp14:pctWidth>
            </wp14:sizeRelH>
          </wp:anchor>
        </w:drawing>
      </w:r>
    </w:p>
    <w:p w14:paraId="10AEB17F"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18DBFD87"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09440" behindDoc="1" locked="0" layoutInCell="1" allowOverlap="1" wp14:anchorId="6C498B92" wp14:editId="5C7C5167">
            <wp:simplePos x="0" y="0"/>
            <wp:positionH relativeFrom="column">
              <wp:posOffset>184785</wp:posOffset>
            </wp:positionH>
            <wp:positionV relativeFrom="paragraph">
              <wp:posOffset>266700</wp:posOffset>
            </wp:positionV>
            <wp:extent cx="6000750" cy="3060065"/>
            <wp:effectExtent l="0" t="0" r="0" b="6985"/>
            <wp:wrapThrough wrapText="bothSides">
              <wp:wrapPolygon edited="0">
                <wp:start x="0" y="0"/>
                <wp:lineTo x="0" y="20439"/>
                <wp:lineTo x="617" y="21515"/>
                <wp:lineTo x="19611" y="21515"/>
                <wp:lineTo x="21531" y="20977"/>
                <wp:lineTo x="21531" y="20170"/>
                <wp:lineTo x="19611" y="19363"/>
                <wp:lineTo x="19611" y="17212"/>
                <wp:lineTo x="21531" y="15195"/>
                <wp:lineTo x="21531" y="15060"/>
                <wp:lineTo x="19611" y="15060"/>
                <wp:lineTo x="19611" y="12909"/>
                <wp:lineTo x="21531" y="11564"/>
                <wp:lineTo x="21531" y="11295"/>
                <wp:lineTo x="19611" y="10757"/>
                <wp:lineTo x="21531" y="10623"/>
                <wp:lineTo x="21531" y="9144"/>
                <wp:lineTo x="19611" y="8606"/>
                <wp:lineTo x="21051" y="8606"/>
                <wp:lineTo x="21531" y="8068"/>
                <wp:lineTo x="21531" y="0"/>
                <wp:lineTo x="0" y="0"/>
              </wp:wrapPolygon>
            </wp:wrapThrough>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00750" cy="3060065"/>
                    </a:xfrm>
                    <a:prstGeom prst="rect">
                      <a:avLst/>
                    </a:prstGeom>
                    <a:noFill/>
                    <a:ln>
                      <a:noFill/>
                    </a:ln>
                  </pic:spPr>
                </pic:pic>
              </a:graphicData>
            </a:graphic>
            <wp14:sizeRelH relativeFrom="margin">
              <wp14:pctWidth>0</wp14:pctWidth>
            </wp14:sizeRelH>
          </wp:anchor>
        </w:drawing>
      </w:r>
    </w:p>
    <w:p w14:paraId="4A99D3D9"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0A610154"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467CB0A8"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3891FF43" w14:textId="77777777" w:rsidR="00F56356" w:rsidRPr="00F56356" w:rsidRDefault="00F56356" w:rsidP="00F56356">
      <w:pPr>
        <w:spacing w:after="0" w:line="360" w:lineRule="auto"/>
        <w:ind w:left="284" w:right="816"/>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lastRenderedPageBreak/>
        <w:drawing>
          <wp:inline distT="0" distB="0" distL="0" distR="0" wp14:anchorId="284BD5E1" wp14:editId="0058DD14">
            <wp:extent cx="5895975" cy="8763000"/>
            <wp:effectExtent l="0" t="0" r="9525"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95975" cy="8763000"/>
                    </a:xfrm>
                    <a:prstGeom prst="rect">
                      <a:avLst/>
                    </a:prstGeom>
                    <a:noFill/>
                    <a:ln>
                      <a:noFill/>
                    </a:ln>
                  </pic:spPr>
                </pic:pic>
              </a:graphicData>
            </a:graphic>
          </wp:inline>
        </w:drawing>
      </w:r>
    </w:p>
    <w:p w14:paraId="53FA8C33" w14:textId="77777777" w:rsidR="00F56356" w:rsidRPr="00F56356" w:rsidRDefault="00F56356" w:rsidP="00F56356">
      <w:pPr>
        <w:spacing w:after="0" w:line="360" w:lineRule="auto"/>
        <w:ind w:left="284" w:right="816"/>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lastRenderedPageBreak/>
        <w:drawing>
          <wp:inline distT="0" distB="0" distL="0" distR="0" wp14:anchorId="6C25EE8D" wp14:editId="063D9076">
            <wp:extent cx="5922645" cy="8563970"/>
            <wp:effectExtent l="0" t="0" r="1905" b="889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27157" cy="8570494"/>
                    </a:xfrm>
                    <a:prstGeom prst="rect">
                      <a:avLst/>
                    </a:prstGeom>
                    <a:noFill/>
                    <a:ln>
                      <a:noFill/>
                    </a:ln>
                  </pic:spPr>
                </pic:pic>
              </a:graphicData>
            </a:graphic>
          </wp:inline>
        </w:drawing>
      </w:r>
    </w:p>
    <w:p w14:paraId="4DE158B8"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tbl>
      <w:tblPr>
        <w:tblW w:w="9630" w:type="dxa"/>
        <w:tblCellMar>
          <w:left w:w="70" w:type="dxa"/>
          <w:right w:w="70" w:type="dxa"/>
        </w:tblCellMar>
        <w:tblLook w:val="04A0" w:firstRow="1" w:lastRow="0" w:firstColumn="1" w:lastColumn="0" w:noHBand="0" w:noVBand="1"/>
      </w:tblPr>
      <w:tblGrid>
        <w:gridCol w:w="400"/>
        <w:gridCol w:w="2740"/>
        <w:gridCol w:w="540"/>
        <w:gridCol w:w="1240"/>
        <w:gridCol w:w="1175"/>
        <w:gridCol w:w="1180"/>
        <w:gridCol w:w="1180"/>
        <w:gridCol w:w="1175"/>
      </w:tblGrid>
      <w:tr w:rsidR="00F56356" w:rsidRPr="00F56356" w14:paraId="05188AFB" w14:textId="77777777" w:rsidTr="00F56356">
        <w:trPr>
          <w:trHeight w:val="510"/>
        </w:trPr>
        <w:tc>
          <w:tcPr>
            <w:tcW w:w="400" w:type="dxa"/>
            <w:tcBorders>
              <w:top w:val="nil"/>
              <w:left w:val="nil"/>
              <w:bottom w:val="nil"/>
              <w:right w:val="nil"/>
            </w:tcBorders>
            <w:shd w:val="clear" w:color="auto" w:fill="auto"/>
            <w:noWrap/>
            <w:vAlign w:val="bottom"/>
            <w:hideMark/>
          </w:tcPr>
          <w:p w14:paraId="59155CA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23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90CD1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11F6BCD0" w14:textId="77777777" w:rsidTr="00F56356">
        <w:trPr>
          <w:trHeight w:val="660"/>
        </w:trPr>
        <w:tc>
          <w:tcPr>
            <w:tcW w:w="400" w:type="dxa"/>
            <w:tcBorders>
              <w:top w:val="nil"/>
              <w:left w:val="nil"/>
              <w:bottom w:val="nil"/>
              <w:right w:val="nil"/>
            </w:tcBorders>
            <w:shd w:val="clear" w:color="auto" w:fill="auto"/>
            <w:noWrap/>
            <w:vAlign w:val="center"/>
            <w:hideMark/>
          </w:tcPr>
          <w:p w14:paraId="1998655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673E61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74EB80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32 - Servizi istituzionali e generali delle amministrazioni pubbliche </w:t>
            </w:r>
          </w:p>
        </w:tc>
      </w:tr>
      <w:tr w:rsidR="00F56356" w:rsidRPr="00F56356" w14:paraId="336D7FF5" w14:textId="77777777" w:rsidTr="00F56356">
        <w:trPr>
          <w:trHeight w:val="660"/>
        </w:trPr>
        <w:tc>
          <w:tcPr>
            <w:tcW w:w="400" w:type="dxa"/>
            <w:tcBorders>
              <w:top w:val="nil"/>
              <w:left w:val="nil"/>
              <w:bottom w:val="nil"/>
              <w:right w:val="nil"/>
            </w:tcBorders>
            <w:shd w:val="clear" w:color="auto" w:fill="auto"/>
            <w:noWrap/>
            <w:vAlign w:val="center"/>
            <w:hideMark/>
          </w:tcPr>
          <w:p w14:paraId="41B629F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475B2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490" w:type="dxa"/>
            <w:gridSpan w:val="6"/>
            <w:tcBorders>
              <w:top w:val="single" w:sz="4" w:space="0" w:color="auto"/>
              <w:left w:val="nil"/>
              <w:bottom w:val="single" w:sz="4" w:space="0" w:color="auto"/>
              <w:right w:val="single" w:sz="4" w:space="0" w:color="000000"/>
            </w:tcBorders>
            <w:shd w:val="clear" w:color="auto" w:fill="auto"/>
            <w:vAlign w:val="center"/>
            <w:hideMark/>
          </w:tcPr>
          <w:p w14:paraId="323EEF4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32.4 - Servizi generali delle strutture pubbliche preposte ad attività formative e</w:t>
            </w:r>
            <w:r w:rsidRPr="00F56356">
              <w:rPr>
                <w:rFonts w:ascii="Times New Roman" w:eastAsia="Times New Roman" w:hAnsi="Times New Roman" w:cs="Times New Roman"/>
                <w:color w:val="000000"/>
                <w:sz w:val="20"/>
                <w:szCs w:val="20"/>
                <w:lang w:eastAsia="it-IT"/>
              </w:rPr>
              <w:br/>
              <w:t>ad altre attività trasversali per le pubbliche amministrazioni</w:t>
            </w:r>
          </w:p>
        </w:tc>
      </w:tr>
      <w:tr w:rsidR="00F56356" w:rsidRPr="00F56356" w14:paraId="794E564D" w14:textId="77777777" w:rsidTr="00F56356">
        <w:trPr>
          <w:trHeight w:val="660"/>
        </w:trPr>
        <w:tc>
          <w:tcPr>
            <w:tcW w:w="400" w:type="dxa"/>
            <w:tcBorders>
              <w:top w:val="nil"/>
              <w:left w:val="nil"/>
              <w:bottom w:val="nil"/>
              <w:right w:val="nil"/>
            </w:tcBorders>
            <w:shd w:val="clear" w:color="auto" w:fill="auto"/>
            <w:noWrap/>
            <w:vAlign w:val="center"/>
            <w:hideMark/>
          </w:tcPr>
          <w:p w14:paraId="0AD2B0B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FD17C9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2A4DA1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12 - Innovazione tecnologica e trasformazione digitale </w:t>
            </w:r>
          </w:p>
        </w:tc>
      </w:tr>
      <w:tr w:rsidR="00F56356" w:rsidRPr="00F56356" w14:paraId="646CA13E" w14:textId="77777777" w:rsidTr="00F56356">
        <w:trPr>
          <w:trHeight w:val="435"/>
        </w:trPr>
        <w:tc>
          <w:tcPr>
            <w:tcW w:w="400" w:type="dxa"/>
            <w:tcBorders>
              <w:top w:val="nil"/>
              <w:left w:val="nil"/>
              <w:bottom w:val="nil"/>
              <w:right w:val="nil"/>
            </w:tcBorders>
            <w:shd w:val="clear" w:color="auto" w:fill="auto"/>
            <w:noWrap/>
            <w:vAlign w:val="center"/>
            <w:hideMark/>
          </w:tcPr>
          <w:p w14:paraId="4D51B48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28819F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A5971B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2F54266" w14:textId="77777777" w:rsidTr="00F56356">
        <w:trPr>
          <w:trHeight w:val="435"/>
        </w:trPr>
        <w:tc>
          <w:tcPr>
            <w:tcW w:w="400" w:type="dxa"/>
            <w:tcBorders>
              <w:top w:val="nil"/>
              <w:left w:val="nil"/>
              <w:bottom w:val="nil"/>
              <w:right w:val="nil"/>
            </w:tcBorders>
            <w:shd w:val="clear" w:color="auto" w:fill="auto"/>
            <w:noWrap/>
            <w:vAlign w:val="center"/>
            <w:hideMark/>
          </w:tcPr>
          <w:p w14:paraId="3672BBF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A1B08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7FEBF1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B62C89B" w14:textId="77777777" w:rsidTr="00F56356">
        <w:trPr>
          <w:trHeight w:val="930"/>
        </w:trPr>
        <w:tc>
          <w:tcPr>
            <w:tcW w:w="400" w:type="dxa"/>
            <w:tcBorders>
              <w:top w:val="nil"/>
              <w:left w:val="nil"/>
              <w:bottom w:val="nil"/>
              <w:right w:val="nil"/>
            </w:tcBorders>
            <w:shd w:val="clear" w:color="auto" w:fill="auto"/>
            <w:noWrap/>
            <w:vAlign w:val="center"/>
            <w:hideMark/>
          </w:tcPr>
          <w:p w14:paraId="76011E9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4006BE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490" w:type="dxa"/>
            <w:gridSpan w:val="6"/>
            <w:tcBorders>
              <w:top w:val="single" w:sz="4" w:space="0" w:color="auto"/>
              <w:left w:val="nil"/>
              <w:bottom w:val="single" w:sz="4" w:space="0" w:color="auto"/>
              <w:right w:val="single" w:sz="4" w:space="0" w:color="000000"/>
            </w:tcBorders>
            <w:shd w:val="clear" w:color="auto" w:fill="auto"/>
            <w:vAlign w:val="center"/>
            <w:hideMark/>
          </w:tcPr>
          <w:p w14:paraId="3F37D13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Coordinamento, gestione, attuazione e diffusione delle azioni e attività previste per l’utilizzo del "Fondo per l’innovazione tecnologica e la digitalizzazione" istituito dall’art. 239, comma 1, del decreto legge n. 34 del 2020. </w:t>
            </w:r>
          </w:p>
        </w:tc>
      </w:tr>
      <w:tr w:rsidR="00F56356" w:rsidRPr="00F56356" w14:paraId="0646C313" w14:textId="77777777" w:rsidTr="00F56356">
        <w:trPr>
          <w:trHeight w:val="825"/>
        </w:trPr>
        <w:tc>
          <w:tcPr>
            <w:tcW w:w="400" w:type="dxa"/>
            <w:tcBorders>
              <w:top w:val="nil"/>
              <w:left w:val="nil"/>
              <w:bottom w:val="nil"/>
              <w:right w:val="nil"/>
            </w:tcBorders>
            <w:shd w:val="clear" w:color="auto" w:fill="auto"/>
            <w:noWrap/>
            <w:vAlign w:val="center"/>
            <w:hideMark/>
          </w:tcPr>
          <w:p w14:paraId="77B6CC0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ABE340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90" w:type="dxa"/>
            <w:gridSpan w:val="6"/>
            <w:tcBorders>
              <w:top w:val="single" w:sz="4" w:space="0" w:color="auto"/>
              <w:left w:val="nil"/>
              <w:bottom w:val="single" w:sz="4" w:space="0" w:color="auto"/>
              <w:right w:val="single" w:sz="4" w:space="0" w:color="000000"/>
            </w:tcBorders>
            <w:shd w:val="clear" w:color="auto" w:fill="auto"/>
            <w:vAlign w:val="center"/>
            <w:hideMark/>
          </w:tcPr>
          <w:p w14:paraId="2DE005A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relative all’avvio del coordinamento delle azioni, iniziative ed opere programmate.</w:t>
            </w:r>
          </w:p>
        </w:tc>
      </w:tr>
      <w:tr w:rsidR="00F56356" w:rsidRPr="00F56356" w14:paraId="125571F1" w14:textId="77777777" w:rsidTr="00F56356">
        <w:trPr>
          <w:trHeight w:val="525"/>
        </w:trPr>
        <w:tc>
          <w:tcPr>
            <w:tcW w:w="400" w:type="dxa"/>
            <w:tcBorders>
              <w:top w:val="nil"/>
              <w:left w:val="nil"/>
              <w:bottom w:val="nil"/>
              <w:right w:val="nil"/>
            </w:tcBorders>
            <w:shd w:val="clear" w:color="auto" w:fill="auto"/>
            <w:noWrap/>
            <w:vAlign w:val="bottom"/>
            <w:hideMark/>
          </w:tcPr>
          <w:p w14:paraId="63B661B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66D014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9177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920</w:t>
            </w:r>
          </w:p>
        </w:tc>
        <w:tc>
          <w:tcPr>
            <w:tcW w:w="241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C5100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3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04F5C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6DF2CB4A" w14:textId="77777777" w:rsidTr="00F56356">
        <w:trPr>
          <w:trHeight w:val="1305"/>
        </w:trPr>
        <w:tc>
          <w:tcPr>
            <w:tcW w:w="400" w:type="dxa"/>
            <w:tcBorders>
              <w:top w:val="nil"/>
              <w:left w:val="nil"/>
              <w:bottom w:val="nil"/>
              <w:right w:val="nil"/>
            </w:tcBorders>
            <w:shd w:val="clear" w:color="auto" w:fill="auto"/>
            <w:noWrap/>
            <w:vAlign w:val="bottom"/>
            <w:hideMark/>
          </w:tcPr>
          <w:p w14:paraId="7300E93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4FED0F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EA2AD2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1D997D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75" w:type="dxa"/>
            <w:tcBorders>
              <w:top w:val="nil"/>
              <w:left w:val="nil"/>
              <w:bottom w:val="single" w:sz="4" w:space="0" w:color="auto"/>
              <w:right w:val="single" w:sz="4" w:space="0" w:color="auto"/>
            </w:tcBorders>
            <w:shd w:val="clear" w:color="auto" w:fill="auto"/>
            <w:vAlign w:val="center"/>
            <w:hideMark/>
          </w:tcPr>
          <w:p w14:paraId="13A2274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EC9E6C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32A62C5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75" w:type="dxa"/>
            <w:tcBorders>
              <w:top w:val="nil"/>
              <w:left w:val="nil"/>
              <w:bottom w:val="single" w:sz="4" w:space="0" w:color="auto"/>
              <w:right w:val="single" w:sz="4" w:space="0" w:color="auto"/>
            </w:tcBorders>
            <w:shd w:val="clear" w:color="auto" w:fill="auto"/>
            <w:vAlign w:val="center"/>
            <w:hideMark/>
          </w:tcPr>
          <w:p w14:paraId="2BFEEDB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15F35B4" w14:textId="77777777" w:rsidTr="00F56356">
        <w:trPr>
          <w:trHeight w:val="720"/>
        </w:trPr>
        <w:tc>
          <w:tcPr>
            <w:tcW w:w="400" w:type="dxa"/>
            <w:tcBorders>
              <w:top w:val="nil"/>
              <w:left w:val="nil"/>
              <w:bottom w:val="nil"/>
              <w:right w:val="nil"/>
            </w:tcBorders>
            <w:shd w:val="clear" w:color="auto" w:fill="auto"/>
            <w:noWrap/>
            <w:vAlign w:val="bottom"/>
            <w:hideMark/>
          </w:tcPr>
          <w:p w14:paraId="166DC41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C08FAC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F897C4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870D34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55.000.000,00</w:t>
            </w:r>
          </w:p>
        </w:tc>
        <w:tc>
          <w:tcPr>
            <w:tcW w:w="1175" w:type="dxa"/>
            <w:tcBorders>
              <w:top w:val="nil"/>
              <w:left w:val="nil"/>
              <w:bottom w:val="single" w:sz="4" w:space="0" w:color="auto"/>
              <w:right w:val="single" w:sz="4" w:space="0" w:color="auto"/>
            </w:tcBorders>
            <w:shd w:val="clear" w:color="auto" w:fill="auto"/>
            <w:noWrap/>
            <w:vAlign w:val="center"/>
            <w:hideMark/>
          </w:tcPr>
          <w:p w14:paraId="4B65584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92.256.301,27</w:t>
            </w:r>
          </w:p>
        </w:tc>
        <w:tc>
          <w:tcPr>
            <w:tcW w:w="1180" w:type="dxa"/>
            <w:tcBorders>
              <w:top w:val="nil"/>
              <w:left w:val="nil"/>
              <w:bottom w:val="single" w:sz="4" w:space="0" w:color="auto"/>
              <w:right w:val="single" w:sz="4" w:space="0" w:color="auto"/>
            </w:tcBorders>
            <w:shd w:val="clear" w:color="auto" w:fill="auto"/>
            <w:noWrap/>
            <w:vAlign w:val="center"/>
            <w:hideMark/>
          </w:tcPr>
          <w:p w14:paraId="09F96D3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1.806.421,75</w:t>
            </w:r>
          </w:p>
        </w:tc>
        <w:tc>
          <w:tcPr>
            <w:tcW w:w="1180" w:type="dxa"/>
            <w:tcBorders>
              <w:top w:val="nil"/>
              <w:left w:val="nil"/>
              <w:bottom w:val="single" w:sz="4" w:space="0" w:color="auto"/>
              <w:right w:val="single" w:sz="4" w:space="0" w:color="auto"/>
            </w:tcBorders>
            <w:shd w:val="clear" w:color="auto" w:fill="auto"/>
            <w:noWrap/>
            <w:vAlign w:val="center"/>
            <w:hideMark/>
          </w:tcPr>
          <w:p w14:paraId="40DEEE3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10.110.529,56</w:t>
            </w:r>
          </w:p>
        </w:tc>
        <w:tc>
          <w:tcPr>
            <w:tcW w:w="1175" w:type="dxa"/>
            <w:tcBorders>
              <w:top w:val="nil"/>
              <w:left w:val="nil"/>
              <w:bottom w:val="single" w:sz="4" w:space="0" w:color="auto"/>
              <w:right w:val="single" w:sz="4" w:space="0" w:color="auto"/>
            </w:tcBorders>
            <w:shd w:val="clear" w:color="auto" w:fill="auto"/>
            <w:noWrap/>
            <w:vAlign w:val="center"/>
            <w:hideMark/>
          </w:tcPr>
          <w:p w14:paraId="436629D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11.916.951,31</w:t>
            </w:r>
          </w:p>
        </w:tc>
      </w:tr>
      <w:tr w:rsidR="00F56356" w:rsidRPr="00F56356" w14:paraId="7F5C2B36" w14:textId="77777777" w:rsidTr="00F56356">
        <w:trPr>
          <w:trHeight w:val="330"/>
        </w:trPr>
        <w:tc>
          <w:tcPr>
            <w:tcW w:w="400" w:type="dxa"/>
            <w:tcBorders>
              <w:top w:val="nil"/>
              <w:left w:val="nil"/>
              <w:bottom w:val="nil"/>
              <w:right w:val="nil"/>
            </w:tcBorders>
            <w:shd w:val="clear" w:color="auto" w:fill="auto"/>
            <w:noWrap/>
            <w:vAlign w:val="bottom"/>
            <w:hideMark/>
          </w:tcPr>
          <w:p w14:paraId="7C9C211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0CAF56DD"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DA4238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CF45B5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nil"/>
            </w:tcBorders>
            <w:shd w:val="clear" w:color="auto" w:fill="auto"/>
            <w:noWrap/>
            <w:vAlign w:val="bottom"/>
            <w:hideMark/>
          </w:tcPr>
          <w:p w14:paraId="2562171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F1D97F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D5ABB4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5" w:type="dxa"/>
            <w:tcBorders>
              <w:top w:val="nil"/>
              <w:left w:val="nil"/>
              <w:bottom w:val="nil"/>
              <w:right w:val="single" w:sz="4" w:space="0" w:color="auto"/>
            </w:tcBorders>
            <w:shd w:val="clear" w:color="auto" w:fill="auto"/>
            <w:noWrap/>
            <w:vAlign w:val="bottom"/>
            <w:hideMark/>
          </w:tcPr>
          <w:p w14:paraId="4CD0BFD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C800C8C" w14:textId="77777777" w:rsidTr="00F56356">
        <w:trPr>
          <w:trHeight w:val="465"/>
        </w:trPr>
        <w:tc>
          <w:tcPr>
            <w:tcW w:w="400" w:type="dxa"/>
            <w:tcBorders>
              <w:top w:val="nil"/>
              <w:left w:val="nil"/>
              <w:bottom w:val="nil"/>
              <w:right w:val="nil"/>
            </w:tcBorders>
            <w:shd w:val="clear" w:color="auto" w:fill="auto"/>
            <w:noWrap/>
            <w:vAlign w:val="bottom"/>
            <w:hideMark/>
          </w:tcPr>
          <w:p w14:paraId="0DF2B8D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230" w:type="dxa"/>
            <w:gridSpan w:val="7"/>
            <w:tcBorders>
              <w:top w:val="nil"/>
              <w:left w:val="single" w:sz="4" w:space="0" w:color="auto"/>
              <w:bottom w:val="nil"/>
              <w:right w:val="single" w:sz="4" w:space="0" w:color="000000"/>
            </w:tcBorders>
            <w:shd w:val="clear" w:color="auto" w:fill="auto"/>
            <w:vAlign w:val="center"/>
            <w:hideMark/>
          </w:tcPr>
          <w:p w14:paraId="33AA049F"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A182AA1" w14:textId="77777777" w:rsidTr="00F56356">
        <w:trPr>
          <w:trHeight w:val="375"/>
        </w:trPr>
        <w:tc>
          <w:tcPr>
            <w:tcW w:w="400" w:type="dxa"/>
            <w:tcBorders>
              <w:top w:val="nil"/>
              <w:left w:val="nil"/>
              <w:bottom w:val="nil"/>
              <w:right w:val="nil"/>
            </w:tcBorders>
            <w:shd w:val="clear" w:color="auto" w:fill="auto"/>
            <w:noWrap/>
            <w:vAlign w:val="bottom"/>
            <w:hideMark/>
          </w:tcPr>
          <w:p w14:paraId="776E26F4"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230" w:type="dxa"/>
            <w:gridSpan w:val="7"/>
            <w:tcBorders>
              <w:top w:val="nil"/>
              <w:left w:val="single" w:sz="4" w:space="0" w:color="auto"/>
              <w:bottom w:val="nil"/>
              <w:right w:val="single" w:sz="4" w:space="0" w:color="000000"/>
            </w:tcBorders>
            <w:shd w:val="clear" w:color="auto" w:fill="auto"/>
            <w:vAlign w:val="center"/>
            <w:hideMark/>
          </w:tcPr>
          <w:p w14:paraId="57D96583"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22DE84E2" w14:textId="77777777" w:rsidTr="00F56356">
        <w:trPr>
          <w:trHeight w:val="375"/>
        </w:trPr>
        <w:tc>
          <w:tcPr>
            <w:tcW w:w="400" w:type="dxa"/>
            <w:tcBorders>
              <w:top w:val="nil"/>
              <w:left w:val="nil"/>
              <w:bottom w:val="nil"/>
              <w:right w:val="nil"/>
            </w:tcBorders>
            <w:shd w:val="clear" w:color="auto" w:fill="auto"/>
            <w:noWrap/>
            <w:vAlign w:val="bottom"/>
            <w:hideMark/>
          </w:tcPr>
          <w:p w14:paraId="1C284CBD"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230" w:type="dxa"/>
            <w:gridSpan w:val="7"/>
            <w:tcBorders>
              <w:top w:val="nil"/>
              <w:left w:val="single" w:sz="4" w:space="0" w:color="auto"/>
              <w:bottom w:val="single" w:sz="4" w:space="0" w:color="auto"/>
              <w:right w:val="single" w:sz="4" w:space="0" w:color="000000"/>
            </w:tcBorders>
            <w:shd w:val="clear" w:color="auto" w:fill="auto"/>
            <w:vAlign w:val="center"/>
            <w:hideMark/>
          </w:tcPr>
          <w:p w14:paraId="5114B7DD"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3F7CBB48" w14:textId="77777777" w:rsidTr="00F56356">
        <w:trPr>
          <w:trHeight w:val="345"/>
        </w:trPr>
        <w:tc>
          <w:tcPr>
            <w:tcW w:w="400" w:type="dxa"/>
            <w:tcBorders>
              <w:top w:val="nil"/>
              <w:left w:val="nil"/>
              <w:bottom w:val="nil"/>
              <w:right w:val="nil"/>
            </w:tcBorders>
            <w:shd w:val="clear" w:color="auto" w:fill="auto"/>
            <w:noWrap/>
            <w:vAlign w:val="bottom"/>
            <w:hideMark/>
          </w:tcPr>
          <w:p w14:paraId="4D9CA5A5"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p>
        </w:tc>
        <w:tc>
          <w:tcPr>
            <w:tcW w:w="923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B991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093995CF" w14:textId="77777777" w:rsidTr="00F56356">
        <w:trPr>
          <w:trHeight w:val="667"/>
        </w:trPr>
        <w:tc>
          <w:tcPr>
            <w:tcW w:w="400" w:type="dxa"/>
            <w:tcBorders>
              <w:top w:val="nil"/>
              <w:left w:val="nil"/>
              <w:bottom w:val="nil"/>
              <w:right w:val="nil"/>
            </w:tcBorders>
            <w:shd w:val="clear" w:color="auto" w:fill="auto"/>
            <w:noWrap/>
            <w:vAlign w:val="center"/>
            <w:hideMark/>
          </w:tcPr>
          <w:p w14:paraId="2F298E4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43FA7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90" w:type="dxa"/>
            <w:gridSpan w:val="6"/>
            <w:tcBorders>
              <w:top w:val="single" w:sz="4" w:space="0" w:color="auto"/>
              <w:left w:val="nil"/>
              <w:bottom w:val="single" w:sz="4" w:space="0" w:color="auto"/>
              <w:right w:val="single" w:sz="4" w:space="0" w:color="000000"/>
            </w:tcBorders>
            <w:shd w:val="clear" w:color="auto" w:fill="auto"/>
            <w:vAlign w:val="center"/>
            <w:hideMark/>
          </w:tcPr>
          <w:p w14:paraId="12EC2AF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Capacità di avviare progetti, iniziative e attività nell’ambito delle politiche di settore rispetto al totale dei progetti, iniziative e attività autorizzati. </w:t>
            </w:r>
          </w:p>
        </w:tc>
      </w:tr>
      <w:tr w:rsidR="00F56356" w:rsidRPr="00F56356" w14:paraId="6A5A6AA1" w14:textId="77777777" w:rsidTr="00F56356">
        <w:trPr>
          <w:trHeight w:val="615"/>
        </w:trPr>
        <w:tc>
          <w:tcPr>
            <w:tcW w:w="400" w:type="dxa"/>
            <w:tcBorders>
              <w:top w:val="nil"/>
              <w:left w:val="nil"/>
              <w:bottom w:val="nil"/>
              <w:right w:val="nil"/>
            </w:tcBorders>
            <w:shd w:val="clear" w:color="auto" w:fill="auto"/>
            <w:noWrap/>
            <w:vAlign w:val="center"/>
            <w:hideMark/>
          </w:tcPr>
          <w:p w14:paraId="0134E9A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5F3D7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490" w:type="dxa"/>
            <w:gridSpan w:val="6"/>
            <w:tcBorders>
              <w:top w:val="single" w:sz="4" w:space="0" w:color="auto"/>
              <w:left w:val="nil"/>
              <w:bottom w:val="single" w:sz="4" w:space="0" w:color="auto"/>
              <w:right w:val="single" w:sz="4" w:space="0" w:color="000000"/>
            </w:tcBorders>
            <w:shd w:val="clear" w:color="auto" w:fill="auto"/>
            <w:vAlign w:val="center"/>
            <w:hideMark/>
          </w:tcPr>
          <w:p w14:paraId="56B1496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SICOGE/protocollo informatico/posta elettronica certificata/altri sistemi di monitoraggio degli interventi.</w:t>
            </w:r>
          </w:p>
        </w:tc>
      </w:tr>
      <w:tr w:rsidR="00F56356" w:rsidRPr="00F56356" w14:paraId="69BF3156" w14:textId="77777777" w:rsidTr="00F56356">
        <w:trPr>
          <w:trHeight w:val="1790"/>
        </w:trPr>
        <w:tc>
          <w:tcPr>
            <w:tcW w:w="400" w:type="dxa"/>
            <w:tcBorders>
              <w:top w:val="nil"/>
              <w:left w:val="nil"/>
              <w:bottom w:val="nil"/>
              <w:right w:val="nil"/>
            </w:tcBorders>
            <w:shd w:val="clear" w:color="auto" w:fill="auto"/>
            <w:noWrap/>
            <w:vAlign w:val="center"/>
            <w:hideMark/>
          </w:tcPr>
          <w:p w14:paraId="29B99DB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0E57A8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55" w:type="dxa"/>
            <w:gridSpan w:val="3"/>
            <w:tcBorders>
              <w:top w:val="single" w:sz="4" w:space="0" w:color="auto"/>
              <w:left w:val="nil"/>
              <w:bottom w:val="single" w:sz="4" w:space="0" w:color="auto"/>
              <w:right w:val="single" w:sz="4" w:space="0" w:color="000000"/>
            </w:tcBorders>
            <w:shd w:val="clear" w:color="auto" w:fill="auto"/>
            <w:vAlign w:val="center"/>
            <w:hideMark/>
          </w:tcPr>
          <w:p w14:paraId="0E99AA1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progetti, iniziative e attività avviati / N. totale dei progetti, iniziative e attività programmati all’interno dei decreti di riparto annuale del Fondo adottati dall’Autorità politica di riferimento</w:t>
            </w:r>
          </w:p>
        </w:tc>
        <w:tc>
          <w:tcPr>
            <w:tcW w:w="1180" w:type="dxa"/>
            <w:tcBorders>
              <w:top w:val="nil"/>
              <w:left w:val="nil"/>
              <w:bottom w:val="single" w:sz="4" w:space="0" w:color="auto"/>
              <w:right w:val="nil"/>
            </w:tcBorders>
            <w:shd w:val="clear" w:color="auto" w:fill="auto"/>
            <w:vAlign w:val="center"/>
            <w:hideMark/>
          </w:tcPr>
          <w:p w14:paraId="381E03A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single" w:sz="4" w:space="0" w:color="auto"/>
              <w:bottom w:val="single" w:sz="4" w:space="0" w:color="auto"/>
              <w:right w:val="nil"/>
            </w:tcBorders>
            <w:shd w:val="clear" w:color="auto" w:fill="auto"/>
            <w:vAlign w:val="center"/>
            <w:hideMark/>
          </w:tcPr>
          <w:p w14:paraId="727FD1D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75" w:type="dxa"/>
            <w:tcBorders>
              <w:top w:val="nil"/>
              <w:left w:val="single" w:sz="4" w:space="0" w:color="auto"/>
              <w:bottom w:val="single" w:sz="4" w:space="0" w:color="auto"/>
              <w:right w:val="single" w:sz="4" w:space="0" w:color="auto"/>
            </w:tcBorders>
            <w:shd w:val="clear" w:color="auto" w:fill="auto"/>
            <w:vAlign w:val="center"/>
            <w:hideMark/>
          </w:tcPr>
          <w:p w14:paraId="2CA24F0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495C4A64" w14:textId="77777777" w:rsidTr="00F56356">
        <w:trPr>
          <w:trHeight w:val="290"/>
        </w:trPr>
        <w:tc>
          <w:tcPr>
            <w:tcW w:w="400" w:type="dxa"/>
            <w:tcBorders>
              <w:top w:val="nil"/>
              <w:left w:val="nil"/>
              <w:bottom w:val="nil"/>
              <w:right w:val="nil"/>
            </w:tcBorders>
            <w:shd w:val="clear" w:color="auto" w:fill="auto"/>
            <w:noWrap/>
            <w:vAlign w:val="bottom"/>
            <w:hideMark/>
          </w:tcPr>
          <w:p w14:paraId="66D4900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03A52F1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55" w:type="dxa"/>
            <w:gridSpan w:val="3"/>
            <w:tcBorders>
              <w:top w:val="single" w:sz="4" w:space="0" w:color="auto"/>
              <w:left w:val="nil"/>
              <w:bottom w:val="single" w:sz="4" w:space="0" w:color="auto"/>
              <w:right w:val="single" w:sz="4" w:space="0" w:color="000000"/>
            </w:tcBorders>
            <w:shd w:val="clear" w:color="auto" w:fill="auto"/>
            <w:vAlign w:val="center"/>
            <w:hideMark/>
          </w:tcPr>
          <w:p w14:paraId="730C25B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3410160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6829F31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75" w:type="dxa"/>
            <w:tcBorders>
              <w:top w:val="nil"/>
              <w:left w:val="nil"/>
              <w:bottom w:val="single" w:sz="4" w:space="0" w:color="auto"/>
              <w:right w:val="single" w:sz="4" w:space="0" w:color="auto"/>
            </w:tcBorders>
            <w:shd w:val="clear" w:color="auto" w:fill="auto"/>
            <w:vAlign w:val="center"/>
            <w:hideMark/>
          </w:tcPr>
          <w:p w14:paraId="2C5EBBE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749EA941" w14:textId="7EE28B49" w:rsid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54065BA4" w14:textId="77777777" w:rsidR="0043213C" w:rsidRPr="00F56356" w:rsidRDefault="0043213C"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05D01508"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tbl>
      <w:tblPr>
        <w:tblW w:w="9560" w:type="dxa"/>
        <w:tblCellMar>
          <w:left w:w="70" w:type="dxa"/>
          <w:right w:w="70" w:type="dxa"/>
        </w:tblCellMar>
        <w:tblLook w:val="04A0" w:firstRow="1" w:lastRow="0" w:firstColumn="1" w:lastColumn="0" w:noHBand="0" w:noVBand="1"/>
      </w:tblPr>
      <w:tblGrid>
        <w:gridCol w:w="400"/>
        <w:gridCol w:w="2740"/>
        <w:gridCol w:w="540"/>
        <w:gridCol w:w="1240"/>
        <w:gridCol w:w="1140"/>
        <w:gridCol w:w="1180"/>
        <w:gridCol w:w="1180"/>
        <w:gridCol w:w="1140"/>
      </w:tblGrid>
      <w:tr w:rsidR="00F56356" w:rsidRPr="00F56356" w14:paraId="1C20F644" w14:textId="77777777" w:rsidTr="00F56356">
        <w:trPr>
          <w:trHeight w:val="510"/>
        </w:trPr>
        <w:tc>
          <w:tcPr>
            <w:tcW w:w="400" w:type="dxa"/>
            <w:tcBorders>
              <w:top w:val="nil"/>
              <w:left w:val="nil"/>
              <w:bottom w:val="nil"/>
              <w:right w:val="nil"/>
            </w:tcBorders>
            <w:shd w:val="clear" w:color="auto" w:fill="auto"/>
            <w:noWrap/>
            <w:vAlign w:val="bottom"/>
            <w:hideMark/>
          </w:tcPr>
          <w:p w14:paraId="1AC3957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1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49F3F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7811FDDA" w14:textId="77777777" w:rsidTr="00F56356">
        <w:trPr>
          <w:trHeight w:val="461"/>
        </w:trPr>
        <w:tc>
          <w:tcPr>
            <w:tcW w:w="400" w:type="dxa"/>
            <w:tcBorders>
              <w:top w:val="nil"/>
              <w:left w:val="nil"/>
              <w:bottom w:val="nil"/>
              <w:right w:val="nil"/>
            </w:tcBorders>
            <w:shd w:val="clear" w:color="auto" w:fill="auto"/>
            <w:noWrap/>
            <w:vAlign w:val="center"/>
            <w:hideMark/>
          </w:tcPr>
          <w:p w14:paraId="379456A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0CC6D1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D81652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32 - Servizi istituzionali e generali delle amministrazioni pubbliche </w:t>
            </w:r>
          </w:p>
        </w:tc>
      </w:tr>
      <w:tr w:rsidR="00F56356" w:rsidRPr="00F56356" w14:paraId="2A3D3530" w14:textId="77777777" w:rsidTr="00F56356">
        <w:trPr>
          <w:trHeight w:val="660"/>
        </w:trPr>
        <w:tc>
          <w:tcPr>
            <w:tcW w:w="400" w:type="dxa"/>
            <w:tcBorders>
              <w:top w:val="nil"/>
              <w:left w:val="nil"/>
              <w:bottom w:val="nil"/>
              <w:right w:val="nil"/>
            </w:tcBorders>
            <w:shd w:val="clear" w:color="auto" w:fill="auto"/>
            <w:noWrap/>
            <w:vAlign w:val="center"/>
            <w:hideMark/>
          </w:tcPr>
          <w:p w14:paraId="654483F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0885B0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5A19C8E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32.4 - Servizi generali delle strutture pubbliche preposte ad attività formative e</w:t>
            </w:r>
            <w:r w:rsidRPr="00F56356">
              <w:rPr>
                <w:rFonts w:ascii="Times New Roman" w:eastAsia="Times New Roman" w:hAnsi="Times New Roman" w:cs="Times New Roman"/>
                <w:color w:val="000000"/>
                <w:sz w:val="20"/>
                <w:szCs w:val="20"/>
                <w:lang w:eastAsia="it-IT"/>
              </w:rPr>
              <w:br/>
              <w:t>ad altre attività trasversali per le pubbliche amministrazioni</w:t>
            </w:r>
          </w:p>
        </w:tc>
      </w:tr>
      <w:tr w:rsidR="00F56356" w:rsidRPr="00F56356" w14:paraId="24F2E59E" w14:textId="77777777" w:rsidTr="00F56356">
        <w:trPr>
          <w:trHeight w:val="660"/>
        </w:trPr>
        <w:tc>
          <w:tcPr>
            <w:tcW w:w="400" w:type="dxa"/>
            <w:tcBorders>
              <w:top w:val="nil"/>
              <w:left w:val="nil"/>
              <w:bottom w:val="nil"/>
              <w:right w:val="nil"/>
            </w:tcBorders>
            <w:shd w:val="clear" w:color="auto" w:fill="auto"/>
            <w:noWrap/>
            <w:vAlign w:val="center"/>
            <w:hideMark/>
          </w:tcPr>
          <w:p w14:paraId="092E422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AD02E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E56046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12 - Innovazione tecnologica e trasformazione digitale </w:t>
            </w:r>
          </w:p>
        </w:tc>
      </w:tr>
      <w:tr w:rsidR="00F56356" w:rsidRPr="00F56356" w14:paraId="5182279C" w14:textId="77777777" w:rsidTr="00F56356">
        <w:trPr>
          <w:trHeight w:val="372"/>
        </w:trPr>
        <w:tc>
          <w:tcPr>
            <w:tcW w:w="400" w:type="dxa"/>
            <w:tcBorders>
              <w:top w:val="nil"/>
              <w:left w:val="nil"/>
              <w:bottom w:val="nil"/>
              <w:right w:val="nil"/>
            </w:tcBorders>
            <w:shd w:val="clear" w:color="auto" w:fill="auto"/>
            <w:noWrap/>
            <w:vAlign w:val="center"/>
            <w:hideMark/>
          </w:tcPr>
          <w:p w14:paraId="155F92D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E916E5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C43D6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BE35CFC" w14:textId="77777777" w:rsidTr="00F56356">
        <w:trPr>
          <w:trHeight w:val="406"/>
        </w:trPr>
        <w:tc>
          <w:tcPr>
            <w:tcW w:w="400" w:type="dxa"/>
            <w:tcBorders>
              <w:top w:val="nil"/>
              <w:left w:val="nil"/>
              <w:bottom w:val="nil"/>
              <w:right w:val="nil"/>
            </w:tcBorders>
            <w:shd w:val="clear" w:color="auto" w:fill="auto"/>
            <w:noWrap/>
            <w:vAlign w:val="center"/>
            <w:hideMark/>
          </w:tcPr>
          <w:p w14:paraId="0936767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96AC70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062730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51096C5" w14:textId="77777777" w:rsidTr="00F56356">
        <w:trPr>
          <w:trHeight w:val="979"/>
        </w:trPr>
        <w:tc>
          <w:tcPr>
            <w:tcW w:w="400" w:type="dxa"/>
            <w:tcBorders>
              <w:top w:val="nil"/>
              <w:left w:val="nil"/>
              <w:bottom w:val="nil"/>
              <w:right w:val="nil"/>
            </w:tcBorders>
            <w:shd w:val="clear" w:color="auto" w:fill="auto"/>
            <w:noWrap/>
            <w:vAlign w:val="center"/>
            <w:hideMark/>
          </w:tcPr>
          <w:p w14:paraId="1C73050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395342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0DFE04F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Coordinamento, gestione, attuazione e diffusione delle azioni finalizzate alla realizzazione delle iniziative/progetti del Dipartimento per la trasformazione digitale finanziati a valere sul riparto 2020 del "Fondo Investimenti" ai sensi dell’art. 1, comma 14, della legge n. 160 del 2019. </w:t>
            </w:r>
          </w:p>
        </w:tc>
      </w:tr>
      <w:tr w:rsidR="00F56356" w:rsidRPr="00F56356" w14:paraId="3A3851FD" w14:textId="77777777" w:rsidTr="00F56356">
        <w:trPr>
          <w:trHeight w:val="1170"/>
        </w:trPr>
        <w:tc>
          <w:tcPr>
            <w:tcW w:w="400" w:type="dxa"/>
            <w:tcBorders>
              <w:top w:val="nil"/>
              <w:left w:val="nil"/>
              <w:bottom w:val="nil"/>
              <w:right w:val="nil"/>
            </w:tcBorders>
            <w:shd w:val="clear" w:color="auto" w:fill="auto"/>
            <w:noWrap/>
            <w:vAlign w:val="center"/>
            <w:hideMark/>
          </w:tcPr>
          <w:p w14:paraId="4875021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BDF31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4C6AD9F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relative all’avvio del coordinamento delle azioni, iniziative ed opere programmate per la realizzazione delle iniziative/progetti “Procurement - Sviluppo di sistemi innovativi per facilitare l’acquisizione di servizi digitali da parte delle Amministrazioni" e "Cross tech-</w:t>
            </w:r>
            <w:proofErr w:type="spellStart"/>
            <w:r w:rsidRPr="00F56356">
              <w:rPr>
                <w:rFonts w:ascii="Times New Roman" w:eastAsia="Times New Roman" w:hAnsi="Times New Roman" w:cs="Times New Roman"/>
                <w:color w:val="000000"/>
                <w:sz w:val="20"/>
                <w:szCs w:val="20"/>
                <w:lang w:eastAsia="it-IT"/>
              </w:rPr>
              <w:t>hub</w:t>
            </w:r>
            <w:proofErr w:type="spellEnd"/>
            <w:r w:rsidRPr="00F56356">
              <w:rPr>
                <w:rFonts w:ascii="Times New Roman" w:eastAsia="Times New Roman" w:hAnsi="Times New Roman" w:cs="Times New Roman"/>
                <w:color w:val="000000"/>
                <w:sz w:val="20"/>
                <w:szCs w:val="20"/>
                <w:lang w:eastAsia="it-IT"/>
              </w:rPr>
              <w:t xml:space="preserve"> Italia".</w:t>
            </w:r>
          </w:p>
        </w:tc>
      </w:tr>
      <w:tr w:rsidR="00F56356" w:rsidRPr="00F56356" w14:paraId="4ED19168" w14:textId="77777777" w:rsidTr="00F56356">
        <w:trPr>
          <w:trHeight w:val="371"/>
        </w:trPr>
        <w:tc>
          <w:tcPr>
            <w:tcW w:w="400" w:type="dxa"/>
            <w:tcBorders>
              <w:top w:val="nil"/>
              <w:left w:val="nil"/>
              <w:bottom w:val="nil"/>
              <w:right w:val="nil"/>
            </w:tcBorders>
            <w:shd w:val="clear" w:color="auto" w:fill="auto"/>
            <w:noWrap/>
            <w:vAlign w:val="bottom"/>
            <w:hideMark/>
          </w:tcPr>
          <w:p w14:paraId="1DAE236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C915E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FE0F31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947</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DA6B4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D519BC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1A66475" w14:textId="77777777" w:rsidTr="00F56356">
        <w:trPr>
          <w:trHeight w:val="1114"/>
        </w:trPr>
        <w:tc>
          <w:tcPr>
            <w:tcW w:w="400" w:type="dxa"/>
            <w:tcBorders>
              <w:top w:val="nil"/>
              <w:left w:val="nil"/>
              <w:bottom w:val="nil"/>
              <w:right w:val="nil"/>
            </w:tcBorders>
            <w:shd w:val="clear" w:color="auto" w:fill="auto"/>
            <w:noWrap/>
            <w:vAlign w:val="bottom"/>
            <w:hideMark/>
          </w:tcPr>
          <w:p w14:paraId="58C42F8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95F30D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3E1A52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289F5E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51AA865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15F17E8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6C8F7AE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76AA77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E682AF5" w14:textId="77777777" w:rsidTr="00F56356">
        <w:trPr>
          <w:trHeight w:val="523"/>
        </w:trPr>
        <w:tc>
          <w:tcPr>
            <w:tcW w:w="400" w:type="dxa"/>
            <w:tcBorders>
              <w:top w:val="nil"/>
              <w:left w:val="nil"/>
              <w:bottom w:val="nil"/>
              <w:right w:val="nil"/>
            </w:tcBorders>
            <w:shd w:val="clear" w:color="auto" w:fill="auto"/>
            <w:noWrap/>
            <w:vAlign w:val="bottom"/>
            <w:hideMark/>
          </w:tcPr>
          <w:p w14:paraId="57689E2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387A96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67B154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AEC59D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2.000.000,00</w:t>
            </w:r>
          </w:p>
        </w:tc>
        <w:tc>
          <w:tcPr>
            <w:tcW w:w="1140" w:type="dxa"/>
            <w:tcBorders>
              <w:top w:val="nil"/>
              <w:left w:val="nil"/>
              <w:bottom w:val="single" w:sz="4" w:space="0" w:color="auto"/>
              <w:right w:val="single" w:sz="4" w:space="0" w:color="auto"/>
            </w:tcBorders>
            <w:shd w:val="clear" w:color="auto" w:fill="auto"/>
            <w:noWrap/>
            <w:vAlign w:val="center"/>
            <w:hideMark/>
          </w:tcPr>
          <w:p w14:paraId="783ED85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4.000.000,00</w:t>
            </w:r>
          </w:p>
        </w:tc>
        <w:tc>
          <w:tcPr>
            <w:tcW w:w="1180" w:type="dxa"/>
            <w:tcBorders>
              <w:top w:val="nil"/>
              <w:left w:val="nil"/>
              <w:bottom w:val="single" w:sz="4" w:space="0" w:color="auto"/>
              <w:right w:val="single" w:sz="4" w:space="0" w:color="auto"/>
            </w:tcBorders>
            <w:shd w:val="clear" w:color="auto" w:fill="auto"/>
            <w:noWrap/>
            <w:vAlign w:val="center"/>
            <w:hideMark/>
          </w:tcPr>
          <w:p w14:paraId="1DFEF9B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9BDE50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507FC5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1F03251F" w14:textId="77777777" w:rsidTr="00F56356">
        <w:trPr>
          <w:trHeight w:val="330"/>
        </w:trPr>
        <w:tc>
          <w:tcPr>
            <w:tcW w:w="400" w:type="dxa"/>
            <w:tcBorders>
              <w:top w:val="nil"/>
              <w:left w:val="nil"/>
              <w:bottom w:val="nil"/>
              <w:right w:val="nil"/>
            </w:tcBorders>
            <w:shd w:val="clear" w:color="auto" w:fill="auto"/>
            <w:noWrap/>
            <w:vAlign w:val="bottom"/>
            <w:hideMark/>
          </w:tcPr>
          <w:p w14:paraId="7D44F04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8C3275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51C81F9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570196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88A62F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002CD6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68EF36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51CDAC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DAE5723" w14:textId="77777777" w:rsidTr="00F56356">
        <w:trPr>
          <w:trHeight w:val="465"/>
        </w:trPr>
        <w:tc>
          <w:tcPr>
            <w:tcW w:w="400" w:type="dxa"/>
            <w:tcBorders>
              <w:top w:val="nil"/>
              <w:left w:val="nil"/>
              <w:bottom w:val="nil"/>
              <w:right w:val="nil"/>
            </w:tcBorders>
            <w:shd w:val="clear" w:color="auto" w:fill="auto"/>
            <w:noWrap/>
            <w:vAlign w:val="bottom"/>
            <w:hideMark/>
          </w:tcPr>
          <w:p w14:paraId="56B3DBA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60" w:type="dxa"/>
            <w:gridSpan w:val="7"/>
            <w:tcBorders>
              <w:top w:val="nil"/>
              <w:left w:val="single" w:sz="4" w:space="0" w:color="auto"/>
              <w:bottom w:val="nil"/>
              <w:right w:val="single" w:sz="4" w:space="0" w:color="000000"/>
            </w:tcBorders>
            <w:shd w:val="clear" w:color="auto" w:fill="auto"/>
            <w:vAlign w:val="center"/>
            <w:hideMark/>
          </w:tcPr>
          <w:p w14:paraId="4CFE2A6C"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5CE2FB9D" w14:textId="77777777" w:rsidTr="00F56356">
        <w:trPr>
          <w:trHeight w:val="184"/>
        </w:trPr>
        <w:tc>
          <w:tcPr>
            <w:tcW w:w="400" w:type="dxa"/>
            <w:tcBorders>
              <w:top w:val="nil"/>
              <w:left w:val="nil"/>
              <w:bottom w:val="nil"/>
              <w:right w:val="nil"/>
            </w:tcBorders>
            <w:shd w:val="clear" w:color="auto" w:fill="auto"/>
            <w:noWrap/>
            <w:vAlign w:val="bottom"/>
            <w:hideMark/>
          </w:tcPr>
          <w:p w14:paraId="3451B4C1"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160" w:type="dxa"/>
            <w:gridSpan w:val="7"/>
            <w:tcBorders>
              <w:top w:val="nil"/>
              <w:left w:val="single" w:sz="4" w:space="0" w:color="auto"/>
              <w:bottom w:val="nil"/>
              <w:right w:val="single" w:sz="4" w:space="0" w:color="000000"/>
            </w:tcBorders>
            <w:shd w:val="clear" w:color="auto" w:fill="auto"/>
            <w:vAlign w:val="center"/>
            <w:hideMark/>
          </w:tcPr>
          <w:p w14:paraId="3D901E30"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6BC3A5F7" w14:textId="77777777" w:rsidTr="00F56356">
        <w:trPr>
          <w:trHeight w:val="375"/>
        </w:trPr>
        <w:tc>
          <w:tcPr>
            <w:tcW w:w="400" w:type="dxa"/>
            <w:tcBorders>
              <w:top w:val="nil"/>
              <w:left w:val="nil"/>
              <w:bottom w:val="nil"/>
              <w:right w:val="nil"/>
            </w:tcBorders>
            <w:shd w:val="clear" w:color="auto" w:fill="auto"/>
            <w:noWrap/>
            <w:vAlign w:val="bottom"/>
            <w:hideMark/>
          </w:tcPr>
          <w:p w14:paraId="0ADBB09F"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160" w:type="dxa"/>
            <w:gridSpan w:val="7"/>
            <w:tcBorders>
              <w:top w:val="nil"/>
              <w:left w:val="single" w:sz="4" w:space="0" w:color="auto"/>
              <w:bottom w:val="single" w:sz="4" w:space="0" w:color="auto"/>
              <w:right w:val="single" w:sz="4" w:space="0" w:color="000000"/>
            </w:tcBorders>
            <w:shd w:val="clear" w:color="auto" w:fill="auto"/>
            <w:vAlign w:val="center"/>
            <w:hideMark/>
          </w:tcPr>
          <w:p w14:paraId="29137D88"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691BBD5D" w14:textId="77777777" w:rsidTr="00F56356">
        <w:trPr>
          <w:trHeight w:val="345"/>
        </w:trPr>
        <w:tc>
          <w:tcPr>
            <w:tcW w:w="400" w:type="dxa"/>
            <w:tcBorders>
              <w:top w:val="nil"/>
              <w:left w:val="nil"/>
              <w:bottom w:val="nil"/>
              <w:right w:val="nil"/>
            </w:tcBorders>
            <w:shd w:val="clear" w:color="auto" w:fill="auto"/>
            <w:noWrap/>
            <w:vAlign w:val="bottom"/>
            <w:hideMark/>
          </w:tcPr>
          <w:p w14:paraId="4BC2F395"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p>
        </w:tc>
        <w:tc>
          <w:tcPr>
            <w:tcW w:w="91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788E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DFAE3C9" w14:textId="77777777" w:rsidTr="00F56356">
        <w:trPr>
          <w:trHeight w:val="630"/>
        </w:trPr>
        <w:tc>
          <w:tcPr>
            <w:tcW w:w="400" w:type="dxa"/>
            <w:tcBorders>
              <w:top w:val="nil"/>
              <w:left w:val="nil"/>
              <w:bottom w:val="nil"/>
              <w:right w:val="nil"/>
            </w:tcBorders>
            <w:shd w:val="clear" w:color="auto" w:fill="auto"/>
            <w:noWrap/>
            <w:vAlign w:val="center"/>
            <w:hideMark/>
          </w:tcPr>
          <w:p w14:paraId="683C828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4679A6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459A5D5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Capacità di avviare progetti, iniziative e attività nell’ambito delle politiche di settore rispetto al totale dei progetti, iniziative e attività programmati. </w:t>
            </w:r>
          </w:p>
        </w:tc>
      </w:tr>
      <w:tr w:rsidR="00F56356" w:rsidRPr="00F56356" w14:paraId="2DE0FF99" w14:textId="77777777" w:rsidTr="00F56356">
        <w:trPr>
          <w:trHeight w:val="615"/>
        </w:trPr>
        <w:tc>
          <w:tcPr>
            <w:tcW w:w="400" w:type="dxa"/>
            <w:tcBorders>
              <w:top w:val="nil"/>
              <w:left w:val="nil"/>
              <w:bottom w:val="nil"/>
              <w:right w:val="nil"/>
            </w:tcBorders>
            <w:shd w:val="clear" w:color="auto" w:fill="auto"/>
            <w:noWrap/>
            <w:vAlign w:val="center"/>
            <w:hideMark/>
          </w:tcPr>
          <w:p w14:paraId="2D017D6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D35653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7477AAD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SICOGE/protocollo informatico/posta elettronica certificata/altri sistemi di monitoraggio degli interventi. </w:t>
            </w:r>
          </w:p>
        </w:tc>
      </w:tr>
      <w:tr w:rsidR="00F56356" w:rsidRPr="00F56356" w14:paraId="106AAE57" w14:textId="77777777" w:rsidTr="00F56356">
        <w:trPr>
          <w:trHeight w:val="1472"/>
        </w:trPr>
        <w:tc>
          <w:tcPr>
            <w:tcW w:w="400" w:type="dxa"/>
            <w:tcBorders>
              <w:top w:val="nil"/>
              <w:left w:val="nil"/>
              <w:bottom w:val="nil"/>
              <w:right w:val="nil"/>
            </w:tcBorders>
            <w:shd w:val="clear" w:color="auto" w:fill="auto"/>
            <w:noWrap/>
            <w:vAlign w:val="center"/>
            <w:hideMark/>
          </w:tcPr>
          <w:p w14:paraId="2BBA6B2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9AE419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D17FA9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progetti, iniziative e attività avviati / N. totale dei progetti, iniziative e attività programmati nella Direttiva generale annuale dell’Autorità politica di riferimento</w:t>
            </w:r>
          </w:p>
        </w:tc>
        <w:tc>
          <w:tcPr>
            <w:tcW w:w="1180" w:type="dxa"/>
            <w:tcBorders>
              <w:top w:val="nil"/>
              <w:left w:val="nil"/>
              <w:bottom w:val="single" w:sz="4" w:space="0" w:color="auto"/>
              <w:right w:val="nil"/>
            </w:tcBorders>
            <w:shd w:val="clear" w:color="auto" w:fill="auto"/>
            <w:vAlign w:val="center"/>
            <w:hideMark/>
          </w:tcPr>
          <w:p w14:paraId="3BF4D1B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single" w:sz="4" w:space="0" w:color="auto"/>
              <w:bottom w:val="single" w:sz="4" w:space="0" w:color="auto"/>
              <w:right w:val="nil"/>
            </w:tcBorders>
            <w:shd w:val="clear" w:color="auto" w:fill="auto"/>
            <w:vAlign w:val="center"/>
            <w:hideMark/>
          </w:tcPr>
          <w:p w14:paraId="3A1F0E8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7E680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4B972AC4" w14:textId="77777777" w:rsidTr="00F56356">
        <w:trPr>
          <w:trHeight w:val="420"/>
        </w:trPr>
        <w:tc>
          <w:tcPr>
            <w:tcW w:w="400" w:type="dxa"/>
            <w:tcBorders>
              <w:top w:val="nil"/>
              <w:left w:val="nil"/>
              <w:bottom w:val="nil"/>
              <w:right w:val="nil"/>
            </w:tcBorders>
            <w:shd w:val="clear" w:color="auto" w:fill="auto"/>
            <w:noWrap/>
            <w:vAlign w:val="bottom"/>
            <w:hideMark/>
          </w:tcPr>
          <w:p w14:paraId="67AEFD7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F3FCC5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D8E682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2B3EEF3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286B262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31A2BF7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r w:rsidR="00F56356" w:rsidRPr="00F56356" w14:paraId="15DE8404" w14:textId="77777777" w:rsidTr="00F56356">
        <w:trPr>
          <w:trHeight w:val="925"/>
        </w:trPr>
        <w:tc>
          <w:tcPr>
            <w:tcW w:w="400" w:type="dxa"/>
            <w:tcBorders>
              <w:top w:val="nil"/>
              <w:left w:val="nil"/>
              <w:bottom w:val="nil"/>
              <w:right w:val="nil"/>
            </w:tcBorders>
            <w:shd w:val="clear" w:color="auto" w:fill="auto"/>
            <w:noWrap/>
            <w:vAlign w:val="bottom"/>
            <w:hideMark/>
          </w:tcPr>
          <w:p w14:paraId="01507D7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16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07E92289"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Si rappresenta che le attività realizzate nel corso 2022, specificatamente per l’avvio dell’iniziativa “Cross Tech-</w:t>
            </w:r>
            <w:proofErr w:type="spellStart"/>
            <w:r w:rsidRPr="00F56356">
              <w:rPr>
                <w:rFonts w:ascii="Times New Roman" w:eastAsia="Times New Roman" w:hAnsi="Times New Roman" w:cs="Times New Roman"/>
                <w:color w:val="000000"/>
                <w:sz w:val="18"/>
                <w:szCs w:val="18"/>
                <w:lang w:eastAsia="it-IT"/>
              </w:rPr>
              <w:t>Hub</w:t>
            </w:r>
            <w:proofErr w:type="spellEnd"/>
            <w:r w:rsidRPr="00F56356">
              <w:rPr>
                <w:rFonts w:ascii="Times New Roman" w:eastAsia="Times New Roman" w:hAnsi="Times New Roman" w:cs="Times New Roman"/>
                <w:color w:val="000000"/>
                <w:sz w:val="18"/>
                <w:szCs w:val="18"/>
                <w:lang w:eastAsia="it-IT"/>
              </w:rPr>
              <w:t xml:space="preserve">”, non hanno richiesto l’impegno delle risorse appostate sul pertinente capitolo di spesa n. 947. Tali risorse, a seguito del riporto delle stesse </w:t>
            </w:r>
            <w:proofErr w:type="gramStart"/>
            <w:r w:rsidRPr="00F56356">
              <w:rPr>
                <w:rFonts w:ascii="Times New Roman" w:eastAsia="Times New Roman" w:hAnsi="Times New Roman" w:cs="Times New Roman"/>
                <w:color w:val="000000"/>
                <w:sz w:val="18"/>
                <w:szCs w:val="18"/>
                <w:lang w:eastAsia="it-IT"/>
              </w:rPr>
              <w:t>all’</w:t>
            </w:r>
            <w:proofErr w:type="spellStart"/>
            <w:r w:rsidRPr="00F56356">
              <w:rPr>
                <w:rFonts w:ascii="Times New Roman" w:eastAsia="Times New Roman" w:hAnsi="Times New Roman" w:cs="Times New Roman"/>
                <w:color w:val="000000"/>
                <w:sz w:val="18"/>
                <w:szCs w:val="18"/>
                <w:lang w:eastAsia="it-IT"/>
              </w:rPr>
              <w:t>es.fin</w:t>
            </w:r>
            <w:proofErr w:type="spellEnd"/>
            <w:proofErr w:type="gramEnd"/>
            <w:r w:rsidRPr="00F56356">
              <w:rPr>
                <w:rFonts w:ascii="Times New Roman" w:eastAsia="Times New Roman" w:hAnsi="Times New Roman" w:cs="Times New Roman"/>
                <w:color w:val="000000"/>
                <w:sz w:val="18"/>
                <w:szCs w:val="18"/>
                <w:lang w:eastAsia="it-IT"/>
              </w:rPr>
              <w:t>. 2023, verranno utilizzate per la copertura dei costi derivanti dagli atti attuativi che seguiranno al protocollo di intesa sottoscritto tra DTD e ENAC per lo specifico settore strategico della “mobilità verticale".</w:t>
            </w:r>
          </w:p>
        </w:tc>
      </w:tr>
    </w:tbl>
    <w:p w14:paraId="147B4CCF" w14:textId="77777777" w:rsidR="00F56356" w:rsidRPr="00F56356" w:rsidRDefault="00F56356" w:rsidP="00F56356">
      <w:pPr>
        <w:spacing w:after="0" w:line="360" w:lineRule="auto"/>
        <w:ind w:left="284" w:right="816" w:firstLine="900"/>
        <w:jc w:val="both"/>
        <w:rPr>
          <w:rFonts w:ascii="Times New Roman" w:eastAsia="Times New Roman" w:hAnsi="Times New Roman" w:cs="Times New Roman"/>
          <w:color w:val="FF0000"/>
          <w:sz w:val="24"/>
          <w:szCs w:val="24"/>
          <w:lang w:eastAsia="it-IT"/>
        </w:rPr>
      </w:pPr>
    </w:p>
    <w:p w14:paraId="593E57A2" w14:textId="12F6809E" w:rsid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F13CD0C" w14:textId="77777777" w:rsidR="0043213C" w:rsidRPr="00F56356" w:rsidRDefault="0043213C"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tbl>
      <w:tblPr>
        <w:tblW w:w="9781" w:type="dxa"/>
        <w:tblLayout w:type="fixed"/>
        <w:tblCellMar>
          <w:left w:w="70" w:type="dxa"/>
          <w:right w:w="70" w:type="dxa"/>
        </w:tblCellMar>
        <w:tblLook w:val="04A0" w:firstRow="1" w:lastRow="0" w:firstColumn="1" w:lastColumn="0" w:noHBand="0" w:noVBand="1"/>
      </w:tblPr>
      <w:tblGrid>
        <w:gridCol w:w="400"/>
        <w:gridCol w:w="2740"/>
        <w:gridCol w:w="540"/>
        <w:gridCol w:w="1265"/>
        <w:gridCol w:w="1300"/>
        <w:gridCol w:w="1180"/>
        <w:gridCol w:w="1180"/>
        <w:gridCol w:w="1176"/>
      </w:tblGrid>
      <w:tr w:rsidR="00F56356" w:rsidRPr="00F56356" w14:paraId="6F67FB0D" w14:textId="77777777" w:rsidTr="00F56356">
        <w:trPr>
          <w:trHeight w:val="425"/>
        </w:trPr>
        <w:tc>
          <w:tcPr>
            <w:tcW w:w="400" w:type="dxa"/>
            <w:tcBorders>
              <w:top w:val="nil"/>
              <w:left w:val="nil"/>
              <w:bottom w:val="nil"/>
              <w:right w:val="nil"/>
            </w:tcBorders>
            <w:shd w:val="clear" w:color="auto" w:fill="auto"/>
            <w:noWrap/>
            <w:vAlign w:val="bottom"/>
            <w:hideMark/>
          </w:tcPr>
          <w:p w14:paraId="47B4CD6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8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39185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15F960B5" w14:textId="77777777" w:rsidTr="00F56356">
        <w:trPr>
          <w:trHeight w:val="345"/>
        </w:trPr>
        <w:tc>
          <w:tcPr>
            <w:tcW w:w="400" w:type="dxa"/>
            <w:tcBorders>
              <w:top w:val="nil"/>
              <w:left w:val="nil"/>
              <w:bottom w:val="nil"/>
              <w:right w:val="nil"/>
            </w:tcBorders>
            <w:shd w:val="clear" w:color="auto" w:fill="auto"/>
            <w:noWrap/>
            <w:vAlign w:val="center"/>
            <w:hideMark/>
          </w:tcPr>
          <w:p w14:paraId="0317112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6F96FD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4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A43615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32 - Servizi istituzionali e generali delle amministrazioni pubbliche </w:t>
            </w:r>
          </w:p>
        </w:tc>
      </w:tr>
      <w:tr w:rsidR="00F56356" w:rsidRPr="00F56356" w14:paraId="6A0DD082" w14:textId="77777777" w:rsidTr="00F56356">
        <w:trPr>
          <w:trHeight w:val="478"/>
        </w:trPr>
        <w:tc>
          <w:tcPr>
            <w:tcW w:w="400" w:type="dxa"/>
            <w:tcBorders>
              <w:top w:val="nil"/>
              <w:left w:val="nil"/>
              <w:bottom w:val="nil"/>
              <w:right w:val="nil"/>
            </w:tcBorders>
            <w:shd w:val="clear" w:color="auto" w:fill="auto"/>
            <w:noWrap/>
            <w:vAlign w:val="center"/>
            <w:hideMark/>
          </w:tcPr>
          <w:p w14:paraId="1AFFB20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E5DB22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41" w:type="dxa"/>
            <w:gridSpan w:val="6"/>
            <w:tcBorders>
              <w:top w:val="single" w:sz="4" w:space="0" w:color="auto"/>
              <w:left w:val="nil"/>
              <w:bottom w:val="single" w:sz="4" w:space="0" w:color="auto"/>
              <w:right w:val="single" w:sz="4" w:space="0" w:color="000000"/>
            </w:tcBorders>
            <w:shd w:val="clear" w:color="auto" w:fill="auto"/>
            <w:vAlign w:val="center"/>
            <w:hideMark/>
          </w:tcPr>
          <w:p w14:paraId="4B8936F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32.4 - Servizi generali delle strutture pubbliche preposte ad attività formative e</w:t>
            </w:r>
            <w:r w:rsidRPr="00F56356">
              <w:rPr>
                <w:rFonts w:ascii="Times New Roman" w:eastAsia="Times New Roman" w:hAnsi="Times New Roman" w:cs="Times New Roman"/>
                <w:color w:val="000000"/>
                <w:sz w:val="20"/>
                <w:szCs w:val="20"/>
                <w:lang w:eastAsia="it-IT"/>
              </w:rPr>
              <w:br/>
              <w:t>ad altre attività trasversali per le pubbliche amministrazioni</w:t>
            </w:r>
          </w:p>
        </w:tc>
      </w:tr>
      <w:tr w:rsidR="00F56356" w:rsidRPr="00F56356" w14:paraId="58BE477A" w14:textId="77777777" w:rsidTr="00F56356">
        <w:trPr>
          <w:trHeight w:val="345"/>
        </w:trPr>
        <w:tc>
          <w:tcPr>
            <w:tcW w:w="400" w:type="dxa"/>
            <w:tcBorders>
              <w:top w:val="nil"/>
              <w:left w:val="nil"/>
              <w:bottom w:val="nil"/>
              <w:right w:val="nil"/>
            </w:tcBorders>
            <w:shd w:val="clear" w:color="auto" w:fill="auto"/>
            <w:noWrap/>
            <w:vAlign w:val="center"/>
            <w:hideMark/>
          </w:tcPr>
          <w:p w14:paraId="2F04E8F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A6A08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4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0C6768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12 - Innovazione tecnologica e trasformazione digitale </w:t>
            </w:r>
          </w:p>
        </w:tc>
      </w:tr>
      <w:tr w:rsidR="00F56356" w:rsidRPr="00F56356" w14:paraId="20CBA013" w14:textId="77777777" w:rsidTr="00F56356">
        <w:trPr>
          <w:trHeight w:val="250"/>
        </w:trPr>
        <w:tc>
          <w:tcPr>
            <w:tcW w:w="400" w:type="dxa"/>
            <w:tcBorders>
              <w:top w:val="nil"/>
              <w:left w:val="nil"/>
              <w:bottom w:val="nil"/>
              <w:right w:val="nil"/>
            </w:tcBorders>
            <w:shd w:val="clear" w:color="auto" w:fill="auto"/>
            <w:noWrap/>
            <w:vAlign w:val="center"/>
            <w:hideMark/>
          </w:tcPr>
          <w:p w14:paraId="16C8E7C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470245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4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D2F0B2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2197DF0" w14:textId="77777777" w:rsidTr="00F56356">
        <w:trPr>
          <w:trHeight w:val="282"/>
        </w:trPr>
        <w:tc>
          <w:tcPr>
            <w:tcW w:w="400" w:type="dxa"/>
            <w:tcBorders>
              <w:top w:val="nil"/>
              <w:left w:val="nil"/>
              <w:bottom w:val="nil"/>
              <w:right w:val="nil"/>
            </w:tcBorders>
            <w:shd w:val="clear" w:color="auto" w:fill="auto"/>
            <w:noWrap/>
            <w:vAlign w:val="center"/>
            <w:hideMark/>
          </w:tcPr>
          <w:p w14:paraId="3EC8C8A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7C5862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41"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FB872D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9386F49" w14:textId="77777777" w:rsidTr="00F56356">
        <w:trPr>
          <w:trHeight w:val="2766"/>
        </w:trPr>
        <w:tc>
          <w:tcPr>
            <w:tcW w:w="400" w:type="dxa"/>
            <w:tcBorders>
              <w:top w:val="nil"/>
              <w:left w:val="nil"/>
              <w:bottom w:val="nil"/>
              <w:right w:val="nil"/>
            </w:tcBorders>
            <w:shd w:val="clear" w:color="auto" w:fill="auto"/>
            <w:noWrap/>
            <w:vAlign w:val="center"/>
            <w:hideMark/>
          </w:tcPr>
          <w:p w14:paraId="37013B0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5414E8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41" w:type="dxa"/>
            <w:gridSpan w:val="6"/>
            <w:tcBorders>
              <w:top w:val="single" w:sz="4" w:space="0" w:color="auto"/>
              <w:left w:val="nil"/>
              <w:bottom w:val="single" w:sz="4" w:space="0" w:color="auto"/>
              <w:right w:val="single" w:sz="4" w:space="0" w:color="000000"/>
            </w:tcBorders>
            <w:shd w:val="clear" w:color="auto" w:fill="auto"/>
            <w:vAlign w:val="center"/>
            <w:hideMark/>
          </w:tcPr>
          <w:p w14:paraId="756EA7F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Coordinamento, gestione, attuazione e diffusione delle azioni e attività previste per l’utilizzo delle risorse "Fondo complementare PNRR" di cui all’art. 1, comma </w:t>
            </w:r>
            <w:proofErr w:type="gramStart"/>
            <w:r w:rsidRPr="00F56356">
              <w:rPr>
                <w:rFonts w:ascii="Times New Roman" w:eastAsia="Times New Roman" w:hAnsi="Times New Roman" w:cs="Times New Roman"/>
                <w:color w:val="000000"/>
                <w:sz w:val="20"/>
                <w:szCs w:val="20"/>
                <w:lang w:eastAsia="it-IT"/>
              </w:rPr>
              <w:t>2,  lett.</w:t>
            </w:r>
            <w:proofErr w:type="gramEnd"/>
            <w:r w:rsidRPr="00F56356">
              <w:rPr>
                <w:rFonts w:ascii="Times New Roman" w:eastAsia="Times New Roman" w:hAnsi="Times New Roman" w:cs="Times New Roman"/>
                <w:color w:val="000000"/>
                <w:sz w:val="20"/>
                <w:szCs w:val="20"/>
                <w:lang w:eastAsia="it-IT"/>
              </w:rPr>
              <w:t xml:space="preserve"> a) punto 1, del decreto legge 6 maggio 21021, n. 59 convertito con modificazioni dalla legge 1° luglio 2021 n. 101, destinate ai servizi digitali e alla cittadinanza digitale.</w:t>
            </w:r>
          </w:p>
          <w:p w14:paraId="312DE86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In particolare nel corso del 2022 si provvederà 1) allo sviluppo di una piattaforma gestita da Unioncamere per la realizzazione di banche dati che operano da “</w:t>
            </w:r>
            <w:proofErr w:type="spellStart"/>
            <w:r w:rsidRPr="00F56356">
              <w:rPr>
                <w:rFonts w:ascii="Times New Roman" w:eastAsia="Times New Roman" w:hAnsi="Times New Roman" w:cs="Times New Roman"/>
                <w:color w:val="000000"/>
                <w:sz w:val="20"/>
                <w:szCs w:val="20"/>
                <w:lang w:eastAsia="it-IT"/>
              </w:rPr>
              <w:t>attribute</w:t>
            </w:r>
            <w:proofErr w:type="spellEnd"/>
            <w:r w:rsidRPr="00F56356">
              <w:rPr>
                <w:rFonts w:ascii="Times New Roman" w:eastAsia="Times New Roman" w:hAnsi="Times New Roman" w:cs="Times New Roman"/>
                <w:color w:val="000000"/>
                <w:sz w:val="20"/>
                <w:szCs w:val="20"/>
                <w:lang w:eastAsia="it-IT"/>
              </w:rPr>
              <w:t xml:space="preserve"> authority”, 2) allo sviluppo di una piattaforma che utilizza modelli predittivi per ottimizzare la strategia processuale sulla base dei risultati delle precedenti difese dell’Avvocatura di Stato volta a ridurre sensibilmente gli attuali tempi di lavorazione e alla dematerializzazione dei flussi cartacei tra le amministrazioni coinvolte e l’Avvocatura dello Stato.</w:t>
            </w:r>
          </w:p>
        </w:tc>
      </w:tr>
      <w:tr w:rsidR="00F56356" w:rsidRPr="00F56356" w14:paraId="578DADB7" w14:textId="77777777" w:rsidTr="00F56356">
        <w:trPr>
          <w:trHeight w:val="1020"/>
        </w:trPr>
        <w:tc>
          <w:tcPr>
            <w:tcW w:w="400" w:type="dxa"/>
            <w:tcBorders>
              <w:top w:val="nil"/>
              <w:left w:val="nil"/>
              <w:bottom w:val="nil"/>
              <w:right w:val="nil"/>
            </w:tcBorders>
            <w:shd w:val="clear" w:color="auto" w:fill="auto"/>
            <w:noWrap/>
            <w:vAlign w:val="center"/>
            <w:hideMark/>
          </w:tcPr>
          <w:p w14:paraId="1512172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20E8ED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41" w:type="dxa"/>
            <w:gridSpan w:val="6"/>
            <w:tcBorders>
              <w:top w:val="single" w:sz="4" w:space="0" w:color="auto"/>
              <w:left w:val="nil"/>
              <w:bottom w:val="single" w:sz="4" w:space="0" w:color="auto"/>
              <w:right w:val="single" w:sz="4" w:space="0" w:color="000000"/>
            </w:tcBorders>
            <w:shd w:val="clear" w:color="auto" w:fill="auto"/>
            <w:vAlign w:val="center"/>
            <w:hideMark/>
          </w:tcPr>
          <w:p w14:paraId="338A312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Attività relative all’avvio del coordinamento delle azioni e realizzazione delle iniziative programmate e in particolare all’avvio delle procedure collegate: 1) allo sviluppo della piattaforma Unioncamere; 2) allo sviluppo della piattaforma dell’Avvocatura.                    </w:t>
            </w:r>
          </w:p>
        </w:tc>
      </w:tr>
      <w:tr w:rsidR="00F56356" w:rsidRPr="00F56356" w14:paraId="568BCFA6" w14:textId="77777777" w:rsidTr="00F56356">
        <w:trPr>
          <w:trHeight w:val="330"/>
        </w:trPr>
        <w:tc>
          <w:tcPr>
            <w:tcW w:w="400" w:type="dxa"/>
            <w:tcBorders>
              <w:top w:val="nil"/>
              <w:left w:val="nil"/>
              <w:bottom w:val="nil"/>
              <w:right w:val="nil"/>
            </w:tcBorders>
            <w:shd w:val="clear" w:color="auto" w:fill="auto"/>
            <w:noWrap/>
            <w:vAlign w:val="bottom"/>
            <w:hideMark/>
          </w:tcPr>
          <w:p w14:paraId="714E36E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609DD5B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21CF9E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948</w:t>
            </w:r>
          </w:p>
        </w:tc>
        <w:tc>
          <w:tcPr>
            <w:tcW w:w="256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AB77F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3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92549C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79AE5BC4" w14:textId="77777777" w:rsidTr="00F56356">
        <w:trPr>
          <w:trHeight w:val="959"/>
        </w:trPr>
        <w:tc>
          <w:tcPr>
            <w:tcW w:w="400" w:type="dxa"/>
            <w:tcBorders>
              <w:top w:val="nil"/>
              <w:left w:val="nil"/>
              <w:bottom w:val="nil"/>
              <w:right w:val="nil"/>
            </w:tcBorders>
            <w:shd w:val="clear" w:color="auto" w:fill="auto"/>
            <w:noWrap/>
            <w:vAlign w:val="bottom"/>
            <w:hideMark/>
          </w:tcPr>
          <w:p w14:paraId="4CA9FF4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0B316D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17F297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65" w:type="dxa"/>
            <w:tcBorders>
              <w:top w:val="nil"/>
              <w:left w:val="nil"/>
              <w:bottom w:val="single" w:sz="4" w:space="0" w:color="auto"/>
              <w:right w:val="single" w:sz="4" w:space="0" w:color="auto"/>
            </w:tcBorders>
            <w:shd w:val="clear" w:color="auto" w:fill="auto"/>
            <w:vAlign w:val="center"/>
            <w:hideMark/>
          </w:tcPr>
          <w:p w14:paraId="6666966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00" w:type="dxa"/>
            <w:tcBorders>
              <w:top w:val="nil"/>
              <w:left w:val="nil"/>
              <w:bottom w:val="single" w:sz="4" w:space="0" w:color="auto"/>
              <w:right w:val="single" w:sz="4" w:space="0" w:color="auto"/>
            </w:tcBorders>
            <w:shd w:val="clear" w:color="auto" w:fill="auto"/>
            <w:vAlign w:val="center"/>
            <w:hideMark/>
          </w:tcPr>
          <w:p w14:paraId="08A4643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25A4EB9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42EFE63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76" w:type="dxa"/>
            <w:tcBorders>
              <w:top w:val="nil"/>
              <w:left w:val="nil"/>
              <w:bottom w:val="single" w:sz="4" w:space="0" w:color="auto"/>
              <w:right w:val="single" w:sz="4" w:space="0" w:color="auto"/>
            </w:tcBorders>
            <w:shd w:val="clear" w:color="auto" w:fill="auto"/>
            <w:vAlign w:val="center"/>
            <w:hideMark/>
          </w:tcPr>
          <w:p w14:paraId="086083D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6E4A889" w14:textId="77777777" w:rsidTr="00F56356">
        <w:trPr>
          <w:trHeight w:val="420"/>
        </w:trPr>
        <w:tc>
          <w:tcPr>
            <w:tcW w:w="400" w:type="dxa"/>
            <w:tcBorders>
              <w:top w:val="nil"/>
              <w:left w:val="nil"/>
              <w:bottom w:val="nil"/>
              <w:right w:val="nil"/>
            </w:tcBorders>
            <w:shd w:val="clear" w:color="auto" w:fill="auto"/>
            <w:noWrap/>
            <w:vAlign w:val="bottom"/>
            <w:hideMark/>
          </w:tcPr>
          <w:p w14:paraId="310362C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69F1D17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CFEE77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65" w:type="dxa"/>
            <w:tcBorders>
              <w:top w:val="nil"/>
              <w:left w:val="nil"/>
              <w:bottom w:val="single" w:sz="4" w:space="0" w:color="auto"/>
              <w:right w:val="single" w:sz="4" w:space="0" w:color="auto"/>
            </w:tcBorders>
            <w:shd w:val="clear" w:color="auto" w:fill="auto"/>
            <w:noWrap/>
            <w:vAlign w:val="center"/>
            <w:hideMark/>
          </w:tcPr>
          <w:p w14:paraId="5A03143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100.000.000,00</w:t>
            </w:r>
          </w:p>
        </w:tc>
        <w:tc>
          <w:tcPr>
            <w:tcW w:w="1300" w:type="dxa"/>
            <w:tcBorders>
              <w:top w:val="nil"/>
              <w:left w:val="nil"/>
              <w:bottom w:val="single" w:sz="4" w:space="0" w:color="auto"/>
              <w:right w:val="single" w:sz="4" w:space="0" w:color="auto"/>
            </w:tcBorders>
            <w:shd w:val="clear" w:color="auto" w:fill="auto"/>
            <w:noWrap/>
            <w:vAlign w:val="center"/>
            <w:hideMark/>
          </w:tcPr>
          <w:p w14:paraId="432AE37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150.000.000,00</w:t>
            </w:r>
          </w:p>
        </w:tc>
        <w:tc>
          <w:tcPr>
            <w:tcW w:w="1180" w:type="dxa"/>
            <w:tcBorders>
              <w:top w:val="nil"/>
              <w:left w:val="nil"/>
              <w:bottom w:val="single" w:sz="4" w:space="0" w:color="auto"/>
              <w:right w:val="single" w:sz="4" w:space="0" w:color="auto"/>
            </w:tcBorders>
            <w:shd w:val="clear" w:color="auto" w:fill="auto"/>
            <w:noWrap/>
            <w:vAlign w:val="center"/>
            <w:hideMark/>
          </w:tcPr>
          <w:p w14:paraId="5F65E8A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291.767,48</w:t>
            </w:r>
          </w:p>
        </w:tc>
        <w:tc>
          <w:tcPr>
            <w:tcW w:w="1180" w:type="dxa"/>
            <w:tcBorders>
              <w:top w:val="nil"/>
              <w:left w:val="nil"/>
              <w:bottom w:val="single" w:sz="4" w:space="0" w:color="auto"/>
              <w:right w:val="single" w:sz="4" w:space="0" w:color="auto"/>
            </w:tcBorders>
            <w:shd w:val="clear" w:color="auto" w:fill="auto"/>
            <w:noWrap/>
            <w:vAlign w:val="center"/>
            <w:hideMark/>
          </w:tcPr>
          <w:p w14:paraId="639B625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17.676.782,42</w:t>
            </w:r>
          </w:p>
        </w:tc>
        <w:tc>
          <w:tcPr>
            <w:tcW w:w="1176" w:type="dxa"/>
            <w:tcBorders>
              <w:top w:val="nil"/>
              <w:left w:val="nil"/>
              <w:bottom w:val="single" w:sz="4" w:space="0" w:color="auto"/>
              <w:right w:val="single" w:sz="4" w:space="0" w:color="auto"/>
            </w:tcBorders>
            <w:shd w:val="clear" w:color="auto" w:fill="auto"/>
            <w:noWrap/>
            <w:vAlign w:val="center"/>
            <w:hideMark/>
          </w:tcPr>
          <w:p w14:paraId="5B18F10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17.968.549,90</w:t>
            </w:r>
          </w:p>
        </w:tc>
      </w:tr>
      <w:tr w:rsidR="00F56356" w:rsidRPr="00F56356" w14:paraId="34042D3A" w14:textId="77777777" w:rsidTr="00F56356">
        <w:trPr>
          <w:trHeight w:val="228"/>
        </w:trPr>
        <w:tc>
          <w:tcPr>
            <w:tcW w:w="400" w:type="dxa"/>
            <w:tcBorders>
              <w:top w:val="nil"/>
              <w:left w:val="nil"/>
              <w:bottom w:val="nil"/>
              <w:right w:val="nil"/>
            </w:tcBorders>
            <w:shd w:val="clear" w:color="auto" w:fill="auto"/>
            <w:noWrap/>
            <w:vAlign w:val="bottom"/>
            <w:hideMark/>
          </w:tcPr>
          <w:p w14:paraId="6D2272A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5D9627B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47DB134"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65" w:type="dxa"/>
            <w:tcBorders>
              <w:top w:val="nil"/>
              <w:left w:val="nil"/>
              <w:bottom w:val="nil"/>
              <w:right w:val="nil"/>
            </w:tcBorders>
            <w:shd w:val="clear" w:color="auto" w:fill="auto"/>
            <w:noWrap/>
            <w:vAlign w:val="bottom"/>
            <w:hideMark/>
          </w:tcPr>
          <w:p w14:paraId="4503F40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00" w:type="dxa"/>
            <w:tcBorders>
              <w:top w:val="nil"/>
              <w:left w:val="nil"/>
              <w:bottom w:val="nil"/>
              <w:right w:val="nil"/>
            </w:tcBorders>
            <w:shd w:val="clear" w:color="auto" w:fill="auto"/>
            <w:noWrap/>
            <w:vAlign w:val="bottom"/>
            <w:hideMark/>
          </w:tcPr>
          <w:p w14:paraId="43B6809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B703A4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B79C28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76" w:type="dxa"/>
            <w:tcBorders>
              <w:top w:val="nil"/>
              <w:left w:val="nil"/>
              <w:bottom w:val="nil"/>
              <w:right w:val="single" w:sz="4" w:space="0" w:color="auto"/>
            </w:tcBorders>
            <w:shd w:val="clear" w:color="auto" w:fill="auto"/>
            <w:noWrap/>
            <w:vAlign w:val="bottom"/>
            <w:hideMark/>
          </w:tcPr>
          <w:p w14:paraId="7928F9C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A04D0A7" w14:textId="77777777" w:rsidTr="00F56356">
        <w:trPr>
          <w:trHeight w:val="290"/>
        </w:trPr>
        <w:tc>
          <w:tcPr>
            <w:tcW w:w="400" w:type="dxa"/>
            <w:tcBorders>
              <w:top w:val="nil"/>
              <w:left w:val="nil"/>
              <w:bottom w:val="nil"/>
              <w:right w:val="nil"/>
            </w:tcBorders>
            <w:shd w:val="clear" w:color="auto" w:fill="auto"/>
            <w:noWrap/>
            <w:vAlign w:val="bottom"/>
            <w:hideMark/>
          </w:tcPr>
          <w:p w14:paraId="1F47D85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81" w:type="dxa"/>
            <w:gridSpan w:val="7"/>
            <w:tcBorders>
              <w:top w:val="nil"/>
              <w:left w:val="single" w:sz="4" w:space="0" w:color="auto"/>
              <w:bottom w:val="nil"/>
              <w:right w:val="single" w:sz="4" w:space="0" w:color="000000"/>
            </w:tcBorders>
            <w:shd w:val="clear" w:color="auto" w:fill="auto"/>
            <w:vAlign w:val="center"/>
            <w:hideMark/>
          </w:tcPr>
          <w:p w14:paraId="2244873C"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2222D01F" w14:textId="77777777" w:rsidTr="00F56356">
        <w:trPr>
          <w:trHeight w:val="294"/>
        </w:trPr>
        <w:tc>
          <w:tcPr>
            <w:tcW w:w="400" w:type="dxa"/>
            <w:tcBorders>
              <w:top w:val="nil"/>
              <w:left w:val="nil"/>
              <w:bottom w:val="nil"/>
              <w:right w:val="nil"/>
            </w:tcBorders>
            <w:shd w:val="clear" w:color="auto" w:fill="auto"/>
            <w:noWrap/>
            <w:vAlign w:val="bottom"/>
            <w:hideMark/>
          </w:tcPr>
          <w:p w14:paraId="65C577EC"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381" w:type="dxa"/>
            <w:gridSpan w:val="7"/>
            <w:tcBorders>
              <w:top w:val="nil"/>
              <w:left w:val="single" w:sz="4" w:space="0" w:color="auto"/>
              <w:bottom w:val="nil"/>
              <w:right w:val="single" w:sz="4" w:space="0" w:color="000000"/>
            </w:tcBorders>
            <w:shd w:val="clear" w:color="auto" w:fill="auto"/>
            <w:vAlign w:val="center"/>
            <w:hideMark/>
          </w:tcPr>
          <w:p w14:paraId="63969018"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0DAC7519" w14:textId="77777777" w:rsidTr="00F56356">
        <w:trPr>
          <w:trHeight w:val="271"/>
        </w:trPr>
        <w:tc>
          <w:tcPr>
            <w:tcW w:w="400" w:type="dxa"/>
            <w:tcBorders>
              <w:top w:val="nil"/>
              <w:left w:val="nil"/>
              <w:bottom w:val="nil"/>
              <w:right w:val="nil"/>
            </w:tcBorders>
            <w:shd w:val="clear" w:color="auto" w:fill="auto"/>
            <w:noWrap/>
            <w:vAlign w:val="bottom"/>
            <w:hideMark/>
          </w:tcPr>
          <w:p w14:paraId="2C970237"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381" w:type="dxa"/>
            <w:gridSpan w:val="7"/>
            <w:tcBorders>
              <w:top w:val="nil"/>
              <w:left w:val="single" w:sz="4" w:space="0" w:color="auto"/>
              <w:bottom w:val="single" w:sz="4" w:space="0" w:color="auto"/>
              <w:right w:val="single" w:sz="4" w:space="0" w:color="000000"/>
            </w:tcBorders>
            <w:shd w:val="clear" w:color="auto" w:fill="auto"/>
            <w:vAlign w:val="center"/>
            <w:hideMark/>
          </w:tcPr>
          <w:p w14:paraId="383CC05D"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4D43142B" w14:textId="77777777" w:rsidTr="00F56356">
        <w:trPr>
          <w:trHeight w:val="278"/>
        </w:trPr>
        <w:tc>
          <w:tcPr>
            <w:tcW w:w="400" w:type="dxa"/>
            <w:tcBorders>
              <w:top w:val="nil"/>
              <w:left w:val="nil"/>
              <w:bottom w:val="nil"/>
              <w:right w:val="nil"/>
            </w:tcBorders>
            <w:shd w:val="clear" w:color="auto" w:fill="auto"/>
            <w:noWrap/>
            <w:vAlign w:val="bottom"/>
            <w:hideMark/>
          </w:tcPr>
          <w:p w14:paraId="2C14F43C"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p>
        </w:tc>
        <w:tc>
          <w:tcPr>
            <w:tcW w:w="9381"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EA657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0C8C29A" w14:textId="77777777" w:rsidTr="00F56356">
        <w:trPr>
          <w:trHeight w:val="552"/>
        </w:trPr>
        <w:tc>
          <w:tcPr>
            <w:tcW w:w="400" w:type="dxa"/>
            <w:tcBorders>
              <w:top w:val="nil"/>
              <w:left w:val="nil"/>
              <w:bottom w:val="nil"/>
              <w:right w:val="nil"/>
            </w:tcBorders>
            <w:shd w:val="clear" w:color="auto" w:fill="auto"/>
            <w:noWrap/>
            <w:vAlign w:val="center"/>
            <w:hideMark/>
          </w:tcPr>
          <w:p w14:paraId="2169873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87541C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41" w:type="dxa"/>
            <w:gridSpan w:val="6"/>
            <w:tcBorders>
              <w:top w:val="single" w:sz="4" w:space="0" w:color="auto"/>
              <w:left w:val="nil"/>
              <w:bottom w:val="single" w:sz="4" w:space="0" w:color="auto"/>
              <w:right w:val="single" w:sz="4" w:space="0" w:color="000000"/>
            </w:tcBorders>
            <w:shd w:val="clear" w:color="auto" w:fill="auto"/>
            <w:vAlign w:val="center"/>
            <w:hideMark/>
          </w:tcPr>
          <w:p w14:paraId="7568CE8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Capacità di avviare progetti, iniziative e attività nell’ambito delle politiche di settore rispetto al totale dei progetti, iniziative e attività autorizzati                                </w:t>
            </w:r>
          </w:p>
        </w:tc>
      </w:tr>
      <w:tr w:rsidR="00F56356" w:rsidRPr="00F56356" w14:paraId="11BAAEF4" w14:textId="77777777" w:rsidTr="00F56356">
        <w:trPr>
          <w:trHeight w:val="615"/>
        </w:trPr>
        <w:tc>
          <w:tcPr>
            <w:tcW w:w="400" w:type="dxa"/>
            <w:tcBorders>
              <w:top w:val="nil"/>
              <w:left w:val="nil"/>
              <w:bottom w:val="nil"/>
              <w:right w:val="nil"/>
            </w:tcBorders>
            <w:shd w:val="clear" w:color="auto" w:fill="auto"/>
            <w:noWrap/>
            <w:vAlign w:val="center"/>
            <w:hideMark/>
          </w:tcPr>
          <w:p w14:paraId="40DE5D9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DB96D4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41" w:type="dxa"/>
            <w:gridSpan w:val="6"/>
            <w:tcBorders>
              <w:top w:val="single" w:sz="4" w:space="0" w:color="auto"/>
              <w:left w:val="nil"/>
              <w:bottom w:val="single" w:sz="4" w:space="0" w:color="auto"/>
              <w:right w:val="single" w:sz="4" w:space="0" w:color="000000"/>
            </w:tcBorders>
            <w:shd w:val="clear" w:color="auto" w:fill="auto"/>
            <w:vAlign w:val="center"/>
            <w:hideMark/>
          </w:tcPr>
          <w:p w14:paraId="3DA22D8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SICOGE/protocollo informatico/posta elettronica certificata/altri sistemi di</w:t>
            </w:r>
            <w:r w:rsidRPr="00F56356">
              <w:rPr>
                <w:rFonts w:ascii="Times New Roman" w:eastAsia="Times New Roman" w:hAnsi="Times New Roman" w:cs="Times New Roman"/>
                <w:color w:val="000000"/>
                <w:sz w:val="20"/>
                <w:szCs w:val="20"/>
                <w:lang w:eastAsia="it-IT"/>
              </w:rPr>
              <w:br/>
              <w:t>monitoraggio degli interventi.</w:t>
            </w:r>
          </w:p>
        </w:tc>
      </w:tr>
      <w:tr w:rsidR="00F56356" w:rsidRPr="00F56356" w14:paraId="0F705E72" w14:textId="77777777" w:rsidTr="00F56356">
        <w:trPr>
          <w:trHeight w:val="1168"/>
        </w:trPr>
        <w:tc>
          <w:tcPr>
            <w:tcW w:w="400" w:type="dxa"/>
            <w:tcBorders>
              <w:top w:val="nil"/>
              <w:left w:val="nil"/>
              <w:bottom w:val="nil"/>
              <w:right w:val="nil"/>
            </w:tcBorders>
            <w:shd w:val="clear" w:color="auto" w:fill="auto"/>
            <w:noWrap/>
            <w:vAlign w:val="center"/>
            <w:hideMark/>
          </w:tcPr>
          <w:p w14:paraId="41D67E9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CC41AC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05" w:type="dxa"/>
            <w:gridSpan w:val="3"/>
            <w:tcBorders>
              <w:top w:val="single" w:sz="4" w:space="0" w:color="auto"/>
              <w:left w:val="nil"/>
              <w:bottom w:val="single" w:sz="4" w:space="0" w:color="auto"/>
              <w:right w:val="single" w:sz="4" w:space="0" w:color="000000"/>
            </w:tcBorders>
            <w:shd w:val="clear" w:color="auto" w:fill="auto"/>
            <w:vAlign w:val="center"/>
            <w:hideMark/>
          </w:tcPr>
          <w:p w14:paraId="6A4565D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progetti, iniziative e attività avviati /N. totale dei progetti, iniziative e attività programmati nella Direttiva generale annuale dell’Autorità politica di riferimento</w:t>
            </w:r>
          </w:p>
        </w:tc>
        <w:tc>
          <w:tcPr>
            <w:tcW w:w="1180" w:type="dxa"/>
            <w:tcBorders>
              <w:top w:val="nil"/>
              <w:left w:val="nil"/>
              <w:bottom w:val="single" w:sz="4" w:space="0" w:color="auto"/>
              <w:right w:val="nil"/>
            </w:tcBorders>
            <w:shd w:val="clear" w:color="auto" w:fill="auto"/>
            <w:vAlign w:val="center"/>
            <w:hideMark/>
          </w:tcPr>
          <w:p w14:paraId="0361DA5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single" w:sz="4" w:space="0" w:color="auto"/>
              <w:bottom w:val="single" w:sz="4" w:space="0" w:color="auto"/>
              <w:right w:val="nil"/>
            </w:tcBorders>
            <w:shd w:val="clear" w:color="auto" w:fill="auto"/>
            <w:vAlign w:val="center"/>
            <w:hideMark/>
          </w:tcPr>
          <w:p w14:paraId="5C028D5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76" w:type="dxa"/>
            <w:tcBorders>
              <w:top w:val="nil"/>
              <w:left w:val="single" w:sz="4" w:space="0" w:color="auto"/>
              <w:bottom w:val="single" w:sz="4" w:space="0" w:color="auto"/>
              <w:right w:val="single" w:sz="4" w:space="0" w:color="auto"/>
            </w:tcBorders>
            <w:shd w:val="clear" w:color="auto" w:fill="auto"/>
            <w:vAlign w:val="center"/>
            <w:hideMark/>
          </w:tcPr>
          <w:p w14:paraId="68F4B92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90275FF" w14:textId="77777777" w:rsidTr="00F56356">
        <w:trPr>
          <w:trHeight w:val="420"/>
        </w:trPr>
        <w:tc>
          <w:tcPr>
            <w:tcW w:w="400" w:type="dxa"/>
            <w:tcBorders>
              <w:top w:val="nil"/>
              <w:left w:val="nil"/>
              <w:bottom w:val="nil"/>
              <w:right w:val="nil"/>
            </w:tcBorders>
            <w:shd w:val="clear" w:color="auto" w:fill="auto"/>
            <w:noWrap/>
            <w:vAlign w:val="bottom"/>
            <w:hideMark/>
          </w:tcPr>
          <w:p w14:paraId="64E3FB4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192ABD2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05" w:type="dxa"/>
            <w:gridSpan w:val="3"/>
            <w:tcBorders>
              <w:top w:val="single" w:sz="4" w:space="0" w:color="auto"/>
              <w:left w:val="nil"/>
              <w:bottom w:val="single" w:sz="4" w:space="0" w:color="auto"/>
              <w:right w:val="single" w:sz="4" w:space="0" w:color="000000"/>
            </w:tcBorders>
            <w:shd w:val="clear" w:color="auto" w:fill="auto"/>
            <w:vAlign w:val="center"/>
            <w:hideMark/>
          </w:tcPr>
          <w:p w14:paraId="17A7B1D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75EB78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27B2E2B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76" w:type="dxa"/>
            <w:tcBorders>
              <w:top w:val="nil"/>
              <w:left w:val="nil"/>
              <w:bottom w:val="single" w:sz="4" w:space="0" w:color="auto"/>
              <w:right w:val="single" w:sz="4" w:space="0" w:color="auto"/>
            </w:tcBorders>
            <w:shd w:val="clear" w:color="auto" w:fill="auto"/>
            <w:vAlign w:val="center"/>
            <w:hideMark/>
          </w:tcPr>
          <w:p w14:paraId="14B0ADA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r w:rsidR="00F56356" w:rsidRPr="00F56356" w14:paraId="16B82473" w14:textId="77777777" w:rsidTr="00F56356">
        <w:trPr>
          <w:trHeight w:val="992"/>
        </w:trPr>
        <w:tc>
          <w:tcPr>
            <w:tcW w:w="400" w:type="dxa"/>
            <w:tcBorders>
              <w:top w:val="nil"/>
              <w:left w:val="nil"/>
              <w:bottom w:val="nil"/>
              <w:right w:val="nil"/>
            </w:tcBorders>
            <w:shd w:val="clear" w:color="auto" w:fill="auto"/>
            <w:noWrap/>
            <w:vAlign w:val="bottom"/>
            <w:hideMark/>
          </w:tcPr>
          <w:p w14:paraId="4E75966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381"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10187E76" w14:textId="77777777" w:rsidR="00F56356" w:rsidRPr="00F56356" w:rsidRDefault="00F56356" w:rsidP="00F56356">
            <w:pPr>
              <w:spacing w:after="0" w:line="240" w:lineRule="auto"/>
              <w:jc w:val="both"/>
              <w:rPr>
                <w:rFonts w:ascii="Times New Roman" w:eastAsia="Times New Roman" w:hAnsi="Times New Roman" w:cs="Times New Roman"/>
                <w:color w:val="000000"/>
                <w:sz w:val="16"/>
                <w:szCs w:val="16"/>
                <w:lang w:eastAsia="it-IT"/>
              </w:rPr>
            </w:pPr>
            <w:r w:rsidRPr="00F56356">
              <w:rPr>
                <w:rFonts w:ascii="Times New Roman" w:eastAsia="Times New Roman" w:hAnsi="Times New Roman" w:cs="Times New Roman"/>
                <w:color w:val="000000"/>
                <w:sz w:val="16"/>
                <w:szCs w:val="16"/>
                <w:lang w:eastAsia="it-IT"/>
              </w:rPr>
              <w:t xml:space="preserve">Si segnala che la Direttiva generale per l’azione amministrativa e la gestione del Dipartimento per la trasformazione digitale - Anno 2022 adottata con il Decreto del Ministro per l’innovazione tecnologica e la transizione digitale 20 maggio 2022, la "Descrizione dell’obiettivo programmato" inerente al cap.948 è stata modificata in: Coordinamento, gestione, attuazione e diffusione delle azioni e attività previste per l’utilizzo delle risorse "Fondo complementare PNRR" di cui all’art. 1, comma 2, </w:t>
            </w:r>
            <w:proofErr w:type="spellStart"/>
            <w:r w:rsidRPr="00F56356">
              <w:rPr>
                <w:rFonts w:ascii="Times New Roman" w:eastAsia="Times New Roman" w:hAnsi="Times New Roman" w:cs="Times New Roman"/>
                <w:color w:val="000000"/>
                <w:sz w:val="16"/>
                <w:szCs w:val="16"/>
                <w:lang w:eastAsia="it-IT"/>
              </w:rPr>
              <w:t>lett.a</w:t>
            </w:r>
            <w:proofErr w:type="spellEnd"/>
            <w:r w:rsidRPr="00F56356">
              <w:rPr>
                <w:rFonts w:ascii="Times New Roman" w:eastAsia="Times New Roman" w:hAnsi="Times New Roman" w:cs="Times New Roman"/>
                <w:color w:val="000000"/>
                <w:sz w:val="16"/>
                <w:szCs w:val="16"/>
                <w:lang w:eastAsia="it-IT"/>
              </w:rPr>
              <w:t>) punto 1 del decreto legge 6 maggio 2021, n. 59 convertito con modificazioni dalla legge 1° luglio 2021 n. 101, destinate ai servizi digitali e alla cittadinanza digitale. In particolare, nel corso del 2022 si provvederà: 1) allo sviluppo di una piattaforma gestita da Unioncamere per la realizzazione di banche dati che operano da “</w:t>
            </w:r>
            <w:proofErr w:type="spellStart"/>
            <w:r w:rsidRPr="00F56356">
              <w:rPr>
                <w:rFonts w:ascii="Times New Roman" w:eastAsia="Times New Roman" w:hAnsi="Times New Roman" w:cs="Times New Roman"/>
                <w:color w:val="000000"/>
                <w:sz w:val="16"/>
                <w:szCs w:val="16"/>
                <w:lang w:eastAsia="it-IT"/>
              </w:rPr>
              <w:t>attribute</w:t>
            </w:r>
            <w:proofErr w:type="spellEnd"/>
            <w:r w:rsidRPr="00F56356">
              <w:rPr>
                <w:rFonts w:ascii="Times New Roman" w:eastAsia="Times New Roman" w:hAnsi="Times New Roman" w:cs="Times New Roman"/>
                <w:color w:val="000000"/>
                <w:sz w:val="16"/>
                <w:szCs w:val="16"/>
                <w:lang w:eastAsia="it-IT"/>
              </w:rPr>
              <w:t xml:space="preserve"> authority”, 2) ad avviare ulteriori progetti - rispetto a quelli già selezionati a valle dell’avviso MAAS pubblicato nel 2021 su risorse del PNRR - in grandi città metropolitane italiane per testare soluzioni innovative nell’ambito della mobilità, rafforzando la condivisione, riutilizzo e interoperabilità dei dati di trasporto come elemento fondante per gestire efficacemente il trasporto locale in ottica end-to-end.</w:t>
            </w:r>
          </w:p>
        </w:tc>
      </w:tr>
    </w:tbl>
    <w:p w14:paraId="315B105E"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0D8FAFA8" w14:textId="7080B6CB" w:rsid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14F17379" w14:textId="0DE7A7D3" w:rsidR="0043213C"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p w14:paraId="0B1E0C58" w14:textId="1ACC3269" w:rsidR="0043213C"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p w14:paraId="26B6A097" w14:textId="473B8E68" w:rsidR="0043213C"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p w14:paraId="52D3058B" w14:textId="04889691" w:rsidR="0043213C"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p w14:paraId="0704EFD4" w14:textId="77777777" w:rsidR="0043213C" w:rsidRPr="00F56356"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tbl>
      <w:tblPr>
        <w:tblW w:w="9560" w:type="dxa"/>
        <w:tblCellMar>
          <w:left w:w="70" w:type="dxa"/>
          <w:right w:w="70" w:type="dxa"/>
        </w:tblCellMar>
        <w:tblLook w:val="04A0" w:firstRow="1" w:lastRow="0" w:firstColumn="1" w:lastColumn="0" w:noHBand="0" w:noVBand="1"/>
      </w:tblPr>
      <w:tblGrid>
        <w:gridCol w:w="400"/>
        <w:gridCol w:w="2740"/>
        <w:gridCol w:w="540"/>
        <w:gridCol w:w="1240"/>
        <w:gridCol w:w="1175"/>
        <w:gridCol w:w="1180"/>
        <w:gridCol w:w="1180"/>
        <w:gridCol w:w="1140"/>
      </w:tblGrid>
      <w:tr w:rsidR="00F56356" w:rsidRPr="00F56356" w14:paraId="32845757" w14:textId="77777777" w:rsidTr="00F56356">
        <w:trPr>
          <w:trHeight w:val="510"/>
        </w:trPr>
        <w:tc>
          <w:tcPr>
            <w:tcW w:w="400" w:type="dxa"/>
            <w:tcBorders>
              <w:top w:val="nil"/>
              <w:left w:val="nil"/>
              <w:bottom w:val="nil"/>
              <w:right w:val="nil"/>
            </w:tcBorders>
            <w:shd w:val="clear" w:color="auto" w:fill="auto"/>
            <w:noWrap/>
            <w:vAlign w:val="bottom"/>
            <w:hideMark/>
          </w:tcPr>
          <w:p w14:paraId="6D58534E" w14:textId="77777777" w:rsidR="00F56356" w:rsidRDefault="00F56356" w:rsidP="00F56356">
            <w:pPr>
              <w:spacing w:after="0" w:line="240" w:lineRule="auto"/>
              <w:rPr>
                <w:rFonts w:ascii="Times New Roman" w:eastAsia="Times New Roman" w:hAnsi="Times New Roman" w:cs="Times New Roman"/>
                <w:sz w:val="24"/>
                <w:szCs w:val="24"/>
                <w:lang w:eastAsia="it-IT"/>
              </w:rPr>
            </w:pPr>
          </w:p>
          <w:p w14:paraId="5C527AC6" w14:textId="06D325A8" w:rsidR="0043213C" w:rsidRPr="00F56356" w:rsidRDefault="0043213C" w:rsidP="00F56356">
            <w:pPr>
              <w:spacing w:after="0" w:line="240" w:lineRule="auto"/>
              <w:rPr>
                <w:rFonts w:ascii="Times New Roman" w:eastAsia="Times New Roman" w:hAnsi="Times New Roman" w:cs="Times New Roman"/>
                <w:sz w:val="24"/>
                <w:szCs w:val="24"/>
                <w:lang w:eastAsia="it-IT"/>
              </w:rPr>
            </w:pPr>
          </w:p>
        </w:tc>
        <w:tc>
          <w:tcPr>
            <w:tcW w:w="91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3CE75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6B20BEEC" w14:textId="77777777" w:rsidTr="00F56356">
        <w:trPr>
          <w:trHeight w:val="585"/>
        </w:trPr>
        <w:tc>
          <w:tcPr>
            <w:tcW w:w="400" w:type="dxa"/>
            <w:tcBorders>
              <w:top w:val="nil"/>
              <w:left w:val="nil"/>
              <w:bottom w:val="nil"/>
              <w:right w:val="nil"/>
            </w:tcBorders>
            <w:shd w:val="clear" w:color="auto" w:fill="auto"/>
            <w:noWrap/>
            <w:vAlign w:val="center"/>
            <w:hideMark/>
          </w:tcPr>
          <w:p w14:paraId="1A1770C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04F84A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59FB64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32 - Servizi istituzionali e generali delle amministrazioni pubbliche </w:t>
            </w:r>
          </w:p>
        </w:tc>
      </w:tr>
      <w:tr w:rsidR="00F56356" w:rsidRPr="00F56356" w14:paraId="4A0434A5" w14:textId="77777777" w:rsidTr="00F56356">
        <w:trPr>
          <w:trHeight w:val="441"/>
        </w:trPr>
        <w:tc>
          <w:tcPr>
            <w:tcW w:w="400" w:type="dxa"/>
            <w:tcBorders>
              <w:top w:val="nil"/>
              <w:left w:val="nil"/>
              <w:bottom w:val="nil"/>
              <w:right w:val="nil"/>
            </w:tcBorders>
            <w:shd w:val="clear" w:color="auto" w:fill="auto"/>
            <w:noWrap/>
            <w:vAlign w:val="center"/>
            <w:hideMark/>
          </w:tcPr>
          <w:p w14:paraId="62494A9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0C02BA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5757452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32.4 - Servizi generali delle strutture pubbliche preposte ad attività formative e</w:t>
            </w:r>
            <w:r w:rsidRPr="00F56356">
              <w:rPr>
                <w:rFonts w:ascii="Times New Roman" w:eastAsia="Times New Roman" w:hAnsi="Times New Roman" w:cs="Times New Roman"/>
                <w:color w:val="000000"/>
                <w:sz w:val="20"/>
                <w:szCs w:val="20"/>
                <w:lang w:eastAsia="it-IT"/>
              </w:rPr>
              <w:br/>
              <w:t>ad altre attività trasversali per le pubbliche amministrazioni</w:t>
            </w:r>
          </w:p>
        </w:tc>
      </w:tr>
      <w:tr w:rsidR="00F56356" w:rsidRPr="00F56356" w14:paraId="582EE03D" w14:textId="77777777" w:rsidTr="00F56356">
        <w:trPr>
          <w:trHeight w:val="336"/>
        </w:trPr>
        <w:tc>
          <w:tcPr>
            <w:tcW w:w="400" w:type="dxa"/>
            <w:tcBorders>
              <w:top w:val="nil"/>
              <w:left w:val="nil"/>
              <w:bottom w:val="nil"/>
              <w:right w:val="nil"/>
            </w:tcBorders>
            <w:shd w:val="clear" w:color="auto" w:fill="auto"/>
            <w:noWrap/>
            <w:vAlign w:val="center"/>
            <w:hideMark/>
          </w:tcPr>
          <w:p w14:paraId="1E646B1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D6E3B3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8E1596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12 - Innovazione tecnologica e trasformazione digitale </w:t>
            </w:r>
          </w:p>
        </w:tc>
      </w:tr>
      <w:tr w:rsidR="00F56356" w:rsidRPr="00F56356" w14:paraId="37CB90CF" w14:textId="77777777" w:rsidTr="00F56356">
        <w:trPr>
          <w:trHeight w:val="272"/>
        </w:trPr>
        <w:tc>
          <w:tcPr>
            <w:tcW w:w="400" w:type="dxa"/>
            <w:tcBorders>
              <w:top w:val="nil"/>
              <w:left w:val="nil"/>
              <w:bottom w:val="nil"/>
              <w:right w:val="nil"/>
            </w:tcBorders>
            <w:shd w:val="clear" w:color="auto" w:fill="auto"/>
            <w:noWrap/>
            <w:vAlign w:val="center"/>
            <w:hideMark/>
          </w:tcPr>
          <w:p w14:paraId="195D639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EC38D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F2A60A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C328CA4" w14:textId="77777777" w:rsidTr="00F56356">
        <w:trPr>
          <w:trHeight w:val="276"/>
        </w:trPr>
        <w:tc>
          <w:tcPr>
            <w:tcW w:w="400" w:type="dxa"/>
            <w:tcBorders>
              <w:top w:val="nil"/>
              <w:left w:val="nil"/>
              <w:bottom w:val="nil"/>
              <w:right w:val="nil"/>
            </w:tcBorders>
            <w:shd w:val="clear" w:color="auto" w:fill="auto"/>
            <w:noWrap/>
            <w:vAlign w:val="center"/>
            <w:hideMark/>
          </w:tcPr>
          <w:p w14:paraId="177F256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3C994F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76581D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2FFDC04" w14:textId="77777777" w:rsidTr="00F56356">
        <w:trPr>
          <w:trHeight w:val="2565"/>
        </w:trPr>
        <w:tc>
          <w:tcPr>
            <w:tcW w:w="400" w:type="dxa"/>
            <w:tcBorders>
              <w:top w:val="nil"/>
              <w:left w:val="nil"/>
              <w:bottom w:val="nil"/>
              <w:right w:val="nil"/>
            </w:tcBorders>
            <w:shd w:val="clear" w:color="auto" w:fill="auto"/>
            <w:noWrap/>
            <w:vAlign w:val="center"/>
            <w:hideMark/>
          </w:tcPr>
          <w:p w14:paraId="7A4A354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BEA225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3033EC6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Coordinamento, gestione, attuazione e diffusione delle azioni e attività previste per l’utilizzo delle risorse "Fondo complementare PNRR" di cui all’art. 1, comma 2, lett. a) punto 2 del decreto legge 6 maggio 2021, n. 59 convertito con modificazioni dalla legge 1° luglio 2021 n. 101, destinate ai servizi digitali e alle competenze digitali. Nel corso del 2022, alla luce della sottoscrizione del protocollo d’intesa tra le fondazioni di cui al decreto legislativo 17 maggio 1999, n. 153, il Ministro per l’innovazione tecnologica e la transizione digitale e il Ministro dell’economia e delle finanze, come disposto dal comma 3 dell’articolo 29 decreto legge 6 novembre 2021, n.152, e dell’adozione del decreto del Presidente del Consiglio dei ministri, di cui al comma 5 del medesimo articolo, è prevista l’attivazione della Misura.</w:t>
            </w:r>
          </w:p>
        </w:tc>
      </w:tr>
      <w:tr w:rsidR="00F56356" w:rsidRPr="00F56356" w14:paraId="101DC6C7" w14:textId="77777777" w:rsidTr="00F56356">
        <w:trPr>
          <w:trHeight w:val="930"/>
        </w:trPr>
        <w:tc>
          <w:tcPr>
            <w:tcW w:w="400" w:type="dxa"/>
            <w:tcBorders>
              <w:top w:val="nil"/>
              <w:left w:val="nil"/>
              <w:bottom w:val="nil"/>
              <w:right w:val="nil"/>
            </w:tcBorders>
            <w:shd w:val="clear" w:color="auto" w:fill="auto"/>
            <w:noWrap/>
            <w:vAlign w:val="center"/>
            <w:hideMark/>
          </w:tcPr>
          <w:p w14:paraId="3CA867A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39E83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1325118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Attività relative all’avvio del coordinamento delle azioni e alla realizzazione delle iniziative programmate e, in particolare, all’avvio del Fondo per la Repubblica Digitale.</w:t>
            </w:r>
          </w:p>
        </w:tc>
      </w:tr>
      <w:tr w:rsidR="00F56356" w:rsidRPr="00F56356" w14:paraId="388BD98B" w14:textId="77777777" w:rsidTr="00F56356">
        <w:trPr>
          <w:trHeight w:val="354"/>
        </w:trPr>
        <w:tc>
          <w:tcPr>
            <w:tcW w:w="400" w:type="dxa"/>
            <w:tcBorders>
              <w:top w:val="nil"/>
              <w:left w:val="nil"/>
              <w:bottom w:val="nil"/>
              <w:right w:val="nil"/>
            </w:tcBorders>
            <w:shd w:val="clear" w:color="auto" w:fill="auto"/>
            <w:noWrap/>
            <w:vAlign w:val="bottom"/>
            <w:hideMark/>
          </w:tcPr>
          <w:p w14:paraId="615F814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EE86F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BC57D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949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883CAF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30D83F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2582B5BE" w14:textId="77777777" w:rsidTr="00F56356">
        <w:trPr>
          <w:trHeight w:val="957"/>
        </w:trPr>
        <w:tc>
          <w:tcPr>
            <w:tcW w:w="400" w:type="dxa"/>
            <w:tcBorders>
              <w:top w:val="nil"/>
              <w:left w:val="nil"/>
              <w:bottom w:val="nil"/>
              <w:right w:val="nil"/>
            </w:tcBorders>
            <w:shd w:val="clear" w:color="auto" w:fill="auto"/>
            <w:noWrap/>
            <w:vAlign w:val="bottom"/>
            <w:hideMark/>
          </w:tcPr>
          <w:p w14:paraId="6825824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20424B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401D73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5AA95E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C449FF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FBAC98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6BD1725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5D1C660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2181B16" w14:textId="77777777" w:rsidTr="00F56356">
        <w:trPr>
          <w:trHeight w:val="402"/>
        </w:trPr>
        <w:tc>
          <w:tcPr>
            <w:tcW w:w="400" w:type="dxa"/>
            <w:tcBorders>
              <w:top w:val="nil"/>
              <w:left w:val="nil"/>
              <w:bottom w:val="nil"/>
              <w:right w:val="nil"/>
            </w:tcBorders>
            <w:shd w:val="clear" w:color="auto" w:fill="auto"/>
            <w:noWrap/>
            <w:vAlign w:val="bottom"/>
            <w:hideMark/>
          </w:tcPr>
          <w:p w14:paraId="2283116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193EFB3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038A80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891F03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46.810.000,00</w:t>
            </w:r>
          </w:p>
        </w:tc>
        <w:tc>
          <w:tcPr>
            <w:tcW w:w="1140" w:type="dxa"/>
            <w:tcBorders>
              <w:top w:val="nil"/>
              <w:left w:val="nil"/>
              <w:bottom w:val="single" w:sz="4" w:space="0" w:color="auto"/>
              <w:right w:val="single" w:sz="4" w:space="0" w:color="auto"/>
            </w:tcBorders>
            <w:shd w:val="clear" w:color="auto" w:fill="auto"/>
            <w:noWrap/>
            <w:vAlign w:val="center"/>
            <w:hideMark/>
          </w:tcPr>
          <w:p w14:paraId="51B9ADF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47.540.000,00</w:t>
            </w:r>
          </w:p>
        </w:tc>
        <w:tc>
          <w:tcPr>
            <w:tcW w:w="1180" w:type="dxa"/>
            <w:tcBorders>
              <w:top w:val="nil"/>
              <w:left w:val="nil"/>
              <w:bottom w:val="single" w:sz="4" w:space="0" w:color="auto"/>
              <w:right w:val="single" w:sz="4" w:space="0" w:color="auto"/>
            </w:tcBorders>
            <w:shd w:val="clear" w:color="auto" w:fill="auto"/>
            <w:noWrap/>
            <w:vAlign w:val="center"/>
            <w:hideMark/>
          </w:tcPr>
          <w:p w14:paraId="5B5304B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AE7C3B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84CB71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01F59813" w14:textId="77777777" w:rsidTr="00F56356">
        <w:trPr>
          <w:trHeight w:val="266"/>
        </w:trPr>
        <w:tc>
          <w:tcPr>
            <w:tcW w:w="400" w:type="dxa"/>
            <w:tcBorders>
              <w:top w:val="nil"/>
              <w:left w:val="nil"/>
              <w:bottom w:val="nil"/>
              <w:right w:val="nil"/>
            </w:tcBorders>
            <w:shd w:val="clear" w:color="auto" w:fill="auto"/>
            <w:noWrap/>
            <w:vAlign w:val="bottom"/>
            <w:hideMark/>
          </w:tcPr>
          <w:p w14:paraId="31D3E3E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28DABE4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AC28DD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4C79DE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902C23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9E0F95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6CA5E2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1C8A554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D7B8270" w14:textId="77777777" w:rsidTr="00F56356">
        <w:trPr>
          <w:trHeight w:val="280"/>
        </w:trPr>
        <w:tc>
          <w:tcPr>
            <w:tcW w:w="400" w:type="dxa"/>
            <w:tcBorders>
              <w:top w:val="nil"/>
              <w:left w:val="nil"/>
              <w:bottom w:val="nil"/>
              <w:right w:val="nil"/>
            </w:tcBorders>
            <w:shd w:val="clear" w:color="auto" w:fill="auto"/>
            <w:noWrap/>
            <w:vAlign w:val="bottom"/>
            <w:hideMark/>
          </w:tcPr>
          <w:p w14:paraId="45D7D53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160" w:type="dxa"/>
            <w:gridSpan w:val="7"/>
            <w:tcBorders>
              <w:top w:val="nil"/>
              <w:left w:val="single" w:sz="4" w:space="0" w:color="auto"/>
              <w:bottom w:val="nil"/>
              <w:right w:val="single" w:sz="4" w:space="0" w:color="000000"/>
            </w:tcBorders>
            <w:shd w:val="clear" w:color="auto" w:fill="auto"/>
            <w:vAlign w:val="center"/>
            <w:hideMark/>
          </w:tcPr>
          <w:p w14:paraId="041C51D1"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2BA6FB01" w14:textId="77777777" w:rsidTr="00F56356">
        <w:trPr>
          <w:trHeight w:val="142"/>
        </w:trPr>
        <w:tc>
          <w:tcPr>
            <w:tcW w:w="400" w:type="dxa"/>
            <w:tcBorders>
              <w:top w:val="nil"/>
              <w:left w:val="nil"/>
              <w:bottom w:val="nil"/>
              <w:right w:val="nil"/>
            </w:tcBorders>
            <w:shd w:val="clear" w:color="auto" w:fill="auto"/>
            <w:noWrap/>
            <w:vAlign w:val="bottom"/>
            <w:hideMark/>
          </w:tcPr>
          <w:p w14:paraId="1647CF6B"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160" w:type="dxa"/>
            <w:gridSpan w:val="7"/>
            <w:tcBorders>
              <w:top w:val="nil"/>
              <w:left w:val="single" w:sz="4" w:space="0" w:color="auto"/>
              <w:bottom w:val="nil"/>
              <w:right w:val="single" w:sz="4" w:space="0" w:color="000000"/>
            </w:tcBorders>
            <w:shd w:val="clear" w:color="auto" w:fill="auto"/>
            <w:vAlign w:val="center"/>
            <w:hideMark/>
          </w:tcPr>
          <w:p w14:paraId="5BECEF58"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70B0855B" w14:textId="77777777" w:rsidTr="00F56356">
        <w:trPr>
          <w:trHeight w:val="216"/>
        </w:trPr>
        <w:tc>
          <w:tcPr>
            <w:tcW w:w="400" w:type="dxa"/>
            <w:tcBorders>
              <w:top w:val="nil"/>
              <w:left w:val="nil"/>
              <w:bottom w:val="nil"/>
              <w:right w:val="nil"/>
            </w:tcBorders>
            <w:shd w:val="clear" w:color="auto" w:fill="auto"/>
            <w:noWrap/>
            <w:vAlign w:val="bottom"/>
            <w:hideMark/>
          </w:tcPr>
          <w:p w14:paraId="3FF82EC1"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9160" w:type="dxa"/>
            <w:gridSpan w:val="7"/>
            <w:tcBorders>
              <w:top w:val="nil"/>
              <w:left w:val="single" w:sz="4" w:space="0" w:color="auto"/>
              <w:bottom w:val="single" w:sz="4" w:space="0" w:color="auto"/>
              <w:right w:val="single" w:sz="4" w:space="0" w:color="000000"/>
            </w:tcBorders>
            <w:shd w:val="clear" w:color="auto" w:fill="auto"/>
            <w:vAlign w:val="center"/>
            <w:hideMark/>
          </w:tcPr>
          <w:p w14:paraId="2F267057"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6FC20672" w14:textId="77777777" w:rsidTr="00F56356">
        <w:trPr>
          <w:trHeight w:val="345"/>
        </w:trPr>
        <w:tc>
          <w:tcPr>
            <w:tcW w:w="400" w:type="dxa"/>
            <w:tcBorders>
              <w:top w:val="nil"/>
              <w:left w:val="nil"/>
              <w:bottom w:val="nil"/>
              <w:right w:val="nil"/>
            </w:tcBorders>
            <w:shd w:val="clear" w:color="auto" w:fill="auto"/>
            <w:noWrap/>
            <w:vAlign w:val="bottom"/>
            <w:hideMark/>
          </w:tcPr>
          <w:p w14:paraId="3EF8E666" w14:textId="77777777" w:rsidR="00F56356" w:rsidRPr="00F56356" w:rsidRDefault="00F56356" w:rsidP="00F56356">
            <w:pPr>
              <w:spacing w:after="0" w:line="240" w:lineRule="auto"/>
              <w:jc w:val="both"/>
              <w:rPr>
                <w:rFonts w:ascii="Times New Roman" w:eastAsia="Times New Roman" w:hAnsi="Times New Roman" w:cs="Times New Roman"/>
                <w:b/>
                <w:bCs/>
                <w:color w:val="000000"/>
                <w:sz w:val="18"/>
                <w:szCs w:val="18"/>
                <w:lang w:eastAsia="it-IT"/>
              </w:rPr>
            </w:pPr>
          </w:p>
        </w:tc>
        <w:tc>
          <w:tcPr>
            <w:tcW w:w="91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BB81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71511C9" w14:textId="77777777" w:rsidTr="00F56356">
        <w:trPr>
          <w:trHeight w:val="614"/>
        </w:trPr>
        <w:tc>
          <w:tcPr>
            <w:tcW w:w="400" w:type="dxa"/>
            <w:tcBorders>
              <w:top w:val="nil"/>
              <w:left w:val="nil"/>
              <w:bottom w:val="nil"/>
              <w:right w:val="nil"/>
            </w:tcBorders>
            <w:shd w:val="clear" w:color="auto" w:fill="auto"/>
            <w:noWrap/>
            <w:vAlign w:val="center"/>
            <w:hideMark/>
          </w:tcPr>
          <w:p w14:paraId="017E375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21D6B5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1DAC53B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Capacità di avviare progetti, iniziative e attività nell’ambito delle politiche di settore rispetto al totale dei progetti, iniziative e attività autorizzati.                               </w:t>
            </w:r>
          </w:p>
        </w:tc>
      </w:tr>
      <w:tr w:rsidR="00F56356" w:rsidRPr="00F56356" w14:paraId="569D7559" w14:textId="77777777" w:rsidTr="00F56356">
        <w:trPr>
          <w:trHeight w:val="615"/>
        </w:trPr>
        <w:tc>
          <w:tcPr>
            <w:tcW w:w="400" w:type="dxa"/>
            <w:tcBorders>
              <w:top w:val="nil"/>
              <w:left w:val="nil"/>
              <w:bottom w:val="nil"/>
              <w:right w:val="nil"/>
            </w:tcBorders>
            <w:shd w:val="clear" w:color="auto" w:fill="auto"/>
            <w:noWrap/>
            <w:vAlign w:val="center"/>
            <w:hideMark/>
          </w:tcPr>
          <w:p w14:paraId="7E58389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97FDA5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420" w:type="dxa"/>
            <w:gridSpan w:val="6"/>
            <w:tcBorders>
              <w:top w:val="single" w:sz="4" w:space="0" w:color="auto"/>
              <w:left w:val="nil"/>
              <w:bottom w:val="single" w:sz="4" w:space="0" w:color="auto"/>
              <w:right w:val="single" w:sz="4" w:space="0" w:color="000000"/>
            </w:tcBorders>
            <w:shd w:val="clear" w:color="auto" w:fill="auto"/>
            <w:vAlign w:val="center"/>
            <w:hideMark/>
          </w:tcPr>
          <w:p w14:paraId="58E7FB3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SICOGE/protocollo informatico/posta elettronica certificata/altri sistemi di monitoraggio degli interventi. </w:t>
            </w:r>
          </w:p>
        </w:tc>
      </w:tr>
      <w:tr w:rsidR="00F56356" w:rsidRPr="00F56356" w14:paraId="2AF9F29F" w14:textId="77777777" w:rsidTr="00F56356">
        <w:trPr>
          <w:trHeight w:val="1515"/>
        </w:trPr>
        <w:tc>
          <w:tcPr>
            <w:tcW w:w="400" w:type="dxa"/>
            <w:tcBorders>
              <w:top w:val="nil"/>
              <w:left w:val="nil"/>
              <w:bottom w:val="nil"/>
              <w:right w:val="nil"/>
            </w:tcBorders>
            <w:shd w:val="clear" w:color="auto" w:fill="auto"/>
            <w:noWrap/>
            <w:vAlign w:val="center"/>
            <w:hideMark/>
          </w:tcPr>
          <w:p w14:paraId="71ABC7A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6170FD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DC83BC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 </w:t>
            </w:r>
            <w:proofErr w:type="spellStart"/>
            <w:proofErr w:type="gramStart"/>
            <w:r w:rsidRPr="00F56356">
              <w:rPr>
                <w:rFonts w:ascii="Times New Roman" w:eastAsia="Times New Roman" w:hAnsi="Times New Roman" w:cs="Times New Roman"/>
                <w:color w:val="000000"/>
                <w:sz w:val="20"/>
                <w:szCs w:val="20"/>
                <w:lang w:eastAsia="it-IT"/>
              </w:rPr>
              <w:t>progetti,iniziative</w:t>
            </w:r>
            <w:proofErr w:type="spellEnd"/>
            <w:proofErr w:type="gramEnd"/>
            <w:r w:rsidRPr="00F56356">
              <w:rPr>
                <w:rFonts w:ascii="Times New Roman" w:eastAsia="Times New Roman" w:hAnsi="Times New Roman" w:cs="Times New Roman"/>
                <w:color w:val="000000"/>
                <w:sz w:val="20"/>
                <w:szCs w:val="20"/>
                <w:lang w:eastAsia="it-IT"/>
              </w:rPr>
              <w:t xml:space="preserve"> e attività avviati / N. totale dei progetti, iniziative e attività programmati nella Direttiva generale annuale dell’Autorità politica di riferimento"</w:t>
            </w:r>
          </w:p>
        </w:tc>
        <w:tc>
          <w:tcPr>
            <w:tcW w:w="1180" w:type="dxa"/>
            <w:tcBorders>
              <w:top w:val="nil"/>
              <w:left w:val="nil"/>
              <w:bottom w:val="single" w:sz="4" w:space="0" w:color="auto"/>
              <w:right w:val="nil"/>
            </w:tcBorders>
            <w:shd w:val="clear" w:color="auto" w:fill="auto"/>
            <w:vAlign w:val="center"/>
            <w:hideMark/>
          </w:tcPr>
          <w:p w14:paraId="25A9CE0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single" w:sz="4" w:space="0" w:color="auto"/>
              <w:bottom w:val="single" w:sz="4" w:space="0" w:color="auto"/>
              <w:right w:val="nil"/>
            </w:tcBorders>
            <w:shd w:val="clear" w:color="auto" w:fill="auto"/>
            <w:vAlign w:val="center"/>
            <w:hideMark/>
          </w:tcPr>
          <w:p w14:paraId="7E51DE1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5C2531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FF4EE77" w14:textId="77777777" w:rsidTr="00F56356">
        <w:trPr>
          <w:trHeight w:val="420"/>
        </w:trPr>
        <w:tc>
          <w:tcPr>
            <w:tcW w:w="400" w:type="dxa"/>
            <w:tcBorders>
              <w:top w:val="nil"/>
              <w:left w:val="nil"/>
              <w:bottom w:val="nil"/>
              <w:right w:val="nil"/>
            </w:tcBorders>
            <w:shd w:val="clear" w:color="auto" w:fill="auto"/>
            <w:noWrap/>
            <w:vAlign w:val="bottom"/>
            <w:hideMark/>
          </w:tcPr>
          <w:p w14:paraId="51DD74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37D51C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5BCEFA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3C41D35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4454D6D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vAlign w:val="center"/>
            <w:hideMark/>
          </w:tcPr>
          <w:p w14:paraId="05C2DF1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126D09CC"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7C1DA448"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183461CF"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2C98FB39"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03EA75F4"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54BBC69D"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42BF5EFC"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42ABBD3E"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5187C93E" w14:textId="77777777" w:rsidR="00F56356" w:rsidRP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61402191" w14:textId="63713F80" w:rsidR="00F56356" w:rsidRDefault="00F56356" w:rsidP="00F56356">
      <w:pPr>
        <w:spacing w:after="0" w:line="360" w:lineRule="auto"/>
        <w:ind w:right="284" w:firstLine="900"/>
        <w:jc w:val="both"/>
        <w:rPr>
          <w:rFonts w:ascii="Times New Roman" w:eastAsia="Times New Roman" w:hAnsi="Times New Roman" w:cs="Times New Roman"/>
          <w:sz w:val="4"/>
          <w:szCs w:val="12"/>
          <w:lang w:eastAsia="it-IT"/>
        </w:rPr>
      </w:pPr>
    </w:p>
    <w:p w14:paraId="0A9E0724" w14:textId="6B84AA4C" w:rsidR="0043213C"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p w14:paraId="5B86049E" w14:textId="77777777" w:rsidR="0043213C" w:rsidRPr="00F56356" w:rsidRDefault="0043213C" w:rsidP="00F56356">
      <w:pPr>
        <w:spacing w:after="0" w:line="360" w:lineRule="auto"/>
        <w:ind w:right="284" w:firstLine="900"/>
        <w:jc w:val="both"/>
        <w:rPr>
          <w:rFonts w:ascii="Times New Roman" w:eastAsia="Times New Roman" w:hAnsi="Times New Roman" w:cs="Times New Roman"/>
          <w:sz w:val="4"/>
          <w:szCs w:val="12"/>
          <w:lang w:eastAsia="it-IT"/>
        </w:rPr>
      </w:pPr>
    </w:p>
    <w:p w14:paraId="7454B3E7"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086AB43"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9651D67"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3725E032"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4316A7AB" w14:textId="77777777" w:rsidR="00F56356" w:rsidRPr="00F56356" w:rsidRDefault="00F56356" w:rsidP="00F56356">
      <w:pPr>
        <w:tabs>
          <w:tab w:val="left" w:pos="-426"/>
        </w:tabs>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13 “Protezione civile”</w:t>
      </w:r>
    </w:p>
    <w:p w14:paraId="572B2C3A" w14:textId="77777777" w:rsidR="00F56356" w:rsidRPr="00F56356" w:rsidRDefault="00F56356" w:rsidP="00F56356">
      <w:pPr>
        <w:tabs>
          <w:tab w:val="left" w:pos="-426"/>
        </w:tabs>
        <w:spacing w:after="0" w:line="360" w:lineRule="auto"/>
        <w:ind w:left="284"/>
        <w:jc w:val="both"/>
        <w:rPr>
          <w:rFonts w:ascii="Times New Roman" w:eastAsia="Times New Roman" w:hAnsi="Times New Roman" w:cs="Times New Roman"/>
          <w:b/>
          <w:sz w:val="16"/>
          <w:szCs w:val="24"/>
          <w:lang w:eastAsia="it-IT"/>
        </w:rPr>
      </w:pPr>
    </w:p>
    <w:p w14:paraId="2E4C967F" w14:textId="77777777" w:rsidR="00F56356" w:rsidRPr="00F56356" w:rsidRDefault="00F56356" w:rsidP="00F56356">
      <w:pPr>
        <w:tabs>
          <w:tab w:val="left" w:pos="0"/>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8 - </w:t>
      </w:r>
      <w:r w:rsidRPr="00F56356">
        <w:rPr>
          <w:rFonts w:ascii="Times New Roman" w:eastAsia="Times New Roman" w:hAnsi="Times New Roman" w:cs="Times New Roman"/>
          <w:sz w:val="24"/>
          <w:szCs w:val="24"/>
          <w:lang w:eastAsia="it-IT"/>
        </w:rPr>
        <w:t xml:space="preserve">Soccorso civile </w:t>
      </w:r>
    </w:p>
    <w:p w14:paraId="4B364F6B" w14:textId="77777777" w:rsidR="00F56356" w:rsidRPr="00F56356" w:rsidRDefault="00F56356" w:rsidP="00F56356">
      <w:pPr>
        <w:tabs>
          <w:tab w:val="left" w:pos="0"/>
        </w:tabs>
        <w:spacing w:after="0" w:line="240" w:lineRule="auto"/>
        <w:ind w:left="284"/>
        <w:jc w:val="both"/>
        <w:rPr>
          <w:rFonts w:ascii="Times New Roman" w:eastAsia="Times New Roman" w:hAnsi="Times New Roman" w:cs="Times New Roman"/>
          <w:b/>
          <w:bCs/>
          <w:iCs/>
          <w:sz w:val="16"/>
          <w:szCs w:val="24"/>
          <w:lang w:eastAsia="it-IT"/>
        </w:rPr>
      </w:pPr>
    </w:p>
    <w:p w14:paraId="7D918812" w14:textId="77777777" w:rsidR="00F56356" w:rsidRPr="00F56356" w:rsidRDefault="00F56356" w:rsidP="00F56356">
      <w:pPr>
        <w:tabs>
          <w:tab w:val="left" w:pos="0"/>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bCs/>
          <w:iCs/>
          <w:sz w:val="24"/>
          <w:szCs w:val="24"/>
          <w:lang w:eastAsia="it-IT"/>
        </w:rPr>
        <w:t xml:space="preserve">Programma 8.4 - </w:t>
      </w:r>
      <w:r w:rsidRPr="00F56356">
        <w:rPr>
          <w:rFonts w:ascii="Times New Roman" w:eastAsia="Times New Roman" w:hAnsi="Times New Roman" w:cs="Times New Roman"/>
          <w:iCs/>
          <w:sz w:val="24"/>
          <w:szCs w:val="24"/>
          <w:lang w:eastAsia="it-IT"/>
        </w:rPr>
        <w:t>Interventi per pubbliche calamità</w:t>
      </w:r>
    </w:p>
    <w:p w14:paraId="531E1053"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b/>
          <w:sz w:val="16"/>
          <w:szCs w:val="24"/>
          <w:lang w:eastAsia="it-IT"/>
        </w:rPr>
      </w:pPr>
    </w:p>
    <w:p w14:paraId="43652EAC"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Programma 8.5 - </w:t>
      </w:r>
      <w:r w:rsidRPr="00F56356">
        <w:rPr>
          <w:rFonts w:ascii="Times New Roman" w:eastAsia="Times New Roman" w:hAnsi="Times New Roman" w:cs="Times New Roman"/>
          <w:sz w:val="24"/>
          <w:szCs w:val="24"/>
          <w:lang w:eastAsia="it-IT"/>
        </w:rPr>
        <w:t xml:space="preserve">Protezione civile </w:t>
      </w:r>
    </w:p>
    <w:p w14:paraId="1BBC5341"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22D2A521"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MISSIONE</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b/>
          <w:sz w:val="24"/>
          <w:szCs w:val="24"/>
          <w:lang w:eastAsia="it-IT"/>
        </w:rPr>
        <w:t>18</w:t>
      </w:r>
      <w:r w:rsidRPr="00F56356">
        <w:rPr>
          <w:rFonts w:ascii="Times New Roman" w:eastAsia="Times New Roman" w:hAnsi="Times New Roman" w:cs="Times New Roman"/>
          <w:sz w:val="24"/>
          <w:szCs w:val="24"/>
          <w:lang w:eastAsia="it-IT"/>
        </w:rPr>
        <w:t xml:space="preserve"> - Sviluppo sostenibile e tutela del territorio e dell’ambiente</w:t>
      </w:r>
    </w:p>
    <w:p w14:paraId="0615A587"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16"/>
          <w:szCs w:val="24"/>
          <w:lang w:eastAsia="it-IT"/>
        </w:rPr>
      </w:pPr>
    </w:p>
    <w:p w14:paraId="077BEAE9"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Programma 18.14 -</w:t>
      </w:r>
      <w:r w:rsidRPr="00F56356">
        <w:rPr>
          <w:rFonts w:ascii="Times New Roman" w:eastAsia="Times New Roman" w:hAnsi="Times New Roman" w:cs="Times New Roman"/>
          <w:sz w:val="24"/>
          <w:szCs w:val="24"/>
          <w:lang w:eastAsia="it-IT"/>
        </w:rPr>
        <w:t xml:space="preserve"> Sostegno allo sviluppo sostenibile</w:t>
      </w:r>
    </w:p>
    <w:p w14:paraId="37EFAF55"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01261CAF"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2E272005"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4"/>
          <w:szCs w:val="24"/>
          <w:lang w:eastAsia="it-IT"/>
        </w:rPr>
      </w:pPr>
    </w:p>
    <w:p w14:paraId="2E042D5F" w14:textId="77777777" w:rsidR="00F56356" w:rsidRPr="00F56356" w:rsidRDefault="00F56356" w:rsidP="00F56356">
      <w:pPr>
        <w:tabs>
          <w:tab w:val="left" w:pos="0"/>
          <w:tab w:val="left" w:pos="709"/>
        </w:tabs>
        <w:spacing w:after="0" w:line="240" w:lineRule="auto"/>
        <w:ind w:left="284"/>
        <w:jc w:val="both"/>
        <w:rPr>
          <w:rFonts w:ascii="Times New Roman" w:eastAsia="Times New Roman" w:hAnsi="Times New Roman" w:cs="Times New Roman"/>
          <w:sz w:val="2"/>
          <w:szCs w:val="24"/>
          <w:lang w:eastAsia="it-IT"/>
        </w:rPr>
      </w:pPr>
    </w:p>
    <w:p w14:paraId="714D5469" w14:textId="77777777" w:rsidR="00F56356" w:rsidRPr="00F56356" w:rsidRDefault="00F56356" w:rsidP="00F56356">
      <w:pPr>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i/>
          <w:sz w:val="24"/>
          <w:szCs w:val="24"/>
          <w:lang w:eastAsia="it-IT"/>
        </w:rPr>
        <w:t>1.</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b/>
          <w:i/>
          <w:sz w:val="24"/>
          <w:szCs w:val="24"/>
          <w:lang w:eastAsia="it-IT"/>
        </w:rPr>
        <w:t>Mission</w:t>
      </w:r>
    </w:p>
    <w:p w14:paraId="3EAC3FD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Il Centro di responsabilità 13 “Protezione civile” esercita le funzioni attribuite dal decreto legislativo 2 gennaio 2018, n. 1, recante </w:t>
      </w:r>
      <w:r w:rsidRPr="00F56356">
        <w:rPr>
          <w:rFonts w:ascii="Times New Roman" w:eastAsia="Times New Roman" w:hAnsi="Times New Roman" w:cs="Times New Roman"/>
          <w:i/>
          <w:color w:val="000000" w:themeColor="text1"/>
          <w:sz w:val="24"/>
          <w:szCs w:val="24"/>
          <w:lang w:eastAsia="it-IT"/>
        </w:rPr>
        <w:t>“Codice della Protezione Civile”</w:t>
      </w:r>
      <w:r w:rsidRPr="00F56356">
        <w:rPr>
          <w:rFonts w:ascii="Times New Roman" w:eastAsia="Times New Roman" w:hAnsi="Times New Roman" w:cs="Times New Roman"/>
          <w:color w:val="000000" w:themeColor="text1"/>
          <w:sz w:val="24"/>
          <w:szCs w:val="24"/>
          <w:lang w:eastAsia="it-IT"/>
        </w:rPr>
        <w:t>, entrato in vigore il 6 febbraio 2018. Provvede, inoltre, a organizzare e coordinare al proprio interno tutte le attività già di competenza del Servizio sismico nazionale; a garantire il supporto alle attività della Commissione nazionale per la previsione e prevenzione dei grandi rischi, del Comitato operativo della protezione civile, nonché del Comitato paritetico Stato-regioni-enti locali di cui all’articolo 5, comma 1, del decreto-legge 7 settembre 2001, n. 343, convertito, con modificazioni, dalla legge 9 novembre 2001, n. 401; a curare le attività concernenti il volontariato di protezione civile; a sviluppare e mantenere relazioni con tutti gli organismi istituzionali e scientifici internazionali operanti nel campo della protezione civile, partecipando attivamente ai progetti di collaborazione internazionale. Operando in stretto raccordo con le regioni e le province autonome, si occupa, altresì, di tutte le attività volte alla previsione e alla prevenzione dei rischi, al soccorso e all’assistenza delle popolazioni colpite da calamità, al contrasto e al superamento dell’emergenza.</w:t>
      </w:r>
    </w:p>
    <w:p w14:paraId="711AB8F4"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29366745"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27249B02" w14:textId="77777777" w:rsidR="00F56356" w:rsidRPr="00F56356" w:rsidRDefault="00F56356"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w:t>
      </w:r>
      <w:r w:rsidRPr="00F56356">
        <w:rPr>
          <w:rFonts w:ascii="Times New Roman" w:eastAsia="Times New Roman" w:hAnsi="Times New Roman" w:cs="Times New Roman"/>
          <w:b/>
          <w:iCs/>
          <w:color w:val="000000" w:themeColor="text1"/>
          <w:sz w:val="24"/>
          <w:szCs w:val="24"/>
          <w:lang w:eastAsia="it-IT"/>
        </w:rPr>
        <w:t>Ricostruzione flussi finanziari e aspetti rilevanti della gestione</w:t>
      </w:r>
    </w:p>
    <w:p w14:paraId="425B6681"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6"/>
          <w:szCs w:val="24"/>
          <w:lang w:eastAsia="it-IT"/>
        </w:rPr>
      </w:pPr>
    </w:p>
    <w:p w14:paraId="47784758"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5.094.034.629,31, nell’ambito delle quali euro 2.523.790,66</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riferiti a reiscrizioni di residui passivi perenti ed euro 3.349.646.029,55 riferiti a riassegnazioni dall’avanzo di esercizio 2021.</w:t>
      </w:r>
    </w:p>
    <w:p w14:paraId="6C55C4B2"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2.123.766.343,91, con una economia di bilancio di euro 2.970.268.285,40. Il totale dei pagamenti riferiti alla competenza è stato pari a euro 1.790.276.417,73, con un indice di capacità di pagamento (rapporto pagato/impegnato) che si attesta all’84,30 per cento.</w:t>
      </w:r>
    </w:p>
    <w:p w14:paraId="3167D6AD"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7A387FB"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lastRenderedPageBreak/>
        <w:t>I residui passivi al 1° gennaio 2022 erano pari a euro 178.101.166,65.</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Su questi sono stati effettuati pagamenti per euro 84.372.437,49 e realizzate economie per euro 294.906,18. </w:t>
      </w:r>
    </w:p>
    <w:p w14:paraId="57A49FEB" w14:textId="77777777" w:rsidR="00F56356" w:rsidRPr="00F56356" w:rsidRDefault="00F56356"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p>
    <w:p w14:paraId="6197DE66" w14:textId="77777777" w:rsidR="00F56356" w:rsidRPr="00F56356" w:rsidRDefault="00F56356"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1A3BDBB4" w14:textId="77777777" w:rsidR="00F56356" w:rsidRPr="00F56356" w:rsidRDefault="00F56356" w:rsidP="00F56356">
      <w:pPr>
        <w:tabs>
          <w:tab w:val="left" w:pos="0"/>
          <w:tab w:val="left" w:pos="9356"/>
        </w:tabs>
        <w:spacing w:after="0" w:line="240" w:lineRule="auto"/>
        <w:ind w:left="284"/>
        <w:jc w:val="center"/>
        <w:rPr>
          <w:rFonts w:ascii="Times New Roman" w:eastAsia="Times New Roman" w:hAnsi="Times New Roman" w:cs="Times New Roman"/>
          <w:color w:val="000000" w:themeColor="text1"/>
          <w:sz w:val="24"/>
          <w:szCs w:val="24"/>
          <w:lang w:eastAsia="it-IT"/>
        </w:rPr>
      </w:pPr>
    </w:p>
    <w:p w14:paraId="05684A68"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tbl>
      <w:tblPr>
        <w:tblW w:w="6860" w:type="dxa"/>
        <w:jc w:val="center"/>
        <w:tblCellMar>
          <w:left w:w="70" w:type="dxa"/>
          <w:right w:w="70" w:type="dxa"/>
        </w:tblCellMar>
        <w:tblLook w:val="04A0" w:firstRow="1" w:lastRow="0" w:firstColumn="1" w:lastColumn="0" w:noHBand="0" w:noVBand="1"/>
      </w:tblPr>
      <w:tblGrid>
        <w:gridCol w:w="471"/>
        <w:gridCol w:w="1546"/>
        <w:gridCol w:w="1530"/>
        <w:gridCol w:w="978"/>
        <w:gridCol w:w="1198"/>
        <w:gridCol w:w="1137"/>
      </w:tblGrid>
      <w:tr w:rsidR="00F56356" w:rsidRPr="00F56356" w14:paraId="1ADCB2F8"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B2C3C"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54D7A3B3" w14:textId="77777777" w:rsidTr="00F56356">
        <w:trPr>
          <w:trHeight w:val="540"/>
          <w:jc w:val="center"/>
        </w:trPr>
        <w:tc>
          <w:tcPr>
            <w:tcW w:w="4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A9E46"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3B26B68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14:paraId="57351D60"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13" w:type="dxa"/>
            <w:gridSpan w:val="3"/>
            <w:tcBorders>
              <w:top w:val="single" w:sz="4" w:space="0" w:color="auto"/>
              <w:left w:val="nil"/>
              <w:bottom w:val="single" w:sz="4" w:space="0" w:color="auto"/>
              <w:right w:val="single" w:sz="4" w:space="0" w:color="000000"/>
            </w:tcBorders>
            <w:shd w:val="clear" w:color="auto" w:fill="auto"/>
            <w:vAlign w:val="center"/>
            <w:hideMark/>
          </w:tcPr>
          <w:p w14:paraId="2BB4DEE4"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2DA9D43D" w14:textId="77777777" w:rsidTr="00F56356">
        <w:trPr>
          <w:trHeight w:val="300"/>
          <w:jc w:val="center"/>
        </w:trPr>
        <w:tc>
          <w:tcPr>
            <w:tcW w:w="471" w:type="dxa"/>
            <w:vMerge/>
            <w:tcBorders>
              <w:top w:val="nil"/>
              <w:left w:val="single" w:sz="4" w:space="0" w:color="auto"/>
              <w:bottom w:val="single" w:sz="4" w:space="0" w:color="auto"/>
              <w:right w:val="single" w:sz="4" w:space="0" w:color="auto"/>
            </w:tcBorders>
            <w:vAlign w:val="center"/>
            <w:hideMark/>
          </w:tcPr>
          <w:p w14:paraId="6FAFDFD1"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46" w:type="dxa"/>
            <w:vMerge/>
            <w:tcBorders>
              <w:top w:val="nil"/>
              <w:left w:val="single" w:sz="4" w:space="0" w:color="auto"/>
              <w:bottom w:val="single" w:sz="4" w:space="0" w:color="auto"/>
              <w:right w:val="single" w:sz="4" w:space="0" w:color="auto"/>
            </w:tcBorders>
            <w:vAlign w:val="center"/>
            <w:hideMark/>
          </w:tcPr>
          <w:p w14:paraId="492A544E"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30" w:type="dxa"/>
            <w:vMerge/>
            <w:tcBorders>
              <w:top w:val="nil"/>
              <w:left w:val="single" w:sz="4" w:space="0" w:color="auto"/>
              <w:bottom w:val="single" w:sz="4" w:space="0" w:color="auto"/>
              <w:right w:val="single" w:sz="4" w:space="0" w:color="auto"/>
            </w:tcBorders>
            <w:vAlign w:val="center"/>
            <w:hideMark/>
          </w:tcPr>
          <w:p w14:paraId="77F10614"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78" w:type="dxa"/>
            <w:tcBorders>
              <w:top w:val="nil"/>
              <w:left w:val="nil"/>
              <w:bottom w:val="single" w:sz="4" w:space="0" w:color="auto"/>
              <w:right w:val="single" w:sz="4" w:space="0" w:color="auto"/>
            </w:tcBorders>
            <w:shd w:val="clear" w:color="auto" w:fill="auto"/>
            <w:vAlign w:val="center"/>
            <w:hideMark/>
          </w:tcPr>
          <w:p w14:paraId="748333FC"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98" w:type="dxa"/>
            <w:tcBorders>
              <w:top w:val="nil"/>
              <w:left w:val="nil"/>
              <w:bottom w:val="single" w:sz="4" w:space="0" w:color="auto"/>
              <w:right w:val="single" w:sz="4" w:space="0" w:color="auto"/>
            </w:tcBorders>
            <w:shd w:val="clear" w:color="auto" w:fill="auto"/>
            <w:vAlign w:val="center"/>
            <w:hideMark/>
          </w:tcPr>
          <w:p w14:paraId="686E3B2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37" w:type="dxa"/>
            <w:tcBorders>
              <w:top w:val="nil"/>
              <w:left w:val="nil"/>
              <w:bottom w:val="single" w:sz="4" w:space="0" w:color="auto"/>
              <w:right w:val="single" w:sz="4" w:space="0" w:color="auto"/>
            </w:tcBorders>
            <w:shd w:val="clear" w:color="auto" w:fill="auto"/>
            <w:vAlign w:val="center"/>
            <w:hideMark/>
          </w:tcPr>
          <w:p w14:paraId="67E0946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4619757"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73FF11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682</w:t>
            </w:r>
          </w:p>
        </w:tc>
        <w:tc>
          <w:tcPr>
            <w:tcW w:w="1546" w:type="dxa"/>
            <w:tcBorders>
              <w:top w:val="nil"/>
              <w:left w:val="nil"/>
              <w:bottom w:val="single" w:sz="4" w:space="0" w:color="auto"/>
              <w:right w:val="single" w:sz="4" w:space="0" w:color="auto"/>
            </w:tcBorders>
            <w:shd w:val="clear" w:color="auto" w:fill="auto"/>
            <w:noWrap/>
            <w:vAlign w:val="center"/>
            <w:hideMark/>
          </w:tcPr>
          <w:p w14:paraId="1B0FE8E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32.252,77</w:t>
            </w:r>
          </w:p>
        </w:tc>
        <w:tc>
          <w:tcPr>
            <w:tcW w:w="1530" w:type="dxa"/>
            <w:tcBorders>
              <w:top w:val="nil"/>
              <w:left w:val="nil"/>
              <w:bottom w:val="single" w:sz="4" w:space="0" w:color="auto"/>
              <w:right w:val="single" w:sz="4" w:space="0" w:color="auto"/>
            </w:tcBorders>
            <w:shd w:val="clear" w:color="auto" w:fill="auto"/>
            <w:noWrap/>
            <w:vAlign w:val="center"/>
            <w:hideMark/>
          </w:tcPr>
          <w:p w14:paraId="4C66A39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32.252,77</w:t>
            </w:r>
          </w:p>
        </w:tc>
        <w:tc>
          <w:tcPr>
            <w:tcW w:w="978" w:type="dxa"/>
            <w:tcBorders>
              <w:top w:val="nil"/>
              <w:left w:val="nil"/>
              <w:bottom w:val="single" w:sz="4" w:space="0" w:color="auto"/>
              <w:right w:val="single" w:sz="4" w:space="0" w:color="auto"/>
            </w:tcBorders>
            <w:shd w:val="clear" w:color="auto" w:fill="auto"/>
            <w:noWrap/>
            <w:vAlign w:val="center"/>
            <w:hideMark/>
          </w:tcPr>
          <w:p w14:paraId="189E77C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98" w:type="dxa"/>
            <w:tcBorders>
              <w:top w:val="nil"/>
              <w:left w:val="nil"/>
              <w:bottom w:val="single" w:sz="4" w:space="0" w:color="auto"/>
              <w:right w:val="single" w:sz="4" w:space="0" w:color="auto"/>
            </w:tcBorders>
            <w:shd w:val="clear" w:color="auto" w:fill="auto"/>
            <w:noWrap/>
            <w:vAlign w:val="center"/>
            <w:hideMark/>
          </w:tcPr>
          <w:p w14:paraId="1265CF4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37" w:type="dxa"/>
            <w:tcBorders>
              <w:top w:val="nil"/>
              <w:left w:val="nil"/>
              <w:bottom w:val="single" w:sz="4" w:space="0" w:color="auto"/>
              <w:right w:val="single" w:sz="4" w:space="0" w:color="auto"/>
            </w:tcBorders>
            <w:shd w:val="clear" w:color="auto" w:fill="auto"/>
            <w:noWrap/>
            <w:vAlign w:val="center"/>
            <w:hideMark/>
          </w:tcPr>
          <w:p w14:paraId="66CEBE2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r>
      <w:tr w:rsidR="00F56356" w:rsidRPr="00F56356" w14:paraId="7A0A6118"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4EF7AEC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688</w:t>
            </w:r>
          </w:p>
        </w:tc>
        <w:tc>
          <w:tcPr>
            <w:tcW w:w="1546" w:type="dxa"/>
            <w:tcBorders>
              <w:top w:val="nil"/>
              <w:left w:val="nil"/>
              <w:bottom w:val="single" w:sz="4" w:space="0" w:color="auto"/>
              <w:right w:val="single" w:sz="4" w:space="0" w:color="auto"/>
            </w:tcBorders>
            <w:shd w:val="clear" w:color="auto" w:fill="auto"/>
            <w:noWrap/>
            <w:vAlign w:val="center"/>
            <w:hideMark/>
          </w:tcPr>
          <w:p w14:paraId="0EF9281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0784CB3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78" w:type="dxa"/>
            <w:tcBorders>
              <w:top w:val="nil"/>
              <w:left w:val="nil"/>
              <w:bottom w:val="single" w:sz="4" w:space="0" w:color="auto"/>
              <w:right w:val="single" w:sz="4" w:space="0" w:color="auto"/>
            </w:tcBorders>
            <w:shd w:val="clear" w:color="auto" w:fill="auto"/>
            <w:noWrap/>
            <w:vAlign w:val="center"/>
            <w:hideMark/>
          </w:tcPr>
          <w:p w14:paraId="0C75897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1426D3A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37" w:type="dxa"/>
            <w:tcBorders>
              <w:top w:val="nil"/>
              <w:left w:val="nil"/>
              <w:bottom w:val="single" w:sz="4" w:space="0" w:color="auto"/>
              <w:right w:val="single" w:sz="4" w:space="0" w:color="auto"/>
            </w:tcBorders>
            <w:shd w:val="clear" w:color="auto" w:fill="auto"/>
            <w:noWrap/>
            <w:vAlign w:val="center"/>
            <w:hideMark/>
          </w:tcPr>
          <w:p w14:paraId="30925D1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r>
      <w:tr w:rsidR="00F56356" w:rsidRPr="00F56356" w14:paraId="44E989AB"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B3BCDD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689</w:t>
            </w:r>
          </w:p>
        </w:tc>
        <w:tc>
          <w:tcPr>
            <w:tcW w:w="1546" w:type="dxa"/>
            <w:tcBorders>
              <w:top w:val="nil"/>
              <w:left w:val="nil"/>
              <w:bottom w:val="single" w:sz="4" w:space="0" w:color="auto"/>
              <w:right w:val="single" w:sz="4" w:space="0" w:color="auto"/>
            </w:tcBorders>
            <w:shd w:val="clear" w:color="auto" w:fill="auto"/>
            <w:noWrap/>
            <w:vAlign w:val="center"/>
            <w:hideMark/>
          </w:tcPr>
          <w:p w14:paraId="40541E7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530" w:type="dxa"/>
            <w:tcBorders>
              <w:top w:val="nil"/>
              <w:left w:val="nil"/>
              <w:bottom w:val="single" w:sz="4" w:space="0" w:color="auto"/>
              <w:right w:val="single" w:sz="4" w:space="0" w:color="auto"/>
            </w:tcBorders>
            <w:shd w:val="clear" w:color="auto" w:fill="auto"/>
            <w:noWrap/>
            <w:vAlign w:val="center"/>
            <w:hideMark/>
          </w:tcPr>
          <w:p w14:paraId="7620F2E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78" w:type="dxa"/>
            <w:tcBorders>
              <w:top w:val="nil"/>
              <w:left w:val="nil"/>
              <w:bottom w:val="single" w:sz="4" w:space="0" w:color="auto"/>
              <w:right w:val="single" w:sz="4" w:space="0" w:color="auto"/>
            </w:tcBorders>
            <w:shd w:val="clear" w:color="auto" w:fill="auto"/>
            <w:noWrap/>
            <w:vAlign w:val="center"/>
            <w:hideMark/>
          </w:tcPr>
          <w:p w14:paraId="69143D1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98" w:type="dxa"/>
            <w:tcBorders>
              <w:top w:val="nil"/>
              <w:left w:val="nil"/>
              <w:bottom w:val="single" w:sz="4" w:space="0" w:color="auto"/>
              <w:right w:val="single" w:sz="4" w:space="0" w:color="auto"/>
            </w:tcBorders>
            <w:shd w:val="clear" w:color="auto" w:fill="auto"/>
            <w:noWrap/>
            <w:vAlign w:val="center"/>
            <w:hideMark/>
          </w:tcPr>
          <w:p w14:paraId="4877C6C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37" w:type="dxa"/>
            <w:tcBorders>
              <w:top w:val="nil"/>
              <w:left w:val="nil"/>
              <w:bottom w:val="single" w:sz="4" w:space="0" w:color="auto"/>
              <w:right w:val="single" w:sz="4" w:space="0" w:color="auto"/>
            </w:tcBorders>
            <w:shd w:val="clear" w:color="auto" w:fill="auto"/>
            <w:noWrap/>
            <w:vAlign w:val="center"/>
            <w:hideMark/>
          </w:tcPr>
          <w:p w14:paraId="3610FDE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r>
      <w:tr w:rsidR="00F56356" w:rsidRPr="00F56356" w14:paraId="105FCB6A"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E533D8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700</w:t>
            </w:r>
          </w:p>
        </w:tc>
        <w:tc>
          <w:tcPr>
            <w:tcW w:w="1546" w:type="dxa"/>
            <w:tcBorders>
              <w:top w:val="nil"/>
              <w:left w:val="nil"/>
              <w:bottom w:val="single" w:sz="4" w:space="0" w:color="auto"/>
              <w:right w:val="single" w:sz="4" w:space="0" w:color="auto"/>
            </w:tcBorders>
            <w:shd w:val="clear" w:color="000000" w:fill="FFFFFF"/>
            <w:noWrap/>
            <w:vAlign w:val="center"/>
            <w:hideMark/>
          </w:tcPr>
          <w:p w14:paraId="6A6C977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1.756.544,32</w:t>
            </w:r>
          </w:p>
        </w:tc>
        <w:tc>
          <w:tcPr>
            <w:tcW w:w="1530" w:type="dxa"/>
            <w:tcBorders>
              <w:top w:val="nil"/>
              <w:left w:val="nil"/>
              <w:bottom w:val="single" w:sz="4" w:space="0" w:color="auto"/>
              <w:right w:val="single" w:sz="4" w:space="0" w:color="auto"/>
            </w:tcBorders>
            <w:shd w:val="clear" w:color="000000" w:fill="FFFFFF"/>
            <w:noWrap/>
            <w:vAlign w:val="center"/>
            <w:hideMark/>
          </w:tcPr>
          <w:p w14:paraId="62FCBE1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373.387,58</w:t>
            </w:r>
          </w:p>
        </w:tc>
        <w:tc>
          <w:tcPr>
            <w:tcW w:w="978" w:type="dxa"/>
            <w:tcBorders>
              <w:top w:val="nil"/>
              <w:left w:val="nil"/>
              <w:bottom w:val="single" w:sz="4" w:space="0" w:color="auto"/>
              <w:right w:val="single" w:sz="4" w:space="0" w:color="auto"/>
            </w:tcBorders>
            <w:shd w:val="clear" w:color="auto" w:fill="auto"/>
            <w:noWrap/>
            <w:vAlign w:val="center"/>
            <w:hideMark/>
          </w:tcPr>
          <w:p w14:paraId="1515B28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98" w:type="dxa"/>
            <w:tcBorders>
              <w:top w:val="nil"/>
              <w:left w:val="nil"/>
              <w:bottom w:val="single" w:sz="4" w:space="0" w:color="auto"/>
              <w:right w:val="single" w:sz="4" w:space="0" w:color="auto"/>
            </w:tcBorders>
            <w:shd w:val="clear" w:color="auto" w:fill="auto"/>
            <w:noWrap/>
            <w:vAlign w:val="center"/>
            <w:hideMark/>
          </w:tcPr>
          <w:p w14:paraId="7C6FB38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78,74</w:t>
            </w:r>
          </w:p>
        </w:tc>
        <w:tc>
          <w:tcPr>
            <w:tcW w:w="1137" w:type="dxa"/>
            <w:tcBorders>
              <w:top w:val="nil"/>
              <w:left w:val="nil"/>
              <w:bottom w:val="single" w:sz="4" w:space="0" w:color="auto"/>
              <w:right w:val="single" w:sz="4" w:space="0" w:color="auto"/>
            </w:tcBorders>
            <w:shd w:val="clear" w:color="auto" w:fill="auto"/>
            <w:noWrap/>
            <w:vAlign w:val="center"/>
            <w:hideMark/>
          </w:tcPr>
          <w:p w14:paraId="6446EF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-11,26</w:t>
            </w:r>
          </w:p>
        </w:tc>
      </w:tr>
      <w:tr w:rsidR="00F56356" w:rsidRPr="00F56356" w14:paraId="0218423F"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60B4BE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704</w:t>
            </w:r>
          </w:p>
        </w:tc>
        <w:tc>
          <w:tcPr>
            <w:tcW w:w="1546" w:type="dxa"/>
            <w:tcBorders>
              <w:top w:val="nil"/>
              <w:left w:val="nil"/>
              <w:bottom w:val="single" w:sz="4" w:space="0" w:color="auto"/>
              <w:right w:val="single" w:sz="4" w:space="0" w:color="auto"/>
            </w:tcBorders>
            <w:shd w:val="clear" w:color="000000" w:fill="FFFFFF"/>
            <w:noWrap/>
            <w:vAlign w:val="center"/>
            <w:hideMark/>
          </w:tcPr>
          <w:p w14:paraId="3A6C48D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5.736,27</w:t>
            </w:r>
          </w:p>
        </w:tc>
        <w:tc>
          <w:tcPr>
            <w:tcW w:w="1530" w:type="dxa"/>
            <w:tcBorders>
              <w:top w:val="nil"/>
              <w:left w:val="nil"/>
              <w:bottom w:val="single" w:sz="4" w:space="0" w:color="auto"/>
              <w:right w:val="single" w:sz="4" w:space="0" w:color="auto"/>
            </w:tcBorders>
            <w:shd w:val="clear" w:color="000000" w:fill="FFFFFF"/>
            <w:noWrap/>
            <w:vAlign w:val="center"/>
            <w:hideMark/>
          </w:tcPr>
          <w:p w14:paraId="673445F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8" w:type="dxa"/>
            <w:tcBorders>
              <w:top w:val="nil"/>
              <w:left w:val="nil"/>
              <w:bottom w:val="single" w:sz="4" w:space="0" w:color="auto"/>
              <w:right w:val="single" w:sz="4" w:space="0" w:color="auto"/>
            </w:tcBorders>
            <w:shd w:val="clear" w:color="auto" w:fill="auto"/>
            <w:noWrap/>
            <w:vAlign w:val="center"/>
            <w:hideMark/>
          </w:tcPr>
          <w:p w14:paraId="5B6CDBF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7A4048C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7" w:type="dxa"/>
            <w:tcBorders>
              <w:top w:val="nil"/>
              <w:left w:val="nil"/>
              <w:bottom w:val="single" w:sz="4" w:space="0" w:color="auto"/>
              <w:right w:val="single" w:sz="4" w:space="0" w:color="auto"/>
            </w:tcBorders>
            <w:shd w:val="clear" w:color="auto" w:fill="auto"/>
            <w:noWrap/>
            <w:vAlign w:val="center"/>
            <w:hideMark/>
          </w:tcPr>
          <w:p w14:paraId="0F3512A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0BAC5446"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77B20E4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708</w:t>
            </w:r>
          </w:p>
        </w:tc>
        <w:tc>
          <w:tcPr>
            <w:tcW w:w="1546" w:type="dxa"/>
            <w:tcBorders>
              <w:top w:val="nil"/>
              <w:left w:val="nil"/>
              <w:bottom w:val="single" w:sz="4" w:space="0" w:color="auto"/>
              <w:right w:val="single" w:sz="4" w:space="0" w:color="auto"/>
            </w:tcBorders>
            <w:shd w:val="clear" w:color="000000" w:fill="FFFFFF"/>
            <w:noWrap/>
            <w:vAlign w:val="center"/>
            <w:hideMark/>
          </w:tcPr>
          <w:p w14:paraId="04D9A34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1.636.078,67</w:t>
            </w:r>
          </w:p>
        </w:tc>
        <w:tc>
          <w:tcPr>
            <w:tcW w:w="1530" w:type="dxa"/>
            <w:tcBorders>
              <w:top w:val="nil"/>
              <w:left w:val="nil"/>
              <w:bottom w:val="single" w:sz="4" w:space="0" w:color="auto"/>
              <w:right w:val="single" w:sz="4" w:space="0" w:color="auto"/>
            </w:tcBorders>
            <w:shd w:val="clear" w:color="000000" w:fill="FFFFFF"/>
            <w:noWrap/>
            <w:vAlign w:val="center"/>
            <w:hideMark/>
          </w:tcPr>
          <w:p w14:paraId="2C59356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315.470,96</w:t>
            </w:r>
          </w:p>
        </w:tc>
        <w:tc>
          <w:tcPr>
            <w:tcW w:w="978" w:type="dxa"/>
            <w:tcBorders>
              <w:top w:val="nil"/>
              <w:left w:val="nil"/>
              <w:bottom w:val="single" w:sz="4" w:space="0" w:color="auto"/>
              <w:right w:val="single" w:sz="4" w:space="0" w:color="auto"/>
            </w:tcBorders>
            <w:shd w:val="clear" w:color="auto" w:fill="auto"/>
            <w:noWrap/>
            <w:vAlign w:val="center"/>
            <w:hideMark/>
          </w:tcPr>
          <w:p w14:paraId="7562981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98" w:type="dxa"/>
            <w:tcBorders>
              <w:top w:val="nil"/>
              <w:left w:val="nil"/>
              <w:bottom w:val="single" w:sz="4" w:space="0" w:color="auto"/>
              <w:right w:val="single" w:sz="4" w:space="0" w:color="auto"/>
            </w:tcBorders>
            <w:shd w:val="clear" w:color="auto" w:fill="auto"/>
            <w:noWrap/>
            <w:vAlign w:val="center"/>
            <w:hideMark/>
          </w:tcPr>
          <w:p w14:paraId="62729F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80,72</w:t>
            </w:r>
          </w:p>
        </w:tc>
        <w:tc>
          <w:tcPr>
            <w:tcW w:w="1137" w:type="dxa"/>
            <w:tcBorders>
              <w:top w:val="nil"/>
              <w:left w:val="nil"/>
              <w:bottom w:val="single" w:sz="4" w:space="0" w:color="auto"/>
              <w:right w:val="single" w:sz="4" w:space="0" w:color="auto"/>
            </w:tcBorders>
            <w:shd w:val="clear" w:color="auto" w:fill="auto"/>
            <w:noWrap/>
            <w:vAlign w:val="center"/>
            <w:hideMark/>
          </w:tcPr>
          <w:p w14:paraId="62665A8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0,72</w:t>
            </w:r>
          </w:p>
        </w:tc>
      </w:tr>
      <w:tr w:rsidR="00F56356" w:rsidRPr="00F56356" w14:paraId="403F2E0B"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6D29C9B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717</w:t>
            </w:r>
          </w:p>
        </w:tc>
        <w:tc>
          <w:tcPr>
            <w:tcW w:w="1546" w:type="dxa"/>
            <w:tcBorders>
              <w:top w:val="nil"/>
              <w:left w:val="nil"/>
              <w:bottom w:val="single" w:sz="4" w:space="0" w:color="auto"/>
              <w:right w:val="single" w:sz="4" w:space="0" w:color="auto"/>
            </w:tcBorders>
            <w:shd w:val="clear" w:color="000000" w:fill="FFFFFF"/>
            <w:noWrap/>
            <w:vAlign w:val="center"/>
            <w:hideMark/>
          </w:tcPr>
          <w:p w14:paraId="772D15F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227.633,53</w:t>
            </w:r>
          </w:p>
        </w:tc>
        <w:tc>
          <w:tcPr>
            <w:tcW w:w="1530" w:type="dxa"/>
            <w:tcBorders>
              <w:top w:val="nil"/>
              <w:left w:val="nil"/>
              <w:bottom w:val="single" w:sz="4" w:space="0" w:color="auto"/>
              <w:right w:val="single" w:sz="4" w:space="0" w:color="auto"/>
            </w:tcBorders>
            <w:shd w:val="clear" w:color="000000" w:fill="FFFFFF"/>
            <w:noWrap/>
            <w:vAlign w:val="center"/>
            <w:hideMark/>
          </w:tcPr>
          <w:p w14:paraId="17B1DCA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8" w:type="dxa"/>
            <w:tcBorders>
              <w:top w:val="nil"/>
              <w:left w:val="nil"/>
              <w:bottom w:val="single" w:sz="4" w:space="0" w:color="auto"/>
              <w:right w:val="single" w:sz="4" w:space="0" w:color="auto"/>
            </w:tcBorders>
            <w:shd w:val="clear" w:color="auto" w:fill="auto"/>
            <w:noWrap/>
            <w:vAlign w:val="center"/>
            <w:hideMark/>
          </w:tcPr>
          <w:p w14:paraId="1D6A1C9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98" w:type="dxa"/>
            <w:tcBorders>
              <w:top w:val="nil"/>
              <w:left w:val="nil"/>
              <w:bottom w:val="single" w:sz="4" w:space="0" w:color="auto"/>
              <w:right w:val="single" w:sz="4" w:space="0" w:color="auto"/>
            </w:tcBorders>
            <w:shd w:val="clear" w:color="auto" w:fill="auto"/>
            <w:noWrap/>
            <w:vAlign w:val="center"/>
            <w:hideMark/>
          </w:tcPr>
          <w:p w14:paraId="0AD7188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7" w:type="dxa"/>
            <w:tcBorders>
              <w:top w:val="nil"/>
              <w:left w:val="nil"/>
              <w:bottom w:val="single" w:sz="4" w:space="0" w:color="auto"/>
              <w:right w:val="single" w:sz="4" w:space="0" w:color="auto"/>
            </w:tcBorders>
            <w:shd w:val="clear" w:color="auto" w:fill="auto"/>
            <w:noWrap/>
            <w:vAlign w:val="center"/>
            <w:hideMark/>
          </w:tcPr>
          <w:p w14:paraId="78D5E1A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r>
      <w:tr w:rsidR="00F56356" w:rsidRPr="00F56356" w14:paraId="21188804"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52D63C6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723</w:t>
            </w:r>
          </w:p>
        </w:tc>
        <w:tc>
          <w:tcPr>
            <w:tcW w:w="1546" w:type="dxa"/>
            <w:tcBorders>
              <w:top w:val="nil"/>
              <w:left w:val="nil"/>
              <w:bottom w:val="single" w:sz="4" w:space="0" w:color="auto"/>
              <w:right w:val="single" w:sz="4" w:space="0" w:color="auto"/>
            </w:tcBorders>
            <w:shd w:val="clear" w:color="000000" w:fill="FFFFFF"/>
            <w:noWrap/>
            <w:vAlign w:val="center"/>
            <w:hideMark/>
          </w:tcPr>
          <w:p w14:paraId="7FD9190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6.211,22</w:t>
            </w:r>
          </w:p>
        </w:tc>
        <w:tc>
          <w:tcPr>
            <w:tcW w:w="1530" w:type="dxa"/>
            <w:tcBorders>
              <w:top w:val="nil"/>
              <w:left w:val="nil"/>
              <w:bottom w:val="single" w:sz="4" w:space="0" w:color="auto"/>
              <w:right w:val="single" w:sz="4" w:space="0" w:color="auto"/>
            </w:tcBorders>
            <w:shd w:val="clear" w:color="000000" w:fill="FFFFFF"/>
            <w:noWrap/>
            <w:vAlign w:val="center"/>
            <w:hideMark/>
          </w:tcPr>
          <w:p w14:paraId="46A2364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8" w:type="dxa"/>
            <w:tcBorders>
              <w:top w:val="nil"/>
              <w:left w:val="nil"/>
              <w:bottom w:val="single" w:sz="4" w:space="0" w:color="auto"/>
              <w:right w:val="single" w:sz="4" w:space="0" w:color="auto"/>
            </w:tcBorders>
            <w:shd w:val="clear" w:color="auto" w:fill="auto"/>
            <w:noWrap/>
            <w:vAlign w:val="center"/>
            <w:hideMark/>
          </w:tcPr>
          <w:p w14:paraId="58090AB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6DEC44C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7" w:type="dxa"/>
            <w:tcBorders>
              <w:top w:val="nil"/>
              <w:left w:val="nil"/>
              <w:bottom w:val="single" w:sz="4" w:space="0" w:color="auto"/>
              <w:right w:val="single" w:sz="4" w:space="0" w:color="auto"/>
            </w:tcBorders>
            <w:shd w:val="clear" w:color="auto" w:fill="auto"/>
            <w:noWrap/>
            <w:vAlign w:val="center"/>
            <w:hideMark/>
          </w:tcPr>
          <w:p w14:paraId="1C165DC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71CBE9DB"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526CA6F"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726</w:t>
            </w:r>
          </w:p>
        </w:tc>
        <w:tc>
          <w:tcPr>
            <w:tcW w:w="1546" w:type="dxa"/>
            <w:tcBorders>
              <w:top w:val="nil"/>
              <w:left w:val="nil"/>
              <w:bottom w:val="single" w:sz="4" w:space="0" w:color="auto"/>
              <w:right w:val="single" w:sz="4" w:space="0" w:color="auto"/>
            </w:tcBorders>
            <w:shd w:val="clear" w:color="000000" w:fill="FFFFFF"/>
            <w:noWrap/>
            <w:vAlign w:val="center"/>
            <w:hideMark/>
          </w:tcPr>
          <w:p w14:paraId="7C30DB0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211.375,54</w:t>
            </w:r>
          </w:p>
        </w:tc>
        <w:tc>
          <w:tcPr>
            <w:tcW w:w="1530" w:type="dxa"/>
            <w:tcBorders>
              <w:top w:val="nil"/>
              <w:left w:val="nil"/>
              <w:bottom w:val="single" w:sz="4" w:space="0" w:color="auto"/>
              <w:right w:val="single" w:sz="4" w:space="0" w:color="auto"/>
            </w:tcBorders>
            <w:shd w:val="clear" w:color="000000" w:fill="FFFFFF"/>
            <w:noWrap/>
            <w:vAlign w:val="center"/>
            <w:hideMark/>
          </w:tcPr>
          <w:p w14:paraId="794F085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4,00</w:t>
            </w:r>
          </w:p>
        </w:tc>
        <w:tc>
          <w:tcPr>
            <w:tcW w:w="978" w:type="dxa"/>
            <w:tcBorders>
              <w:top w:val="nil"/>
              <w:left w:val="nil"/>
              <w:bottom w:val="single" w:sz="4" w:space="0" w:color="auto"/>
              <w:right w:val="single" w:sz="4" w:space="0" w:color="auto"/>
            </w:tcBorders>
            <w:shd w:val="clear" w:color="auto" w:fill="auto"/>
            <w:noWrap/>
            <w:vAlign w:val="center"/>
            <w:hideMark/>
          </w:tcPr>
          <w:p w14:paraId="68009E7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98" w:type="dxa"/>
            <w:tcBorders>
              <w:top w:val="nil"/>
              <w:left w:val="nil"/>
              <w:bottom w:val="single" w:sz="4" w:space="0" w:color="auto"/>
              <w:right w:val="single" w:sz="4" w:space="0" w:color="auto"/>
            </w:tcBorders>
            <w:shd w:val="clear" w:color="auto" w:fill="auto"/>
            <w:noWrap/>
            <w:vAlign w:val="center"/>
            <w:hideMark/>
          </w:tcPr>
          <w:p w14:paraId="7ACB39F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7" w:type="dxa"/>
            <w:tcBorders>
              <w:top w:val="nil"/>
              <w:left w:val="nil"/>
              <w:bottom w:val="single" w:sz="4" w:space="0" w:color="auto"/>
              <w:right w:val="single" w:sz="4" w:space="0" w:color="auto"/>
            </w:tcBorders>
            <w:shd w:val="clear" w:color="auto" w:fill="auto"/>
            <w:noWrap/>
            <w:vAlign w:val="center"/>
            <w:hideMark/>
          </w:tcPr>
          <w:p w14:paraId="617C1F5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r>
      <w:tr w:rsidR="00F56356" w:rsidRPr="00F56356" w14:paraId="50C51B08"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36D763C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729</w:t>
            </w:r>
          </w:p>
        </w:tc>
        <w:tc>
          <w:tcPr>
            <w:tcW w:w="1546" w:type="dxa"/>
            <w:tcBorders>
              <w:top w:val="nil"/>
              <w:left w:val="nil"/>
              <w:bottom w:val="single" w:sz="4" w:space="0" w:color="auto"/>
              <w:right w:val="single" w:sz="4" w:space="0" w:color="auto"/>
            </w:tcBorders>
            <w:shd w:val="clear" w:color="000000" w:fill="FFFFFF"/>
            <w:noWrap/>
            <w:vAlign w:val="center"/>
            <w:hideMark/>
          </w:tcPr>
          <w:p w14:paraId="001CA96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18.237,43</w:t>
            </w:r>
          </w:p>
        </w:tc>
        <w:tc>
          <w:tcPr>
            <w:tcW w:w="1530" w:type="dxa"/>
            <w:tcBorders>
              <w:top w:val="nil"/>
              <w:left w:val="nil"/>
              <w:bottom w:val="single" w:sz="4" w:space="0" w:color="auto"/>
              <w:right w:val="single" w:sz="4" w:space="0" w:color="auto"/>
            </w:tcBorders>
            <w:shd w:val="clear" w:color="000000" w:fill="FFFFFF"/>
            <w:noWrap/>
            <w:vAlign w:val="center"/>
            <w:hideMark/>
          </w:tcPr>
          <w:p w14:paraId="669ADC6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108,40</w:t>
            </w:r>
          </w:p>
        </w:tc>
        <w:tc>
          <w:tcPr>
            <w:tcW w:w="978" w:type="dxa"/>
            <w:tcBorders>
              <w:top w:val="nil"/>
              <w:left w:val="nil"/>
              <w:bottom w:val="single" w:sz="4" w:space="0" w:color="auto"/>
              <w:right w:val="single" w:sz="4" w:space="0" w:color="auto"/>
            </w:tcBorders>
            <w:shd w:val="clear" w:color="auto" w:fill="auto"/>
            <w:noWrap/>
            <w:vAlign w:val="center"/>
            <w:hideMark/>
          </w:tcPr>
          <w:p w14:paraId="5E0575E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98" w:type="dxa"/>
            <w:tcBorders>
              <w:top w:val="nil"/>
              <w:left w:val="nil"/>
              <w:bottom w:val="single" w:sz="4" w:space="0" w:color="auto"/>
              <w:right w:val="single" w:sz="4" w:space="0" w:color="auto"/>
            </w:tcBorders>
            <w:shd w:val="clear" w:color="auto" w:fill="auto"/>
            <w:noWrap/>
            <w:vAlign w:val="center"/>
            <w:hideMark/>
          </w:tcPr>
          <w:p w14:paraId="12888F5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99,41</w:t>
            </w:r>
          </w:p>
        </w:tc>
        <w:tc>
          <w:tcPr>
            <w:tcW w:w="1137" w:type="dxa"/>
            <w:tcBorders>
              <w:top w:val="nil"/>
              <w:left w:val="nil"/>
              <w:bottom w:val="single" w:sz="4" w:space="0" w:color="auto"/>
              <w:right w:val="single" w:sz="4" w:space="0" w:color="auto"/>
            </w:tcBorders>
            <w:shd w:val="clear" w:color="auto" w:fill="auto"/>
            <w:noWrap/>
            <w:vAlign w:val="center"/>
            <w:hideMark/>
          </w:tcPr>
          <w:p w14:paraId="1BEF921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39,41</w:t>
            </w:r>
          </w:p>
        </w:tc>
      </w:tr>
      <w:tr w:rsidR="00F56356" w:rsidRPr="00F56356" w14:paraId="6D802A7F"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34AADA1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734</w:t>
            </w:r>
          </w:p>
        </w:tc>
        <w:tc>
          <w:tcPr>
            <w:tcW w:w="1546" w:type="dxa"/>
            <w:tcBorders>
              <w:top w:val="nil"/>
              <w:left w:val="nil"/>
              <w:bottom w:val="single" w:sz="4" w:space="0" w:color="auto"/>
              <w:right w:val="single" w:sz="4" w:space="0" w:color="auto"/>
            </w:tcBorders>
            <w:shd w:val="clear" w:color="000000" w:fill="FFFFFF"/>
            <w:noWrap/>
            <w:vAlign w:val="center"/>
            <w:hideMark/>
          </w:tcPr>
          <w:p w14:paraId="197DC2E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1.828.189,62</w:t>
            </w:r>
          </w:p>
        </w:tc>
        <w:tc>
          <w:tcPr>
            <w:tcW w:w="1530" w:type="dxa"/>
            <w:tcBorders>
              <w:top w:val="nil"/>
              <w:left w:val="nil"/>
              <w:bottom w:val="single" w:sz="4" w:space="0" w:color="auto"/>
              <w:right w:val="single" w:sz="4" w:space="0" w:color="auto"/>
            </w:tcBorders>
            <w:shd w:val="clear" w:color="000000" w:fill="FFFFFF"/>
            <w:noWrap/>
            <w:vAlign w:val="center"/>
            <w:hideMark/>
          </w:tcPr>
          <w:p w14:paraId="08AAFF3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1.100.489,17</w:t>
            </w:r>
          </w:p>
        </w:tc>
        <w:tc>
          <w:tcPr>
            <w:tcW w:w="978" w:type="dxa"/>
            <w:tcBorders>
              <w:top w:val="nil"/>
              <w:left w:val="nil"/>
              <w:bottom w:val="single" w:sz="4" w:space="0" w:color="auto"/>
              <w:right w:val="single" w:sz="4" w:space="0" w:color="auto"/>
            </w:tcBorders>
            <w:shd w:val="clear" w:color="auto" w:fill="auto"/>
            <w:noWrap/>
            <w:vAlign w:val="center"/>
            <w:hideMark/>
          </w:tcPr>
          <w:p w14:paraId="230ED9D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98" w:type="dxa"/>
            <w:tcBorders>
              <w:top w:val="nil"/>
              <w:left w:val="nil"/>
              <w:bottom w:val="single" w:sz="4" w:space="0" w:color="auto"/>
              <w:right w:val="single" w:sz="4" w:space="0" w:color="auto"/>
            </w:tcBorders>
            <w:shd w:val="clear" w:color="auto" w:fill="auto"/>
            <w:noWrap/>
            <w:vAlign w:val="center"/>
            <w:hideMark/>
          </w:tcPr>
          <w:p w14:paraId="0BC90C8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39,80</w:t>
            </w:r>
          </w:p>
        </w:tc>
        <w:tc>
          <w:tcPr>
            <w:tcW w:w="1137" w:type="dxa"/>
            <w:tcBorders>
              <w:top w:val="nil"/>
              <w:left w:val="nil"/>
              <w:bottom w:val="single" w:sz="4" w:space="0" w:color="auto"/>
              <w:right w:val="single" w:sz="4" w:space="0" w:color="auto"/>
            </w:tcBorders>
            <w:shd w:val="clear" w:color="auto" w:fill="auto"/>
            <w:noWrap/>
            <w:vAlign w:val="center"/>
            <w:hideMark/>
          </w:tcPr>
          <w:p w14:paraId="3AF1E8E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-40,20</w:t>
            </w:r>
          </w:p>
        </w:tc>
      </w:tr>
      <w:tr w:rsidR="00F56356" w:rsidRPr="00F56356" w14:paraId="027FBD51"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68EB48C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735</w:t>
            </w:r>
          </w:p>
        </w:tc>
        <w:tc>
          <w:tcPr>
            <w:tcW w:w="1546" w:type="dxa"/>
            <w:tcBorders>
              <w:top w:val="nil"/>
              <w:left w:val="nil"/>
              <w:bottom w:val="single" w:sz="4" w:space="0" w:color="auto"/>
              <w:right w:val="single" w:sz="4" w:space="0" w:color="auto"/>
            </w:tcBorders>
            <w:shd w:val="clear" w:color="000000" w:fill="FFFFFF"/>
            <w:noWrap/>
            <w:vAlign w:val="center"/>
            <w:hideMark/>
          </w:tcPr>
          <w:p w14:paraId="2553602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45.292,90</w:t>
            </w:r>
          </w:p>
        </w:tc>
        <w:tc>
          <w:tcPr>
            <w:tcW w:w="1530" w:type="dxa"/>
            <w:tcBorders>
              <w:top w:val="nil"/>
              <w:left w:val="nil"/>
              <w:bottom w:val="single" w:sz="4" w:space="0" w:color="auto"/>
              <w:right w:val="single" w:sz="4" w:space="0" w:color="auto"/>
            </w:tcBorders>
            <w:shd w:val="clear" w:color="000000" w:fill="FFFFFF"/>
            <w:noWrap/>
            <w:vAlign w:val="center"/>
            <w:hideMark/>
          </w:tcPr>
          <w:p w14:paraId="0A9C363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14,00</w:t>
            </w:r>
          </w:p>
        </w:tc>
        <w:tc>
          <w:tcPr>
            <w:tcW w:w="978" w:type="dxa"/>
            <w:tcBorders>
              <w:top w:val="nil"/>
              <w:left w:val="nil"/>
              <w:bottom w:val="single" w:sz="4" w:space="0" w:color="auto"/>
              <w:right w:val="single" w:sz="4" w:space="0" w:color="auto"/>
            </w:tcBorders>
            <w:shd w:val="clear" w:color="auto" w:fill="auto"/>
            <w:noWrap/>
            <w:vAlign w:val="center"/>
            <w:hideMark/>
          </w:tcPr>
          <w:p w14:paraId="25D8E6D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98" w:type="dxa"/>
            <w:tcBorders>
              <w:top w:val="nil"/>
              <w:left w:val="nil"/>
              <w:bottom w:val="single" w:sz="4" w:space="0" w:color="auto"/>
              <w:right w:val="single" w:sz="4" w:space="0" w:color="auto"/>
            </w:tcBorders>
            <w:shd w:val="clear" w:color="auto" w:fill="auto"/>
            <w:noWrap/>
            <w:vAlign w:val="center"/>
            <w:hideMark/>
          </w:tcPr>
          <w:p w14:paraId="0D1BF6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99,97</w:t>
            </w:r>
          </w:p>
        </w:tc>
        <w:tc>
          <w:tcPr>
            <w:tcW w:w="1137" w:type="dxa"/>
            <w:tcBorders>
              <w:top w:val="nil"/>
              <w:left w:val="nil"/>
              <w:bottom w:val="single" w:sz="4" w:space="0" w:color="auto"/>
              <w:right w:val="single" w:sz="4" w:space="0" w:color="auto"/>
            </w:tcBorders>
            <w:shd w:val="clear" w:color="auto" w:fill="auto"/>
            <w:noWrap/>
            <w:vAlign w:val="center"/>
            <w:hideMark/>
          </w:tcPr>
          <w:p w14:paraId="04C7DD4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9,97</w:t>
            </w:r>
          </w:p>
        </w:tc>
      </w:tr>
      <w:tr w:rsidR="00F56356" w:rsidRPr="00F56356" w14:paraId="487CB3A3"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798E707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737</w:t>
            </w:r>
          </w:p>
        </w:tc>
        <w:tc>
          <w:tcPr>
            <w:tcW w:w="1546" w:type="dxa"/>
            <w:tcBorders>
              <w:top w:val="nil"/>
              <w:left w:val="nil"/>
              <w:bottom w:val="single" w:sz="4" w:space="0" w:color="auto"/>
              <w:right w:val="single" w:sz="4" w:space="0" w:color="auto"/>
            </w:tcBorders>
            <w:shd w:val="clear" w:color="000000" w:fill="FFFFFF"/>
            <w:noWrap/>
            <w:vAlign w:val="center"/>
            <w:hideMark/>
          </w:tcPr>
          <w:p w14:paraId="687D6D3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2.005.580,27</w:t>
            </w:r>
          </w:p>
        </w:tc>
        <w:tc>
          <w:tcPr>
            <w:tcW w:w="1530" w:type="dxa"/>
            <w:tcBorders>
              <w:top w:val="nil"/>
              <w:left w:val="nil"/>
              <w:bottom w:val="single" w:sz="4" w:space="0" w:color="auto"/>
              <w:right w:val="single" w:sz="4" w:space="0" w:color="auto"/>
            </w:tcBorders>
            <w:shd w:val="clear" w:color="000000" w:fill="FFFFFF"/>
            <w:noWrap/>
            <w:vAlign w:val="center"/>
            <w:hideMark/>
          </w:tcPr>
          <w:p w14:paraId="2ED465D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539.407,08</w:t>
            </w:r>
          </w:p>
        </w:tc>
        <w:tc>
          <w:tcPr>
            <w:tcW w:w="978" w:type="dxa"/>
            <w:tcBorders>
              <w:top w:val="nil"/>
              <w:left w:val="nil"/>
              <w:bottom w:val="single" w:sz="4" w:space="0" w:color="auto"/>
              <w:right w:val="single" w:sz="4" w:space="0" w:color="auto"/>
            </w:tcBorders>
            <w:shd w:val="clear" w:color="auto" w:fill="auto"/>
            <w:noWrap/>
            <w:vAlign w:val="center"/>
            <w:hideMark/>
          </w:tcPr>
          <w:p w14:paraId="2554018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22CAC39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73,10</w:t>
            </w:r>
          </w:p>
        </w:tc>
        <w:tc>
          <w:tcPr>
            <w:tcW w:w="1137" w:type="dxa"/>
            <w:tcBorders>
              <w:top w:val="nil"/>
              <w:left w:val="nil"/>
              <w:bottom w:val="single" w:sz="4" w:space="0" w:color="auto"/>
              <w:right w:val="single" w:sz="4" w:space="0" w:color="auto"/>
            </w:tcBorders>
            <w:shd w:val="clear" w:color="auto" w:fill="auto"/>
            <w:noWrap/>
            <w:vAlign w:val="center"/>
            <w:hideMark/>
          </w:tcPr>
          <w:p w14:paraId="57BEA99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-26,90</w:t>
            </w:r>
          </w:p>
        </w:tc>
      </w:tr>
      <w:tr w:rsidR="00F56356" w:rsidRPr="00F56356" w14:paraId="4ED61D97"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73044D6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741</w:t>
            </w:r>
          </w:p>
        </w:tc>
        <w:tc>
          <w:tcPr>
            <w:tcW w:w="1546" w:type="dxa"/>
            <w:tcBorders>
              <w:top w:val="nil"/>
              <w:left w:val="nil"/>
              <w:bottom w:val="single" w:sz="4" w:space="0" w:color="auto"/>
              <w:right w:val="single" w:sz="4" w:space="0" w:color="auto"/>
            </w:tcBorders>
            <w:shd w:val="clear" w:color="000000" w:fill="FFFFFF"/>
            <w:noWrap/>
            <w:vAlign w:val="center"/>
            <w:hideMark/>
          </w:tcPr>
          <w:p w14:paraId="071961E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354.412,00</w:t>
            </w:r>
          </w:p>
        </w:tc>
        <w:tc>
          <w:tcPr>
            <w:tcW w:w="1530" w:type="dxa"/>
            <w:tcBorders>
              <w:top w:val="nil"/>
              <w:left w:val="nil"/>
              <w:bottom w:val="single" w:sz="4" w:space="0" w:color="auto"/>
              <w:right w:val="single" w:sz="4" w:space="0" w:color="auto"/>
            </w:tcBorders>
            <w:shd w:val="clear" w:color="000000" w:fill="FFFFFF"/>
            <w:noWrap/>
            <w:vAlign w:val="center"/>
            <w:hideMark/>
          </w:tcPr>
          <w:p w14:paraId="73CE72E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171.012,00</w:t>
            </w:r>
          </w:p>
        </w:tc>
        <w:tc>
          <w:tcPr>
            <w:tcW w:w="978" w:type="dxa"/>
            <w:tcBorders>
              <w:top w:val="nil"/>
              <w:left w:val="nil"/>
              <w:bottom w:val="single" w:sz="4" w:space="0" w:color="auto"/>
              <w:right w:val="single" w:sz="4" w:space="0" w:color="auto"/>
            </w:tcBorders>
            <w:shd w:val="clear" w:color="auto" w:fill="auto"/>
            <w:noWrap/>
            <w:vAlign w:val="center"/>
            <w:hideMark/>
          </w:tcPr>
          <w:p w14:paraId="521BBFE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0D9E81B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51,75</w:t>
            </w:r>
          </w:p>
        </w:tc>
        <w:tc>
          <w:tcPr>
            <w:tcW w:w="1137" w:type="dxa"/>
            <w:tcBorders>
              <w:top w:val="nil"/>
              <w:left w:val="nil"/>
              <w:bottom w:val="single" w:sz="4" w:space="0" w:color="auto"/>
              <w:right w:val="single" w:sz="4" w:space="0" w:color="auto"/>
            </w:tcBorders>
            <w:shd w:val="clear" w:color="auto" w:fill="auto"/>
            <w:noWrap/>
            <w:vAlign w:val="center"/>
            <w:hideMark/>
          </w:tcPr>
          <w:p w14:paraId="14E2760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-48,25</w:t>
            </w:r>
          </w:p>
        </w:tc>
      </w:tr>
      <w:tr w:rsidR="00F56356" w:rsidRPr="00F56356" w14:paraId="3B215282"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073A152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745</w:t>
            </w:r>
          </w:p>
        </w:tc>
        <w:tc>
          <w:tcPr>
            <w:tcW w:w="1546" w:type="dxa"/>
            <w:tcBorders>
              <w:top w:val="nil"/>
              <w:left w:val="nil"/>
              <w:bottom w:val="single" w:sz="4" w:space="0" w:color="auto"/>
              <w:right w:val="single" w:sz="4" w:space="0" w:color="auto"/>
            </w:tcBorders>
            <w:shd w:val="clear" w:color="000000" w:fill="FFFFFF"/>
            <w:noWrap/>
            <w:vAlign w:val="center"/>
            <w:hideMark/>
          </w:tcPr>
          <w:p w14:paraId="5A4A573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14,00</w:t>
            </w:r>
          </w:p>
        </w:tc>
        <w:tc>
          <w:tcPr>
            <w:tcW w:w="1530" w:type="dxa"/>
            <w:tcBorders>
              <w:top w:val="nil"/>
              <w:left w:val="nil"/>
              <w:bottom w:val="single" w:sz="4" w:space="0" w:color="auto"/>
              <w:right w:val="single" w:sz="4" w:space="0" w:color="auto"/>
            </w:tcBorders>
            <w:shd w:val="clear" w:color="000000" w:fill="FFFFFF"/>
            <w:noWrap/>
            <w:vAlign w:val="center"/>
            <w:hideMark/>
          </w:tcPr>
          <w:p w14:paraId="71003E2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14,00</w:t>
            </w:r>
          </w:p>
        </w:tc>
        <w:tc>
          <w:tcPr>
            <w:tcW w:w="978" w:type="dxa"/>
            <w:tcBorders>
              <w:top w:val="nil"/>
              <w:left w:val="nil"/>
              <w:bottom w:val="single" w:sz="4" w:space="0" w:color="auto"/>
              <w:right w:val="single" w:sz="4" w:space="0" w:color="auto"/>
            </w:tcBorders>
            <w:shd w:val="clear" w:color="auto" w:fill="auto"/>
            <w:noWrap/>
            <w:vAlign w:val="center"/>
            <w:hideMark/>
          </w:tcPr>
          <w:p w14:paraId="315D5D5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w:t>
            </w:r>
          </w:p>
        </w:tc>
        <w:tc>
          <w:tcPr>
            <w:tcW w:w="1198" w:type="dxa"/>
            <w:tcBorders>
              <w:top w:val="nil"/>
              <w:left w:val="nil"/>
              <w:bottom w:val="single" w:sz="4" w:space="0" w:color="auto"/>
              <w:right w:val="single" w:sz="4" w:space="0" w:color="auto"/>
            </w:tcBorders>
            <w:shd w:val="clear" w:color="auto" w:fill="auto"/>
            <w:noWrap/>
            <w:vAlign w:val="center"/>
            <w:hideMark/>
          </w:tcPr>
          <w:p w14:paraId="65D1F61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37" w:type="dxa"/>
            <w:tcBorders>
              <w:top w:val="nil"/>
              <w:left w:val="nil"/>
              <w:bottom w:val="single" w:sz="4" w:space="0" w:color="auto"/>
              <w:right w:val="single" w:sz="4" w:space="0" w:color="auto"/>
            </w:tcBorders>
            <w:shd w:val="clear" w:color="auto" w:fill="auto"/>
            <w:noWrap/>
            <w:vAlign w:val="center"/>
            <w:hideMark/>
          </w:tcPr>
          <w:p w14:paraId="42D9DDD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w:t>
            </w:r>
          </w:p>
        </w:tc>
      </w:tr>
      <w:tr w:rsidR="00F56356" w:rsidRPr="00F56356" w14:paraId="2CFDDAEF"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08671C4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753</w:t>
            </w:r>
          </w:p>
        </w:tc>
        <w:tc>
          <w:tcPr>
            <w:tcW w:w="1546" w:type="dxa"/>
            <w:tcBorders>
              <w:top w:val="nil"/>
              <w:left w:val="nil"/>
              <w:bottom w:val="single" w:sz="4" w:space="0" w:color="auto"/>
              <w:right w:val="single" w:sz="4" w:space="0" w:color="auto"/>
            </w:tcBorders>
            <w:shd w:val="clear" w:color="000000" w:fill="FFFFFF"/>
            <w:noWrap/>
            <w:vAlign w:val="center"/>
            <w:hideMark/>
          </w:tcPr>
          <w:p w14:paraId="76B545A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1.227.663,58</w:t>
            </w:r>
          </w:p>
        </w:tc>
        <w:tc>
          <w:tcPr>
            <w:tcW w:w="1530" w:type="dxa"/>
            <w:tcBorders>
              <w:top w:val="nil"/>
              <w:left w:val="nil"/>
              <w:bottom w:val="single" w:sz="4" w:space="0" w:color="auto"/>
              <w:right w:val="single" w:sz="4" w:space="0" w:color="auto"/>
            </w:tcBorders>
            <w:shd w:val="clear" w:color="000000" w:fill="FFFFFF"/>
            <w:noWrap/>
            <w:vAlign w:val="center"/>
            <w:hideMark/>
          </w:tcPr>
          <w:p w14:paraId="233D304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31.451,38</w:t>
            </w:r>
          </w:p>
        </w:tc>
        <w:tc>
          <w:tcPr>
            <w:tcW w:w="978" w:type="dxa"/>
            <w:tcBorders>
              <w:top w:val="nil"/>
              <w:left w:val="nil"/>
              <w:bottom w:val="single" w:sz="4" w:space="0" w:color="auto"/>
              <w:right w:val="single" w:sz="4" w:space="0" w:color="auto"/>
            </w:tcBorders>
            <w:shd w:val="clear" w:color="auto" w:fill="auto"/>
            <w:noWrap/>
            <w:vAlign w:val="center"/>
            <w:hideMark/>
          </w:tcPr>
          <w:p w14:paraId="7D71876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076561E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97,44</w:t>
            </w:r>
          </w:p>
        </w:tc>
        <w:tc>
          <w:tcPr>
            <w:tcW w:w="1137" w:type="dxa"/>
            <w:tcBorders>
              <w:top w:val="nil"/>
              <w:left w:val="nil"/>
              <w:bottom w:val="single" w:sz="4" w:space="0" w:color="auto"/>
              <w:right w:val="single" w:sz="4" w:space="0" w:color="auto"/>
            </w:tcBorders>
            <w:shd w:val="clear" w:color="auto" w:fill="auto"/>
            <w:noWrap/>
            <w:vAlign w:val="center"/>
            <w:hideMark/>
          </w:tcPr>
          <w:p w14:paraId="576A885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-2,56</w:t>
            </w:r>
          </w:p>
        </w:tc>
      </w:tr>
      <w:tr w:rsidR="00F56356" w:rsidRPr="00F56356" w14:paraId="2E421780" w14:textId="77777777" w:rsidTr="00F56356">
        <w:trPr>
          <w:trHeight w:val="31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1C4CE6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46" w:type="dxa"/>
            <w:tcBorders>
              <w:top w:val="nil"/>
              <w:left w:val="nil"/>
              <w:bottom w:val="single" w:sz="4" w:space="0" w:color="auto"/>
              <w:right w:val="single" w:sz="4" w:space="0" w:color="auto"/>
            </w:tcBorders>
            <w:shd w:val="clear" w:color="auto" w:fill="auto"/>
            <w:noWrap/>
            <w:vAlign w:val="center"/>
            <w:hideMark/>
          </w:tcPr>
          <w:p w14:paraId="1630100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9.355.226,12</w:t>
            </w:r>
          </w:p>
        </w:tc>
        <w:tc>
          <w:tcPr>
            <w:tcW w:w="1530" w:type="dxa"/>
            <w:tcBorders>
              <w:top w:val="nil"/>
              <w:left w:val="nil"/>
              <w:bottom w:val="single" w:sz="4" w:space="0" w:color="auto"/>
              <w:right w:val="single" w:sz="4" w:space="0" w:color="auto"/>
            </w:tcBorders>
            <w:shd w:val="clear" w:color="auto" w:fill="auto"/>
            <w:noWrap/>
            <w:vAlign w:val="center"/>
            <w:hideMark/>
          </w:tcPr>
          <w:p w14:paraId="4CE2B920"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2.563.615,34</w:t>
            </w:r>
          </w:p>
        </w:tc>
        <w:tc>
          <w:tcPr>
            <w:tcW w:w="978" w:type="dxa"/>
            <w:tcBorders>
              <w:top w:val="nil"/>
              <w:left w:val="nil"/>
              <w:bottom w:val="nil"/>
              <w:right w:val="nil"/>
            </w:tcBorders>
            <w:shd w:val="clear" w:color="auto" w:fill="auto"/>
            <w:noWrap/>
            <w:vAlign w:val="center"/>
            <w:hideMark/>
          </w:tcPr>
          <w:p w14:paraId="30E4D46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98" w:type="dxa"/>
            <w:tcBorders>
              <w:top w:val="nil"/>
              <w:left w:val="nil"/>
              <w:bottom w:val="nil"/>
              <w:right w:val="nil"/>
            </w:tcBorders>
            <w:shd w:val="clear" w:color="auto" w:fill="auto"/>
            <w:noWrap/>
            <w:vAlign w:val="center"/>
            <w:hideMark/>
          </w:tcPr>
          <w:p w14:paraId="55B5036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37" w:type="dxa"/>
            <w:tcBorders>
              <w:top w:val="nil"/>
              <w:left w:val="nil"/>
              <w:bottom w:val="nil"/>
              <w:right w:val="nil"/>
            </w:tcBorders>
            <w:shd w:val="clear" w:color="auto" w:fill="auto"/>
            <w:noWrap/>
            <w:vAlign w:val="center"/>
            <w:hideMark/>
          </w:tcPr>
          <w:p w14:paraId="1C4F6E2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388C65F6"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7D306DBF"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45EF415B"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06AB1B66"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6D46DBA3"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000000" w:themeColor="text1"/>
          <w:sz w:val="12"/>
          <w:szCs w:val="24"/>
          <w:lang w:eastAsia="it-IT"/>
        </w:rPr>
      </w:pPr>
    </w:p>
    <w:tbl>
      <w:tblPr>
        <w:tblW w:w="6860" w:type="dxa"/>
        <w:jc w:val="center"/>
        <w:tblCellMar>
          <w:left w:w="70" w:type="dxa"/>
          <w:right w:w="70" w:type="dxa"/>
        </w:tblCellMar>
        <w:tblLook w:val="04A0" w:firstRow="1" w:lastRow="0" w:firstColumn="1" w:lastColumn="0" w:noHBand="0" w:noVBand="1"/>
      </w:tblPr>
      <w:tblGrid>
        <w:gridCol w:w="471"/>
        <w:gridCol w:w="1548"/>
        <w:gridCol w:w="1531"/>
        <w:gridCol w:w="979"/>
        <w:gridCol w:w="1199"/>
        <w:gridCol w:w="1132"/>
      </w:tblGrid>
      <w:tr w:rsidR="00F56356" w:rsidRPr="00F56356" w14:paraId="0648B13A"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4F646"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081E54F1" w14:textId="77777777" w:rsidTr="00F56356">
        <w:trPr>
          <w:trHeight w:val="465"/>
          <w:jc w:val="center"/>
        </w:trPr>
        <w:tc>
          <w:tcPr>
            <w:tcW w:w="4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C3B0B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hideMark/>
          </w:tcPr>
          <w:p w14:paraId="475F7AF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34FCC300"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10" w:type="dxa"/>
            <w:gridSpan w:val="3"/>
            <w:tcBorders>
              <w:top w:val="single" w:sz="4" w:space="0" w:color="auto"/>
              <w:left w:val="nil"/>
              <w:bottom w:val="single" w:sz="4" w:space="0" w:color="auto"/>
              <w:right w:val="single" w:sz="4" w:space="0" w:color="000000"/>
            </w:tcBorders>
            <w:shd w:val="clear" w:color="auto" w:fill="auto"/>
            <w:vAlign w:val="center"/>
            <w:hideMark/>
          </w:tcPr>
          <w:p w14:paraId="5FD1A11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25ADC1F8" w14:textId="77777777" w:rsidTr="00F56356">
        <w:trPr>
          <w:trHeight w:val="300"/>
          <w:jc w:val="center"/>
        </w:trPr>
        <w:tc>
          <w:tcPr>
            <w:tcW w:w="471" w:type="dxa"/>
            <w:vMerge/>
            <w:tcBorders>
              <w:top w:val="nil"/>
              <w:left w:val="single" w:sz="4" w:space="0" w:color="auto"/>
              <w:bottom w:val="single" w:sz="4" w:space="0" w:color="auto"/>
              <w:right w:val="single" w:sz="4" w:space="0" w:color="auto"/>
            </w:tcBorders>
            <w:vAlign w:val="center"/>
            <w:hideMark/>
          </w:tcPr>
          <w:p w14:paraId="0EAD43A6"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48" w:type="dxa"/>
            <w:vMerge/>
            <w:tcBorders>
              <w:top w:val="nil"/>
              <w:left w:val="single" w:sz="4" w:space="0" w:color="auto"/>
              <w:bottom w:val="single" w:sz="4" w:space="0" w:color="auto"/>
              <w:right w:val="single" w:sz="4" w:space="0" w:color="auto"/>
            </w:tcBorders>
            <w:vAlign w:val="center"/>
            <w:hideMark/>
          </w:tcPr>
          <w:p w14:paraId="2808DD38"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31" w:type="dxa"/>
            <w:vMerge/>
            <w:tcBorders>
              <w:top w:val="nil"/>
              <w:left w:val="single" w:sz="4" w:space="0" w:color="auto"/>
              <w:bottom w:val="single" w:sz="4" w:space="0" w:color="auto"/>
              <w:right w:val="single" w:sz="4" w:space="0" w:color="auto"/>
            </w:tcBorders>
            <w:vAlign w:val="center"/>
            <w:hideMark/>
          </w:tcPr>
          <w:p w14:paraId="771B83B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79" w:type="dxa"/>
            <w:tcBorders>
              <w:top w:val="nil"/>
              <w:left w:val="nil"/>
              <w:bottom w:val="single" w:sz="4" w:space="0" w:color="auto"/>
              <w:right w:val="single" w:sz="4" w:space="0" w:color="auto"/>
            </w:tcBorders>
            <w:shd w:val="clear" w:color="auto" w:fill="auto"/>
            <w:vAlign w:val="center"/>
            <w:hideMark/>
          </w:tcPr>
          <w:p w14:paraId="7599ADB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99" w:type="dxa"/>
            <w:tcBorders>
              <w:top w:val="nil"/>
              <w:left w:val="nil"/>
              <w:bottom w:val="single" w:sz="4" w:space="0" w:color="auto"/>
              <w:right w:val="single" w:sz="4" w:space="0" w:color="auto"/>
            </w:tcBorders>
            <w:shd w:val="clear" w:color="auto" w:fill="auto"/>
            <w:vAlign w:val="center"/>
            <w:hideMark/>
          </w:tcPr>
          <w:p w14:paraId="23A95CC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32" w:type="dxa"/>
            <w:tcBorders>
              <w:top w:val="nil"/>
              <w:left w:val="nil"/>
              <w:bottom w:val="single" w:sz="4" w:space="0" w:color="auto"/>
              <w:right w:val="single" w:sz="4" w:space="0" w:color="auto"/>
            </w:tcBorders>
            <w:shd w:val="clear" w:color="auto" w:fill="auto"/>
            <w:vAlign w:val="center"/>
            <w:hideMark/>
          </w:tcPr>
          <w:p w14:paraId="335A2E44"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A45B359"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15F703B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711</w:t>
            </w:r>
          </w:p>
        </w:tc>
        <w:tc>
          <w:tcPr>
            <w:tcW w:w="1548" w:type="dxa"/>
            <w:tcBorders>
              <w:top w:val="nil"/>
              <w:left w:val="nil"/>
              <w:bottom w:val="single" w:sz="4" w:space="0" w:color="auto"/>
              <w:right w:val="single" w:sz="4" w:space="0" w:color="auto"/>
            </w:tcBorders>
            <w:shd w:val="clear" w:color="000000" w:fill="FFFFFF"/>
            <w:noWrap/>
            <w:vAlign w:val="center"/>
            <w:hideMark/>
          </w:tcPr>
          <w:p w14:paraId="405634E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7.358.346,00</w:t>
            </w:r>
          </w:p>
        </w:tc>
        <w:tc>
          <w:tcPr>
            <w:tcW w:w="1531" w:type="dxa"/>
            <w:tcBorders>
              <w:top w:val="nil"/>
              <w:left w:val="nil"/>
              <w:bottom w:val="single" w:sz="4" w:space="0" w:color="auto"/>
              <w:right w:val="single" w:sz="4" w:space="0" w:color="auto"/>
            </w:tcBorders>
            <w:shd w:val="clear" w:color="000000" w:fill="FFFFFF"/>
            <w:noWrap/>
            <w:vAlign w:val="center"/>
            <w:hideMark/>
          </w:tcPr>
          <w:p w14:paraId="46398A2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6.393.222,74</w:t>
            </w:r>
          </w:p>
        </w:tc>
        <w:tc>
          <w:tcPr>
            <w:tcW w:w="979" w:type="dxa"/>
            <w:tcBorders>
              <w:top w:val="nil"/>
              <w:left w:val="nil"/>
              <w:bottom w:val="single" w:sz="4" w:space="0" w:color="auto"/>
              <w:right w:val="single" w:sz="4" w:space="0" w:color="auto"/>
            </w:tcBorders>
            <w:shd w:val="clear" w:color="auto" w:fill="auto"/>
            <w:noWrap/>
            <w:vAlign w:val="center"/>
            <w:hideMark/>
          </w:tcPr>
          <w:p w14:paraId="2876693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c>
          <w:tcPr>
            <w:tcW w:w="1199" w:type="dxa"/>
            <w:tcBorders>
              <w:top w:val="nil"/>
              <w:left w:val="nil"/>
              <w:bottom w:val="single" w:sz="4" w:space="0" w:color="auto"/>
              <w:right w:val="single" w:sz="4" w:space="0" w:color="auto"/>
            </w:tcBorders>
            <w:shd w:val="clear" w:color="auto" w:fill="auto"/>
            <w:noWrap/>
            <w:vAlign w:val="center"/>
            <w:hideMark/>
          </w:tcPr>
          <w:p w14:paraId="61AE40E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13,12</w:t>
            </w:r>
          </w:p>
        </w:tc>
        <w:tc>
          <w:tcPr>
            <w:tcW w:w="1132" w:type="dxa"/>
            <w:tcBorders>
              <w:top w:val="nil"/>
              <w:left w:val="nil"/>
              <w:bottom w:val="single" w:sz="4" w:space="0" w:color="auto"/>
              <w:right w:val="single" w:sz="4" w:space="0" w:color="auto"/>
            </w:tcBorders>
            <w:shd w:val="clear" w:color="auto" w:fill="auto"/>
            <w:noWrap/>
            <w:vAlign w:val="center"/>
            <w:hideMark/>
          </w:tcPr>
          <w:p w14:paraId="74FD08C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3,12</w:t>
            </w:r>
          </w:p>
        </w:tc>
      </w:tr>
      <w:tr w:rsidR="00F56356" w:rsidRPr="00F56356" w14:paraId="77D32109"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EFE321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762</w:t>
            </w:r>
          </w:p>
        </w:tc>
        <w:tc>
          <w:tcPr>
            <w:tcW w:w="1548" w:type="dxa"/>
            <w:tcBorders>
              <w:top w:val="nil"/>
              <w:left w:val="nil"/>
              <w:bottom w:val="single" w:sz="4" w:space="0" w:color="auto"/>
              <w:right w:val="single" w:sz="4" w:space="0" w:color="auto"/>
            </w:tcBorders>
            <w:shd w:val="clear" w:color="000000" w:fill="FFFFFF"/>
            <w:noWrap/>
            <w:vAlign w:val="center"/>
            <w:hideMark/>
          </w:tcPr>
          <w:p w14:paraId="08D3ED7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w:t>
            </w:r>
          </w:p>
        </w:tc>
        <w:tc>
          <w:tcPr>
            <w:tcW w:w="1531" w:type="dxa"/>
            <w:tcBorders>
              <w:top w:val="nil"/>
              <w:left w:val="nil"/>
              <w:bottom w:val="single" w:sz="4" w:space="0" w:color="auto"/>
              <w:right w:val="single" w:sz="4" w:space="0" w:color="auto"/>
            </w:tcBorders>
            <w:shd w:val="clear" w:color="000000" w:fill="FFFFFF"/>
            <w:noWrap/>
            <w:vAlign w:val="center"/>
            <w:hideMark/>
          </w:tcPr>
          <w:p w14:paraId="454939D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w:t>
            </w:r>
          </w:p>
        </w:tc>
        <w:tc>
          <w:tcPr>
            <w:tcW w:w="979" w:type="dxa"/>
            <w:tcBorders>
              <w:top w:val="nil"/>
              <w:left w:val="nil"/>
              <w:bottom w:val="single" w:sz="4" w:space="0" w:color="auto"/>
              <w:right w:val="single" w:sz="4" w:space="0" w:color="auto"/>
            </w:tcBorders>
            <w:shd w:val="clear" w:color="auto" w:fill="auto"/>
            <w:noWrap/>
            <w:vAlign w:val="center"/>
            <w:hideMark/>
          </w:tcPr>
          <w:p w14:paraId="253D61A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199" w:type="dxa"/>
            <w:tcBorders>
              <w:top w:val="nil"/>
              <w:left w:val="nil"/>
              <w:bottom w:val="single" w:sz="4" w:space="0" w:color="auto"/>
              <w:right w:val="single" w:sz="4" w:space="0" w:color="auto"/>
            </w:tcBorders>
            <w:shd w:val="clear" w:color="auto" w:fill="auto"/>
            <w:noWrap/>
            <w:vAlign w:val="center"/>
            <w:hideMark/>
          </w:tcPr>
          <w:p w14:paraId="3ED8D8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32" w:type="dxa"/>
            <w:tcBorders>
              <w:top w:val="nil"/>
              <w:left w:val="nil"/>
              <w:bottom w:val="single" w:sz="4" w:space="0" w:color="auto"/>
              <w:right w:val="single" w:sz="4" w:space="0" w:color="auto"/>
            </w:tcBorders>
            <w:shd w:val="clear" w:color="auto" w:fill="auto"/>
            <w:noWrap/>
            <w:vAlign w:val="center"/>
            <w:hideMark/>
          </w:tcPr>
          <w:p w14:paraId="1FF7931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r>
      <w:tr w:rsidR="00F56356" w:rsidRPr="00F56356" w14:paraId="2CEA6726" w14:textId="77777777" w:rsidTr="00F56356">
        <w:trPr>
          <w:trHeight w:val="31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9A7593E"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48" w:type="dxa"/>
            <w:tcBorders>
              <w:top w:val="nil"/>
              <w:left w:val="nil"/>
              <w:bottom w:val="single" w:sz="4" w:space="0" w:color="auto"/>
              <w:right w:val="single" w:sz="4" w:space="0" w:color="auto"/>
            </w:tcBorders>
            <w:shd w:val="clear" w:color="auto" w:fill="auto"/>
            <w:noWrap/>
            <w:vAlign w:val="center"/>
            <w:hideMark/>
          </w:tcPr>
          <w:p w14:paraId="24178CD9"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7.418.346,00</w:t>
            </w:r>
          </w:p>
        </w:tc>
        <w:tc>
          <w:tcPr>
            <w:tcW w:w="1531" w:type="dxa"/>
            <w:tcBorders>
              <w:top w:val="nil"/>
              <w:left w:val="nil"/>
              <w:bottom w:val="single" w:sz="4" w:space="0" w:color="auto"/>
              <w:right w:val="single" w:sz="4" w:space="0" w:color="auto"/>
            </w:tcBorders>
            <w:shd w:val="clear" w:color="auto" w:fill="auto"/>
            <w:noWrap/>
            <w:vAlign w:val="center"/>
            <w:hideMark/>
          </w:tcPr>
          <w:p w14:paraId="368314E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6.453.222,74</w:t>
            </w:r>
          </w:p>
        </w:tc>
        <w:tc>
          <w:tcPr>
            <w:tcW w:w="979" w:type="dxa"/>
            <w:tcBorders>
              <w:top w:val="nil"/>
              <w:left w:val="nil"/>
              <w:bottom w:val="nil"/>
              <w:right w:val="nil"/>
            </w:tcBorders>
            <w:shd w:val="clear" w:color="auto" w:fill="auto"/>
            <w:noWrap/>
            <w:vAlign w:val="center"/>
            <w:hideMark/>
          </w:tcPr>
          <w:p w14:paraId="5DC5EB5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99" w:type="dxa"/>
            <w:tcBorders>
              <w:top w:val="nil"/>
              <w:left w:val="nil"/>
              <w:bottom w:val="nil"/>
              <w:right w:val="nil"/>
            </w:tcBorders>
            <w:shd w:val="clear" w:color="auto" w:fill="auto"/>
            <w:noWrap/>
            <w:vAlign w:val="center"/>
            <w:hideMark/>
          </w:tcPr>
          <w:p w14:paraId="0CE2210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32" w:type="dxa"/>
            <w:tcBorders>
              <w:top w:val="nil"/>
              <w:left w:val="nil"/>
              <w:bottom w:val="nil"/>
              <w:right w:val="nil"/>
            </w:tcBorders>
            <w:shd w:val="clear" w:color="auto" w:fill="auto"/>
            <w:noWrap/>
            <w:vAlign w:val="center"/>
            <w:hideMark/>
          </w:tcPr>
          <w:p w14:paraId="5A19DAC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3783DD65"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58D13532"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6CF2A045"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32FB607E"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70B18B20"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66334428"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57CAA459"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140FC0CD"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3B64437A"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107D7258"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37985756"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6A5B4F03"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4BF31EF3"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48F72997"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4D03737A"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1871DF32"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638C4CC4"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1869DF9C"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tbl>
      <w:tblPr>
        <w:tblW w:w="6870" w:type="dxa"/>
        <w:jc w:val="center"/>
        <w:tblCellMar>
          <w:left w:w="70" w:type="dxa"/>
          <w:right w:w="70" w:type="dxa"/>
        </w:tblCellMar>
        <w:tblLook w:val="04A0" w:firstRow="1" w:lastRow="0" w:firstColumn="1" w:lastColumn="0" w:noHBand="0" w:noVBand="1"/>
      </w:tblPr>
      <w:tblGrid>
        <w:gridCol w:w="469"/>
        <w:gridCol w:w="1612"/>
        <w:gridCol w:w="1553"/>
        <w:gridCol w:w="955"/>
        <w:gridCol w:w="1170"/>
        <w:gridCol w:w="1111"/>
      </w:tblGrid>
      <w:tr w:rsidR="00F56356" w:rsidRPr="00F56356" w14:paraId="0A334419" w14:textId="77777777" w:rsidTr="00F56356">
        <w:trPr>
          <w:trHeight w:val="420"/>
          <w:jc w:val="center"/>
        </w:trPr>
        <w:tc>
          <w:tcPr>
            <w:tcW w:w="68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4266F"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lastRenderedPageBreak/>
              <w:t>SPESE IN CONTO CAPITALE</w:t>
            </w:r>
          </w:p>
        </w:tc>
      </w:tr>
      <w:tr w:rsidR="00F56356" w:rsidRPr="00F56356" w14:paraId="23822A57" w14:textId="77777777" w:rsidTr="00F56356">
        <w:trPr>
          <w:trHeight w:val="465"/>
          <w:jc w:val="center"/>
        </w:trPr>
        <w:tc>
          <w:tcPr>
            <w:tcW w:w="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82967"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14:paraId="78E948B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28971E00"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36" w:type="dxa"/>
            <w:gridSpan w:val="3"/>
            <w:tcBorders>
              <w:top w:val="single" w:sz="4" w:space="0" w:color="auto"/>
              <w:left w:val="nil"/>
              <w:bottom w:val="single" w:sz="4" w:space="0" w:color="auto"/>
              <w:right w:val="single" w:sz="4" w:space="0" w:color="000000"/>
            </w:tcBorders>
            <w:shd w:val="clear" w:color="auto" w:fill="auto"/>
            <w:vAlign w:val="center"/>
            <w:hideMark/>
          </w:tcPr>
          <w:p w14:paraId="48669C2C"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168A8AE0" w14:textId="77777777" w:rsidTr="00F56356">
        <w:trPr>
          <w:trHeight w:val="300"/>
          <w:jc w:val="center"/>
        </w:trPr>
        <w:tc>
          <w:tcPr>
            <w:tcW w:w="469" w:type="dxa"/>
            <w:vMerge/>
            <w:tcBorders>
              <w:top w:val="nil"/>
              <w:left w:val="single" w:sz="4" w:space="0" w:color="auto"/>
              <w:bottom w:val="single" w:sz="4" w:space="0" w:color="auto"/>
              <w:right w:val="single" w:sz="4" w:space="0" w:color="auto"/>
            </w:tcBorders>
            <w:vAlign w:val="center"/>
            <w:hideMark/>
          </w:tcPr>
          <w:p w14:paraId="539F03BA"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12" w:type="dxa"/>
            <w:vMerge/>
            <w:tcBorders>
              <w:top w:val="nil"/>
              <w:left w:val="single" w:sz="4" w:space="0" w:color="auto"/>
              <w:bottom w:val="single" w:sz="4" w:space="0" w:color="auto"/>
              <w:right w:val="single" w:sz="4" w:space="0" w:color="auto"/>
            </w:tcBorders>
            <w:vAlign w:val="center"/>
            <w:hideMark/>
          </w:tcPr>
          <w:p w14:paraId="165ED24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53" w:type="dxa"/>
            <w:vMerge/>
            <w:tcBorders>
              <w:top w:val="nil"/>
              <w:left w:val="single" w:sz="4" w:space="0" w:color="auto"/>
              <w:bottom w:val="single" w:sz="4" w:space="0" w:color="auto"/>
              <w:right w:val="single" w:sz="4" w:space="0" w:color="auto"/>
            </w:tcBorders>
            <w:vAlign w:val="center"/>
            <w:hideMark/>
          </w:tcPr>
          <w:p w14:paraId="4EB5FA9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55" w:type="dxa"/>
            <w:tcBorders>
              <w:top w:val="nil"/>
              <w:left w:val="nil"/>
              <w:bottom w:val="single" w:sz="4" w:space="0" w:color="auto"/>
              <w:right w:val="single" w:sz="4" w:space="0" w:color="auto"/>
            </w:tcBorders>
            <w:shd w:val="clear" w:color="auto" w:fill="auto"/>
            <w:vAlign w:val="center"/>
            <w:hideMark/>
          </w:tcPr>
          <w:p w14:paraId="365B0B9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70" w:type="dxa"/>
            <w:tcBorders>
              <w:top w:val="nil"/>
              <w:left w:val="nil"/>
              <w:bottom w:val="single" w:sz="4" w:space="0" w:color="auto"/>
              <w:right w:val="single" w:sz="4" w:space="0" w:color="auto"/>
            </w:tcBorders>
            <w:shd w:val="clear" w:color="auto" w:fill="auto"/>
            <w:vAlign w:val="center"/>
            <w:hideMark/>
          </w:tcPr>
          <w:p w14:paraId="5DD82AB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11" w:type="dxa"/>
            <w:tcBorders>
              <w:top w:val="nil"/>
              <w:left w:val="nil"/>
              <w:bottom w:val="single" w:sz="4" w:space="0" w:color="auto"/>
              <w:right w:val="single" w:sz="4" w:space="0" w:color="auto"/>
            </w:tcBorders>
            <w:shd w:val="clear" w:color="auto" w:fill="auto"/>
            <w:vAlign w:val="center"/>
            <w:hideMark/>
          </w:tcPr>
          <w:p w14:paraId="48EBBBA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08459383"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5BFE765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702</w:t>
            </w:r>
          </w:p>
        </w:tc>
        <w:tc>
          <w:tcPr>
            <w:tcW w:w="1612" w:type="dxa"/>
            <w:tcBorders>
              <w:top w:val="nil"/>
              <w:left w:val="nil"/>
              <w:bottom w:val="single" w:sz="4" w:space="0" w:color="auto"/>
              <w:right w:val="single" w:sz="4" w:space="0" w:color="auto"/>
            </w:tcBorders>
            <w:shd w:val="clear" w:color="000000" w:fill="FFFFFF"/>
            <w:noWrap/>
            <w:vAlign w:val="center"/>
            <w:hideMark/>
          </w:tcPr>
          <w:p w14:paraId="4C0F901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553" w:type="dxa"/>
            <w:tcBorders>
              <w:top w:val="nil"/>
              <w:left w:val="nil"/>
              <w:bottom w:val="single" w:sz="4" w:space="0" w:color="auto"/>
              <w:right w:val="single" w:sz="4" w:space="0" w:color="auto"/>
            </w:tcBorders>
            <w:shd w:val="clear" w:color="000000" w:fill="FFFFFF"/>
            <w:noWrap/>
            <w:vAlign w:val="center"/>
            <w:hideMark/>
          </w:tcPr>
          <w:p w14:paraId="0C17DF6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55" w:type="dxa"/>
            <w:tcBorders>
              <w:top w:val="nil"/>
              <w:left w:val="nil"/>
              <w:bottom w:val="single" w:sz="4" w:space="0" w:color="auto"/>
              <w:right w:val="single" w:sz="4" w:space="0" w:color="auto"/>
            </w:tcBorders>
            <w:shd w:val="clear" w:color="auto" w:fill="auto"/>
            <w:noWrap/>
            <w:vAlign w:val="center"/>
            <w:hideMark/>
          </w:tcPr>
          <w:p w14:paraId="0AE267D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AB6220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11" w:type="dxa"/>
            <w:tcBorders>
              <w:top w:val="nil"/>
              <w:left w:val="nil"/>
              <w:bottom w:val="single" w:sz="4" w:space="0" w:color="auto"/>
              <w:right w:val="single" w:sz="4" w:space="0" w:color="auto"/>
            </w:tcBorders>
            <w:shd w:val="clear" w:color="auto" w:fill="auto"/>
            <w:noWrap/>
            <w:vAlign w:val="center"/>
            <w:hideMark/>
          </w:tcPr>
          <w:p w14:paraId="28455E7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r>
      <w:tr w:rsidR="00F56356" w:rsidRPr="00F56356" w14:paraId="7E18D8E7"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7038B65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703</w:t>
            </w:r>
          </w:p>
        </w:tc>
        <w:tc>
          <w:tcPr>
            <w:tcW w:w="1612" w:type="dxa"/>
            <w:tcBorders>
              <w:top w:val="nil"/>
              <w:left w:val="nil"/>
              <w:bottom w:val="single" w:sz="4" w:space="0" w:color="auto"/>
              <w:right w:val="single" w:sz="4" w:space="0" w:color="auto"/>
            </w:tcBorders>
            <w:shd w:val="clear" w:color="000000" w:fill="FFFFFF"/>
            <w:noWrap/>
            <w:vAlign w:val="center"/>
            <w:hideMark/>
          </w:tcPr>
          <w:p w14:paraId="4AB933A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1.369.513,55</w:t>
            </w:r>
          </w:p>
        </w:tc>
        <w:tc>
          <w:tcPr>
            <w:tcW w:w="1553" w:type="dxa"/>
            <w:tcBorders>
              <w:top w:val="nil"/>
              <w:left w:val="nil"/>
              <w:bottom w:val="single" w:sz="4" w:space="0" w:color="auto"/>
              <w:right w:val="single" w:sz="4" w:space="0" w:color="auto"/>
            </w:tcBorders>
            <w:shd w:val="clear" w:color="000000" w:fill="FFFFFF"/>
            <w:noWrap/>
            <w:vAlign w:val="center"/>
            <w:hideMark/>
          </w:tcPr>
          <w:p w14:paraId="3E0053A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1.110.613,55</w:t>
            </w:r>
          </w:p>
        </w:tc>
        <w:tc>
          <w:tcPr>
            <w:tcW w:w="955" w:type="dxa"/>
            <w:tcBorders>
              <w:top w:val="nil"/>
              <w:left w:val="nil"/>
              <w:bottom w:val="single" w:sz="4" w:space="0" w:color="auto"/>
              <w:right w:val="single" w:sz="4" w:space="0" w:color="auto"/>
            </w:tcBorders>
            <w:shd w:val="clear" w:color="auto" w:fill="auto"/>
            <w:noWrap/>
            <w:vAlign w:val="center"/>
            <w:hideMark/>
          </w:tcPr>
          <w:p w14:paraId="2D97204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0" w:type="dxa"/>
            <w:tcBorders>
              <w:top w:val="nil"/>
              <w:left w:val="nil"/>
              <w:bottom w:val="single" w:sz="4" w:space="0" w:color="auto"/>
              <w:right w:val="single" w:sz="4" w:space="0" w:color="auto"/>
            </w:tcBorders>
            <w:shd w:val="clear" w:color="auto" w:fill="auto"/>
            <w:noWrap/>
            <w:vAlign w:val="center"/>
            <w:hideMark/>
          </w:tcPr>
          <w:p w14:paraId="19BD935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18,90</w:t>
            </w:r>
          </w:p>
        </w:tc>
        <w:tc>
          <w:tcPr>
            <w:tcW w:w="1111" w:type="dxa"/>
            <w:tcBorders>
              <w:top w:val="nil"/>
              <w:left w:val="nil"/>
              <w:bottom w:val="single" w:sz="4" w:space="0" w:color="auto"/>
              <w:right w:val="single" w:sz="4" w:space="0" w:color="auto"/>
            </w:tcBorders>
            <w:shd w:val="clear" w:color="auto" w:fill="auto"/>
            <w:noWrap/>
            <w:vAlign w:val="center"/>
            <w:hideMark/>
          </w:tcPr>
          <w:p w14:paraId="18C9504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0D90CFC"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1A46097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715</w:t>
            </w:r>
          </w:p>
        </w:tc>
        <w:tc>
          <w:tcPr>
            <w:tcW w:w="1612" w:type="dxa"/>
            <w:tcBorders>
              <w:top w:val="nil"/>
              <w:left w:val="nil"/>
              <w:bottom w:val="single" w:sz="4" w:space="0" w:color="auto"/>
              <w:right w:val="single" w:sz="4" w:space="0" w:color="auto"/>
            </w:tcBorders>
            <w:shd w:val="clear" w:color="000000" w:fill="FFFFFF"/>
            <w:noWrap/>
            <w:vAlign w:val="center"/>
            <w:hideMark/>
          </w:tcPr>
          <w:p w14:paraId="0BE5AAF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27.698.598,53</w:t>
            </w:r>
          </w:p>
        </w:tc>
        <w:tc>
          <w:tcPr>
            <w:tcW w:w="1553" w:type="dxa"/>
            <w:tcBorders>
              <w:top w:val="nil"/>
              <w:left w:val="nil"/>
              <w:bottom w:val="single" w:sz="4" w:space="0" w:color="auto"/>
              <w:right w:val="single" w:sz="4" w:space="0" w:color="auto"/>
            </w:tcBorders>
            <w:shd w:val="clear" w:color="000000" w:fill="FFFFFF"/>
            <w:noWrap/>
            <w:vAlign w:val="center"/>
            <w:hideMark/>
          </w:tcPr>
          <w:p w14:paraId="04DBA67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14.449.895,29</w:t>
            </w:r>
          </w:p>
        </w:tc>
        <w:tc>
          <w:tcPr>
            <w:tcW w:w="955" w:type="dxa"/>
            <w:tcBorders>
              <w:top w:val="nil"/>
              <w:left w:val="nil"/>
              <w:bottom w:val="single" w:sz="4" w:space="0" w:color="auto"/>
              <w:right w:val="single" w:sz="4" w:space="0" w:color="auto"/>
            </w:tcBorders>
            <w:shd w:val="clear" w:color="auto" w:fill="auto"/>
            <w:noWrap/>
            <w:vAlign w:val="center"/>
            <w:hideMark/>
          </w:tcPr>
          <w:p w14:paraId="798CC3B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83D4A0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47,83</w:t>
            </w:r>
          </w:p>
        </w:tc>
        <w:tc>
          <w:tcPr>
            <w:tcW w:w="1111" w:type="dxa"/>
            <w:tcBorders>
              <w:top w:val="nil"/>
              <w:left w:val="nil"/>
              <w:bottom w:val="single" w:sz="4" w:space="0" w:color="auto"/>
              <w:right w:val="single" w:sz="4" w:space="0" w:color="auto"/>
            </w:tcBorders>
            <w:shd w:val="clear" w:color="auto" w:fill="auto"/>
            <w:noWrap/>
            <w:vAlign w:val="center"/>
            <w:hideMark/>
          </w:tcPr>
          <w:p w14:paraId="524EB74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-52,17</w:t>
            </w:r>
          </w:p>
        </w:tc>
      </w:tr>
      <w:tr w:rsidR="00F56356" w:rsidRPr="00F56356" w14:paraId="3EF82D89"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11D3E74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742</w:t>
            </w:r>
          </w:p>
        </w:tc>
        <w:tc>
          <w:tcPr>
            <w:tcW w:w="1612" w:type="dxa"/>
            <w:tcBorders>
              <w:top w:val="nil"/>
              <w:left w:val="nil"/>
              <w:bottom w:val="single" w:sz="4" w:space="0" w:color="auto"/>
              <w:right w:val="single" w:sz="4" w:space="0" w:color="auto"/>
            </w:tcBorders>
            <w:shd w:val="clear" w:color="000000" w:fill="FFFFFF"/>
            <w:noWrap/>
            <w:vAlign w:val="center"/>
            <w:hideMark/>
          </w:tcPr>
          <w:p w14:paraId="095B7BF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w:t>
            </w:r>
          </w:p>
        </w:tc>
        <w:tc>
          <w:tcPr>
            <w:tcW w:w="1553" w:type="dxa"/>
            <w:tcBorders>
              <w:top w:val="nil"/>
              <w:left w:val="nil"/>
              <w:bottom w:val="single" w:sz="4" w:space="0" w:color="auto"/>
              <w:right w:val="single" w:sz="4" w:space="0" w:color="auto"/>
            </w:tcBorders>
            <w:shd w:val="clear" w:color="000000" w:fill="FFFFFF"/>
            <w:noWrap/>
            <w:vAlign w:val="center"/>
            <w:hideMark/>
          </w:tcPr>
          <w:p w14:paraId="15AE591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w:t>
            </w:r>
          </w:p>
        </w:tc>
        <w:tc>
          <w:tcPr>
            <w:tcW w:w="955" w:type="dxa"/>
            <w:tcBorders>
              <w:top w:val="nil"/>
              <w:left w:val="nil"/>
              <w:bottom w:val="single" w:sz="4" w:space="0" w:color="auto"/>
              <w:right w:val="single" w:sz="4" w:space="0" w:color="auto"/>
            </w:tcBorders>
            <w:shd w:val="clear" w:color="auto" w:fill="auto"/>
            <w:noWrap/>
            <w:vAlign w:val="center"/>
            <w:hideMark/>
          </w:tcPr>
          <w:p w14:paraId="5C9BA17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70" w:type="dxa"/>
            <w:tcBorders>
              <w:top w:val="nil"/>
              <w:left w:val="nil"/>
              <w:bottom w:val="single" w:sz="4" w:space="0" w:color="auto"/>
              <w:right w:val="single" w:sz="4" w:space="0" w:color="auto"/>
            </w:tcBorders>
            <w:shd w:val="clear" w:color="auto" w:fill="auto"/>
            <w:noWrap/>
            <w:vAlign w:val="center"/>
            <w:hideMark/>
          </w:tcPr>
          <w:p w14:paraId="598E263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11" w:type="dxa"/>
            <w:tcBorders>
              <w:top w:val="nil"/>
              <w:left w:val="nil"/>
              <w:bottom w:val="single" w:sz="4" w:space="0" w:color="auto"/>
              <w:right w:val="single" w:sz="4" w:space="0" w:color="auto"/>
            </w:tcBorders>
            <w:shd w:val="clear" w:color="auto" w:fill="auto"/>
            <w:noWrap/>
            <w:vAlign w:val="center"/>
            <w:hideMark/>
          </w:tcPr>
          <w:p w14:paraId="3D5D4A4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r>
      <w:tr w:rsidR="00F56356" w:rsidRPr="00F56356" w14:paraId="5A023C62"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51F7B82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747</w:t>
            </w:r>
          </w:p>
        </w:tc>
        <w:tc>
          <w:tcPr>
            <w:tcW w:w="1612" w:type="dxa"/>
            <w:tcBorders>
              <w:top w:val="nil"/>
              <w:left w:val="nil"/>
              <w:bottom w:val="single" w:sz="4" w:space="0" w:color="auto"/>
              <w:right w:val="single" w:sz="4" w:space="0" w:color="auto"/>
            </w:tcBorders>
            <w:shd w:val="clear" w:color="000000" w:fill="FFFFFF"/>
            <w:noWrap/>
            <w:vAlign w:val="center"/>
            <w:hideMark/>
          </w:tcPr>
          <w:p w14:paraId="275FE89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2.582.826,10</w:t>
            </w:r>
          </w:p>
        </w:tc>
        <w:tc>
          <w:tcPr>
            <w:tcW w:w="1553" w:type="dxa"/>
            <w:tcBorders>
              <w:top w:val="nil"/>
              <w:left w:val="nil"/>
              <w:bottom w:val="single" w:sz="4" w:space="0" w:color="auto"/>
              <w:right w:val="single" w:sz="4" w:space="0" w:color="auto"/>
            </w:tcBorders>
            <w:shd w:val="clear" w:color="000000" w:fill="FFFFFF"/>
            <w:noWrap/>
            <w:vAlign w:val="center"/>
            <w:hideMark/>
          </w:tcPr>
          <w:p w14:paraId="256B96F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774.609,62</w:t>
            </w:r>
          </w:p>
        </w:tc>
        <w:tc>
          <w:tcPr>
            <w:tcW w:w="955" w:type="dxa"/>
            <w:tcBorders>
              <w:top w:val="nil"/>
              <w:left w:val="nil"/>
              <w:bottom w:val="single" w:sz="4" w:space="0" w:color="auto"/>
              <w:right w:val="single" w:sz="4" w:space="0" w:color="auto"/>
            </w:tcBorders>
            <w:shd w:val="clear" w:color="auto" w:fill="auto"/>
            <w:noWrap/>
            <w:vAlign w:val="center"/>
            <w:hideMark/>
          </w:tcPr>
          <w:p w14:paraId="2B8B69F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w:t>
            </w:r>
          </w:p>
        </w:tc>
        <w:tc>
          <w:tcPr>
            <w:tcW w:w="1170" w:type="dxa"/>
            <w:tcBorders>
              <w:top w:val="nil"/>
              <w:left w:val="nil"/>
              <w:bottom w:val="single" w:sz="4" w:space="0" w:color="auto"/>
              <w:right w:val="single" w:sz="4" w:space="0" w:color="auto"/>
            </w:tcBorders>
            <w:shd w:val="clear" w:color="auto" w:fill="auto"/>
            <w:noWrap/>
            <w:vAlign w:val="center"/>
            <w:hideMark/>
          </w:tcPr>
          <w:p w14:paraId="1E6CA8E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70,01</w:t>
            </w:r>
          </w:p>
        </w:tc>
        <w:tc>
          <w:tcPr>
            <w:tcW w:w="1111" w:type="dxa"/>
            <w:tcBorders>
              <w:top w:val="nil"/>
              <w:left w:val="nil"/>
              <w:bottom w:val="single" w:sz="4" w:space="0" w:color="auto"/>
              <w:right w:val="single" w:sz="4" w:space="0" w:color="auto"/>
            </w:tcBorders>
            <w:shd w:val="clear" w:color="auto" w:fill="auto"/>
            <w:noWrap/>
            <w:vAlign w:val="center"/>
            <w:hideMark/>
          </w:tcPr>
          <w:p w14:paraId="4997A78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-19,99</w:t>
            </w:r>
          </w:p>
        </w:tc>
      </w:tr>
      <w:tr w:rsidR="00F56356" w:rsidRPr="00F56356" w14:paraId="23EA30E7"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22D355B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750</w:t>
            </w:r>
          </w:p>
        </w:tc>
        <w:tc>
          <w:tcPr>
            <w:tcW w:w="1612" w:type="dxa"/>
            <w:tcBorders>
              <w:top w:val="nil"/>
              <w:left w:val="nil"/>
              <w:bottom w:val="single" w:sz="4" w:space="0" w:color="auto"/>
              <w:right w:val="single" w:sz="4" w:space="0" w:color="auto"/>
            </w:tcBorders>
            <w:shd w:val="clear" w:color="000000" w:fill="FFFFFF"/>
            <w:noWrap/>
            <w:vAlign w:val="center"/>
            <w:hideMark/>
          </w:tcPr>
          <w:p w14:paraId="208D213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4.146.685,89</w:t>
            </w:r>
          </w:p>
        </w:tc>
        <w:tc>
          <w:tcPr>
            <w:tcW w:w="1553" w:type="dxa"/>
            <w:tcBorders>
              <w:top w:val="nil"/>
              <w:left w:val="nil"/>
              <w:bottom w:val="single" w:sz="4" w:space="0" w:color="auto"/>
              <w:right w:val="single" w:sz="4" w:space="0" w:color="auto"/>
            </w:tcBorders>
            <w:shd w:val="clear" w:color="000000" w:fill="FFFFFF"/>
            <w:noWrap/>
            <w:vAlign w:val="center"/>
            <w:hideMark/>
          </w:tcPr>
          <w:p w14:paraId="613FB72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482.312,55</w:t>
            </w:r>
          </w:p>
        </w:tc>
        <w:tc>
          <w:tcPr>
            <w:tcW w:w="955" w:type="dxa"/>
            <w:tcBorders>
              <w:top w:val="nil"/>
              <w:left w:val="nil"/>
              <w:bottom w:val="single" w:sz="4" w:space="0" w:color="auto"/>
              <w:right w:val="single" w:sz="4" w:space="0" w:color="auto"/>
            </w:tcBorders>
            <w:shd w:val="clear" w:color="auto" w:fill="auto"/>
            <w:noWrap/>
            <w:vAlign w:val="center"/>
            <w:hideMark/>
          </w:tcPr>
          <w:p w14:paraId="64626F9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70" w:type="dxa"/>
            <w:tcBorders>
              <w:top w:val="nil"/>
              <w:left w:val="nil"/>
              <w:bottom w:val="single" w:sz="4" w:space="0" w:color="auto"/>
              <w:right w:val="single" w:sz="4" w:space="0" w:color="auto"/>
            </w:tcBorders>
            <w:shd w:val="clear" w:color="auto" w:fill="auto"/>
            <w:noWrap/>
            <w:vAlign w:val="center"/>
            <w:hideMark/>
          </w:tcPr>
          <w:p w14:paraId="2F60E46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88,37</w:t>
            </w:r>
          </w:p>
        </w:tc>
        <w:tc>
          <w:tcPr>
            <w:tcW w:w="1111" w:type="dxa"/>
            <w:tcBorders>
              <w:top w:val="nil"/>
              <w:left w:val="nil"/>
              <w:bottom w:val="single" w:sz="4" w:space="0" w:color="auto"/>
              <w:right w:val="single" w:sz="4" w:space="0" w:color="auto"/>
            </w:tcBorders>
            <w:shd w:val="clear" w:color="auto" w:fill="auto"/>
            <w:noWrap/>
            <w:vAlign w:val="center"/>
            <w:hideMark/>
          </w:tcPr>
          <w:p w14:paraId="3328163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38,37</w:t>
            </w:r>
          </w:p>
        </w:tc>
      </w:tr>
      <w:tr w:rsidR="00F56356" w:rsidRPr="00F56356" w14:paraId="0220BD1F"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6A62C25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757</w:t>
            </w:r>
          </w:p>
        </w:tc>
        <w:tc>
          <w:tcPr>
            <w:tcW w:w="1612" w:type="dxa"/>
            <w:tcBorders>
              <w:top w:val="nil"/>
              <w:left w:val="nil"/>
              <w:bottom w:val="single" w:sz="4" w:space="0" w:color="auto"/>
              <w:right w:val="single" w:sz="4" w:space="0" w:color="auto"/>
            </w:tcBorders>
            <w:shd w:val="clear" w:color="000000" w:fill="FFFFFF"/>
            <w:noWrap/>
            <w:vAlign w:val="center"/>
            <w:hideMark/>
          </w:tcPr>
          <w:p w14:paraId="69C76FA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503.113,89</w:t>
            </w:r>
          </w:p>
        </w:tc>
        <w:tc>
          <w:tcPr>
            <w:tcW w:w="1553" w:type="dxa"/>
            <w:tcBorders>
              <w:top w:val="nil"/>
              <w:left w:val="nil"/>
              <w:bottom w:val="single" w:sz="4" w:space="0" w:color="auto"/>
              <w:right w:val="single" w:sz="4" w:space="0" w:color="auto"/>
            </w:tcBorders>
            <w:shd w:val="clear" w:color="000000" w:fill="FFFFFF"/>
            <w:noWrap/>
            <w:vAlign w:val="center"/>
            <w:hideMark/>
          </w:tcPr>
          <w:p w14:paraId="231456C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43.102,24</w:t>
            </w:r>
          </w:p>
        </w:tc>
        <w:tc>
          <w:tcPr>
            <w:tcW w:w="955" w:type="dxa"/>
            <w:tcBorders>
              <w:top w:val="nil"/>
              <w:left w:val="nil"/>
              <w:bottom w:val="single" w:sz="4" w:space="0" w:color="auto"/>
              <w:right w:val="single" w:sz="4" w:space="0" w:color="auto"/>
            </w:tcBorders>
            <w:shd w:val="clear" w:color="auto" w:fill="auto"/>
            <w:noWrap/>
            <w:vAlign w:val="center"/>
            <w:hideMark/>
          </w:tcPr>
          <w:p w14:paraId="5E50FD3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c>
          <w:tcPr>
            <w:tcW w:w="1170" w:type="dxa"/>
            <w:tcBorders>
              <w:top w:val="nil"/>
              <w:left w:val="nil"/>
              <w:bottom w:val="single" w:sz="4" w:space="0" w:color="auto"/>
              <w:right w:val="single" w:sz="4" w:space="0" w:color="auto"/>
            </w:tcBorders>
            <w:shd w:val="clear" w:color="auto" w:fill="auto"/>
            <w:noWrap/>
            <w:vAlign w:val="center"/>
            <w:hideMark/>
          </w:tcPr>
          <w:p w14:paraId="640EC4F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91,43</w:t>
            </w:r>
          </w:p>
        </w:tc>
        <w:tc>
          <w:tcPr>
            <w:tcW w:w="1111" w:type="dxa"/>
            <w:tcBorders>
              <w:top w:val="nil"/>
              <w:left w:val="nil"/>
              <w:bottom w:val="single" w:sz="4" w:space="0" w:color="auto"/>
              <w:right w:val="single" w:sz="4" w:space="0" w:color="auto"/>
            </w:tcBorders>
            <w:shd w:val="clear" w:color="auto" w:fill="auto"/>
            <w:noWrap/>
            <w:vAlign w:val="center"/>
            <w:hideMark/>
          </w:tcPr>
          <w:p w14:paraId="25A6914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51,43</w:t>
            </w:r>
          </w:p>
        </w:tc>
      </w:tr>
      <w:tr w:rsidR="00F56356" w:rsidRPr="00F56356" w14:paraId="5099EB89"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3D03FDB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761</w:t>
            </w:r>
          </w:p>
        </w:tc>
        <w:tc>
          <w:tcPr>
            <w:tcW w:w="1612" w:type="dxa"/>
            <w:tcBorders>
              <w:top w:val="nil"/>
              <w:left w:val="nil"/>
              <w:bottom w:val="single" w:sz="4" w:space="0" w:color="auto"/>
              <w:right w:val="single" w:sz="4" w:space="0" w:color="auto"/>
            </w:tcBorders>
            <w:shd w:val="clear" w:color="000000" w:fill="FFFFFF"/>
            <w:noWrap/>
            <w:vAlign w:val="center"/>
            <w:hideMark/>
          </w:tcPr>
          <w:p w14:paraId="5D28485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3.254.949,55</w:t>
            </w:r>
          </w:p>
        </w:tc>
        <w:tc>
          <w:tcPr>
            <w:tcW w:w="1553" w:type="dxa"/>
            <w:tcBorders>
              <w:top w:val="nil"/>
              <w:left w:val="nil"/>
              <w:bottom w:val="single" w:sz="4" w:space="0" w:color="auto"/>
              <w:right w:val="single" w:sz="4" w:space="0" w:color="auto"/>
            </w:tcBorders>
            <w:shd w:val="clear" w:color="000000" w:fill="FFFFFF"/>
            <w:noWrap/>
            <w:vAlign w:val="center"/>
            <w:hideMark/>
          </w:tcPr>
          <w:p w14:paraId="6D6B342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1.153.129,99</w:t>
            </w:r>
          </w:p>
        </w:tc>
        <w:tc>
          <w:tcPr>
            <w:tcW w:w="955" w:type="dxa"/>
            <w:tcBorders>
              <w:top w:val="nil"/>
              <w:left w:val="nil"/>
              <w:bottom w:val="single" w:sz="4" w:space="0" w:color="auto"/>
              <w:right w:val="single" w:sz="4" w:space="0" w:color="auto"/>
            </w:tcBorders>
            <w:shd w:val="clear" w:color="auto" w:fill="auto"/>
            <w:noWrap/>
            <w:vAlign w:val="center"/>
            <w:hideMark/>
          </w:tcPr>
          <w:p w14:paraId="44BD79A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70" w:type="dxa"/>
            <w:tcBorders>
              <w:top w:val="nil"/>
              <w:left w:val="nil"/>
              <w:bottom w:val="single" w:sz="4" w:space="0" w:color="auto"/>
              <w:right w:val="single" w:sz="4" w:space="0" w:color="auto"/>
            </w:tcBorders>
            <w:shd w:val="clear" w:color="auto" w:fill="auto"/>
            <w:noWrap/>
            <w:vAlign w:val="center"/>
            <w:hideMark/>
          </w:tcPr>
          <w:p w14:paraId="33F0539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64,57</w:t>
            </w:r>
          </w:p>
        </w:tc>
        <w:tc>
          <w:tcPr>
            <w:tcW w:w="1111" w:type="dxa"/>
            <w:tcBorders>
              <w:top w:val="nil"/>
              <w:left w:val="nil"/>
              <w:bottom w:val="single" w:sz="4" w:space="0" w:color="auto"/>
              <w:right w:val="single" w:sz="4" w:space="0" w:color="auto"/>
            </w:tcBorders>
            <w:shd w:val="clear" w:color="auto" w:fill="auto"/>
            <w:noWrap/>
            <w:vAlign w:val="center"/>
            <w:hideMark/>
          </w:tcPr>
          <w:p w14:paraId="25C34E2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-15,43</w:t>
            </w:r>
          </w:p>
        </w:tc>
      </w:tr>
      <w:tr w:rsidR="00F56356" w:rsidRPr="00F56356" w14:paraId="66C6C4CA"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3BEDB78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763</w:t>
            </w:r>
          </w:p>
        </w:tc>
        <w:tc>
          <w:tcPr>
            <w:tcW w:w="1612" w:type="dxa"/>
            <w:tcBorders>
              <w:top w:val="nil"/>
              <w:left w:val="nil"/>
              <w:bottom w:val="single" w:sz="4" w:space="0" w:color="auto"/>
              <w:right w:val="single" w:sz="4" w:space="0" w:color="auto"/>
            </w:tcBorders>
            <w:shd w:val="clear" w:color="000000" w:fill="FFFFFF"/>
            <w:noWrap/>
            <w:vAlign w:val="center"/>
            <w:hideMark/>
          </w:tcPr>
          <w:p w14:paraId="29A721F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6.013,84</w:t>
            </w:r>
          </w:p>
        </w:tc>
        <w:tc>
          <w:tcPr>
            <w:tcW w:w="1553" w:type="dxa"/>
            <w:tcBorders>
              <w:top w:val="nil"/>
              <w:left w:val="nil"/>
              <w:bottom w:val="single" w:sz="4" w:space="0" w:color="auto"/>
              <w:right w:val="single" w:sz="4" w:space="0" w:color="auto"/>
            </w:tcBorders>
            <w:shd w:val="clear" w:color="000000" w:fill="FFFFFF"/>
            <w:noWrap/>
            <w:vAlign w:val="center"/>
            <w:hideMark/>
          </w:tcPr>
          <w:p w14:paraId="0BCFE69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6.013,84</w:t>
            </w:r>
          </w:p>
        </w:tc>
        <w:tc>
          <w:tcPr>
            <w:tcW w:w="955" w:type="dxa"/>
            <w:tcBorders>
              <w:top w:val="nil"/>
              <w:left w:val="nil"/>
              <w:bottom w:val="single" w:sz="4" w:space="0" w:color="auto"/>
              <w:right w:val="single" w:sz="4" w:space="0" w:color="auto"/>
            </w:tcBorders>
            <w:shd w:val="clear" w:color="auto" w:fill="auto"/>
            <w:noWrap/>
            <w:vAlign w:val="center"/>
            <w:hideMark/>
          </w:tcPr>
          <w:p w14:paraId="41CDF61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c>
          <w:tcPr>
            <w:tcW w:w="1170" w:type="dxa"/>
            <w:tcBorders>
              <w:top w:val="nil"/>
              <w:left w:val="nil"/>
              <w:bottom w:val="single" w:sz="4" w:space="0" w:color="auto"/>
              <w:right w:val="single" w:sz="4" w:space="0" w:color="auto"/>
            </w:tcBorders>
            <w:shd w:val="clear" w:color="auto" w:fill="auto"/>
            <w:noWrap/>
            <w:vAlign w:val="center"/>
            <w:hideMark/>
          </w:tcPr>
          <w:p w14:paraId="1567866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1111" w:type="dxa"/>
            <w:tcBorders>
              <w:top w:val="nil"/>
              <w:left w:val="nil"/>
              <w:bottom w:val="single" w:sz="4" w:space="0" w:color="auto"/>
              <w:right w:val="single" w:sz="4" w:space="0" w:color="auto"/>
            </w:tcBorders>
            <w:shd w:val="clear" w:color="auto" w:fill="auto"/>
            <w:noWrap/>
            <w:vAlign w:val="center"/>
            <w:hideMark/>
          </w:tcPr>
          <w:p w14:paraId="3F9C35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-20,00</w:t>
            </w:r>
          </w:p>
        </w:tc>
      </w:tr>
      <w:tr w:rsidR="00F56356" w:rsidRPr="00F56356" w14:paraId="679C2701"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7278628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766</w:t>
            </w:r>
          </w:p>
        </w:tc>
        <w:tc>
          <w:tcPr>
            <w:tcW w:w="1612" w:type="dxa"/>
            <w:tcBorders>
              <w:top w:val="nil"/>
              <w:left w:val="nil"/>
              <w:bottom w:val="single" w:sz="4" w:space="0" w:color="auto"/>
              <w:right w:val="single" w:sz="4" w:space="0" w:color="auto"/>
            </w:tcBorders>
            <w:shd w:val="clear" w:color="000000" w:fill="FFFFFF"/>
            <w:noWrap/>
            <w:vAlign w:val="center"/>
            <w:hideMark/>
          </w:tcPr>
          <w:p w14:paraId="0F67E90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1.926.515,29</w:t>
            </w:r>
          </w:p>
        </w:tc>
        <w:tc>
          <w:tcPr>
            <w:tcW w:w="1553" w:type="dxa"/>
            <w:tcBorders>
              <w:top w:val="nil"/>
              <w:left w:val="nil"/>
              <w:bottom w:val="single" w:sz="4" w:space="0" w:color="auto"/>
              <w:right w:val="single" w:sz="4" w:space="0" w:color="auto"/>
            </w:tcBorders>
            <w:shd w:val="clear" w:color="000000" w:fill="FFFFFF"/>
            <w:noWrap/>
            <w:vAlign w:val="center"/>
            <w:hideMark/>
          </w:tcPr>
          <w:p w14:paraId="20625B7A"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1.100.414,37</w:t>
            </w:r>
          </w:p>
        </w:tc>
        <w:tc>
          <w:tcPr>
            <w:tcW w:w="955" w:type="dxa"/>
            <w:tcBorders>
              <w:top w:val="nil"/>
              <w:left w:val="nil"/>
              <w:bottom w:val="single" w:sz="4" w:space="0" w:color="auto"/>
              <w:right w:val="single" w:sz="4" w:space="0" w:color="auto"/>
            </w:tcBorders>
            <w:shd w:val="clear" w:color="auto" w:fill="auto"/>
            <w:noWrap/>
            <w:vAlign w:val="center"/>
            <w:hideMark/>
          </w:tcPr>
          <w:p w14:paraId="785C0CD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70" w:type="dxa"/>
            <w:tcBorders>
              <w:top w:val="nil"/>
              <w:left w:val="nil"/>
              <w:bottom w:val="single" w:sz="4" w:space="0" w:color="auto"/>
              <w:right w:val="single" w:sz="4" w:space="0" w:color="auto"/>
            </w:tcBorders>
            <w:shd w:val="clear" w:color="auto" w:fill="auto"/>
            <w:noWrap/>
            <w:vAlign w:val="center"/>
            <w:hideMark/>
          </w:tcPr>
          <w:p w14:paraId="7E64A24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42,88</w:t>
            </w:r>
          </w:p>
        </w:tc>
        <w:tc>
          <w:tcPr>
            <w:tcW w:w="1111" w:type="dxa"/>
            <w:tcBorders>
              <w:top w:val="nil"/>
              <w:left w:val="nil"/>
              <w:bottom w:val="single" w:sz="4" w:space="0" w:color="auto"/>
              <w:right w:val="single" w:sz="4" w:space="0" w:color="auto"/>
            </w:tcBorders>
            <w:shd w:val="clear" w:color="auto" w:fill="auto"/>
            <w:noWrap/>
            <w:vAlign w:val="center"/>
            <w:hideMark/>
          </w:tcPr>
          <w:p w14:paraId="75B2CE2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-37,12</w:t>
            </w:r>
          </w:p>
        </w:tc>
      </w:tr>
      <w:tr w:rsidR="00F56356" w:rsidRPr="00F56356" w14:paraId="56B1F26B"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6C91340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957</w:t>
            </w:r>
          </w:p>
        </w:tc>
        <w:tc>
          <w:tcPr>
            <w:tcW w:w="1612" w:type="dxa"/>
            <w:tcBorders>
              <w:top w:val="nil"/>
              <w:left w:val="nil"/>
              <w:bottom w:val="single" w:sz="4" w:space="0" w:color="auto"/>
              <w:right w:val="single" w:sz="4" w:space="0" w:color="auto"/>
            </w:tcBorders>
            <w:shd w:val="clear" w:color="000000" w:fill="FFFFFF"/>
            <w:noWrap/>
            <w:vAlign w:val="center"/>
            <w:hideMark/>
          </w:tcPr>
          <w:p w14:paraId="19866C4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404.939,92</w:t>
            </w:r>
          </w:p>
        </w:tc>
        <w:tc>
          <w:tcPr>
            <w:tcW w:w="1553" w:type="dxa"/>
            <w:tcBorders>
              <w:top w:val="nil"/>
              <w:left w:val="nil"/>
              <w:bottom w:val="single" w:sz="4" w:space="0" w:color="auto"/>
              <w:right w:val="single" w:sz="4" w:space="0" w:color="auto"/>
            </w:tcBorders>
            <w:shd w:val="clear" w:color="000000" w:fill="FFFFFF"/>
            <w:noWrap/>
            <w:vAlign w:val="center"/>
            <w:hideMark/>
          </w:tcPr>
          <w:p w14:paraId="54F5ABC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367.939,92</w:t>
            </w:r>
          </w:p>
        </w:tc>
        <w:tc>
          <w:tcPr>
            <w:tcW w:w="955" w:type="dxa"/>
            <w:tcBorders>
              <w:top w:val="nil"/>
              <w:left w:val="nil"/>
              <w:bottom w:val="single" w:sz="4" w:space="0" w:color="auto"/>
              <w:right w:val="single" w:sz="4" w:space="0" w:color="auto"/>
            </w:tcBorders>
            <w:shd w:val="clear" w:color="auto" w:fill="auto"/>
            <w:noWrap/>
            <w:vAlign w:val="center"/>
            <w:hideMark/>
          </w:tcPr>
          <w:p w14:paraId="6FCCAB8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w:t>
            </w:r>
          </w:p>
        </w:tc>
        <w:tc>
          <w:tcPr>
            <w:tcW w:w="1170" w:type="dxa"/>
            <w:tcBorders>
              <w:top w:val="nil"/>
              <w:left w:val="nil"/>
              <w:bottom w:val="single" w:sz="4" w:space="0" w:color="auto"/>
              <w:right w:val="single" w:sz="4" w:space="0" w:color="auto"/>
            </w:tcBorders>
            <w:shd w:val="clear" w:color="auto" w:fill="auto"/>
            <w:noWrap/>
            <w:vAlign w:val="center"/>
            <w:hideMark/>
          </w:tcPr>
          <w:p w14:paraId="19DDC5B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9,14</w:t>
            </w:r>
          </w:p>
        </w:tc>
        <w:tc>
          <w:tcPr>
            <w:tcW w:w="1111" w:type="dxa"/>
            <w:tcBorders>
              <w:top w:val="nil"/>
              <w:left w:val="nil"/>
              <w:bottom w:val="single" w:sz="4" w:space="0" w:color="auto"/>
              <w:right w:val="single" w:sz="4" w:space="0" w:color="auto"/>
            </w:tcBorders>
            <w:shd w:val="clear" w:color="auto" w:fill="auto"/>
            <w:noWrap/>
            <w:vAlign w:val="center"/>
            <w:hideMark/>
          </w:tcPr>
          <w:p w14:paraId="6BF5FB2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-0,86</w:t>
            </w:r>
          </w:p>
        </w:tc>
      </w:tr>
      <w:tr w:rsidR="00F56356" w:rsidRPr="00F56356" w14:paraId="49521520"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03ADE37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960</w:t>
            </w:r>
          </w:p>
        </w:tc>
        <w:tc>
          <w:tcPr>
            <w:tcW w:w="1612" w:type="dxa"/>
            <w:tcBorders>
              <w:top w:val="nil"/>
              <w:left w:val="nil"/>
              <w:bottom w:val="single" w:sz="4" w:space="0" w:color="auto"/>
              <w:right w:val="single" w:sz="4" w:space="0" w:color="auto"/>
            </w:tcBorders>
            <w:shd w:val="clear" w:color="000000" w:fill="FFFFFF"/>
            <w:noWrap/>
            <w:vAlign w:val="center"/>
            <w:hideMark/>
          </w:tcPr>
          <w:p w14:paraId="40FD0C7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13.144.717,05</w:t>
            </w:r>
          </w:p>
        </w:tc>
        <w:tc>
          <w:tcPr>
            <w:tcW w:w="1553" w:type="dxa"/>
            <w:tcBorders>
              <w:top w:val="nil"/>
              <w:left w:val="nil"/>
              <w:bottom w:val="single" w:sz="4" w:space="0" w:color="auto"/>
              <w:right w:val="single" w:sz="4" w:space="0" w:color="auto"/>
            </w:tcBorders>
            <w:shd w:val="clear" w:color="000000" w:fill="FFFFFF"/>
            <w:noWrap/>
            <w:vAlign w:val="center"/>
            <w:hideMark/>
          </w:tcPr>
          <w:p w14:paraId="46D4648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10.690.059,77</w:t>
            </w:r>
          </w:p>
        </w:tc>
        <w:tc>
          <w:tcPr>
            <w:tcW w:w="955" w:type="dxa"/>
            <w:tcBorders>
              <w:top w:val="nil"/>
              <w:left w:val="nil"/>
              <w:bottom w:val="single" w:sz="4" w:space="0" w:color="auto"/>
              <w:right w:val="single" w:sz="4" w:space="0" w:color="auto"/>
            </w:tcBorders>
            <w:shd w:val="clear" w:color="auto" w:fill="auto"/>
            <w:noWrap/>
            <w:vAlign w:val="center"/>
            <w:hideMark/>
          </w:tcPr>
          <w:p w14:paraId="5D21A8C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70" w:type="dxa"/>
            <w:tcBorders>
              <w:top w:val="nil"/>
              <w:left w:val="nil"/>
              <w:bottom w:val="single" w:sz="4" w:space="0" w:color="auto"/>
              <w:right w:val="single" w:sz="4" w:space="0" w:color="auto"/>
            </w:tcBorders>
            <w:shd w:val="clear" w:color="auto" w:fill="auto"/>
            <w:noWrap/>
            <w:vAlign w:val="center"/>
            <w:hideMark/>
          </w:tcPr>
          <w:p w14:paraId="6F55697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18,67</w:t>
            </w:r>
          </w:p>
        </w:tc>
        <w:tc>
          <w:tcPr>
            <w:tcW w:w="1111" w:type="dxa"/>
            <w:tcBorders>
              <w:top w:val="nil"/>
              <w:left w:val="nil"/>
              <w:bottom w:val="single" w:sz="4" w:space="0" w:color="auto"/>
              <w:right w:val="single" w:sz="4" w:space="0" w:color="auto"/>
            </w:tcBorders>
            <w:shd w:val="clear" w:color="auto" w:fill="auto"/>
            <w:noWrap/>
            <w:vAlign w:val="center"/>
            <w:hideMark/>
          </w:tcPr>
          <w:p w14:paraId="3ABB950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-61,33</w:t>
            </w:r>
          </w:p>
        </w:tc>
      </w:tr>
      <w:tr w:rsidR="00F56356" w:rsidRPr="00F56356" w14:paraId="54ED98FC"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6D013AB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961</w:t>
            </w:r>
          </w:p>
        </w:tc>
        <w:tc>
          <w:tcPr>
            <w:tcW w:w="1612" w:type="dxa"/>
            <w:tcBorders>
              <w:top w:val="nil"/>
              <w:left w:val="nil"/>
              <w:bottom w:val="single" w:sz="4" w:space="0" w:color="auto"/>
              <w:right w:val="single" w:sz="4" w:space="0" w:color="auto"/>
            </w:tcBorders>
            <w:shd w:val="clear" w:color="000000" w:fill="FFFFFF"/>
            <w:noWrap/>
            <w:vAlign w:val="center"/>
            <w:hideMark/>
          </w:tcPr>
          <w:p w14:paraId="6335C93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582.702,85</w:t>
            </w:r>
          </w:p>
        </w:tc>
        <w:tc>
          <w:tcPr>
            <w:tcW w:w="1553" w:type="dxa"/>
            <w:tcBorders>
              <w:top w:val="nil"/>
              <w:left w:val="nil"/>
              <w:bottom w:val="single" w:sz="4" w:space="0" w:color="auto"/>
              <w:right w:val="single" w:sz="4" w:space="0" w:color="auto"/>
            </w:tcBorders>
            <w:shd w:val="clear" w:color="000000" w:fill="FFFFFF"/>
            <w:noWrap/>
            <w:vAlign w:val="center"/>
            <w:hideMark/>
          </w:tcPr>
          <w:p w14:paraId="2174CA8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405.109,52</w:t>
            </w:r>
          </w:p>
        </w:tc>
        <w:tc>
          <w:tcPr>
            <w:tcW w:w="955" w:type="dxa"/>
            <w:tcBorders>
              <w:top w:val="nil"/>
              <w:left w:val="nil"/>
              <w:bottom w:val="single" w:sz="4" w:space="0" w:color="auto"/>
              <w:right w:val="single" w:sz="4" w:space="0" w:color="auto"/>
            </w:tcBorders>
            <w:shd w:val="clear" w:color="auto" w:fill="auto"/>
            <w:noWrap/>
            <w:vAlign w:val="center"/>
            <w:hideMark/>
          </w:tcPr>
          <w:p w14:paraId="188B43F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0" w:type="dxa"/>
            <w:tcBorders>
              <w:top w:val="nil"/>
              <w:left w:val="nil"/>
              <w:bottom w:val="single" w:sz="4" w:space="0" w:color="auto"/>
              <w:right w:val="single" w:sz="4" w:space="0" w:color="auto"/>
            </w:tcBorders>
            <w:shd w:val="clear" w:color="auto" w:fill="auto"/>
            <w:noWrap/>
            <w:vAlign w:val="center"/>
            <w:hideMark/>
          </w:tcPr>
          <w:p w14:paraId="31BB0BC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30,48</w:t>
            </w:r>
          </w:p>
        </w:tc>
        <w:tc>
          <w:tcPr>
            <w:tcW w:w="1111" w:type="dxa"/>
            <w:tcBorders>
              <w:top w:val="nil"/>
              <w:left w:val="nil"/>
              <w:bottom w:val="single" w:sz="4" w:space="0" w:color="auto"/>
              <w:right w:val="single" w:sz="4" w:space="0" w:color="auto"/>
            </w:tcBorders>
            <w:shd w:val="clear" w:color="auto" w:fill="auto"/>
            <w:noWrap/>
            <w:vAlign w:val="center"/>
            <w:hideMark/>
          </w:tcPr>
          <w:p w14:paraId="6FC0DD1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-29,52</w:t>
            </w:r>
          </w:p>
        </w:tc>
      </w:tr>
      <w:tr w:rsidR="00F56356" w:rsidRPr="00F56356" w14:paraId="55F6E9EE"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3A12E43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963</w:t>
            </w:r>
          </w:p>
        </w:tc>
        <w:tc>
          <w:tcPr>
            <w:tcW w:w="1612" w:type="dxa"/>
            <w:tcBorders>
              <w:top w:val="nil"/>
              <w:left w:val="nil"/>
              <w:bottom w:val="single" w:sz="4" w:space="0" w:color="auto"/>
              <w:right w:val="single" w:sz="4" w:space="0" w:color="auto"/>
            </w:tcBorders>
            <w:shd w:val="clear" w:color="000000" w:fill="FFFFFF"/>
            <w:noWrap/>
            <w:vAlign w:val="center"/>
            <w:hideMark/>
          </w:tcPr>
          <w:p w14:paraId="01CA2F0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5.650.069,26</w:t>
            </w:r>
          </w:p>
        </w:tc>
        <w:tc>
          <w:tcPr>
            <w:tcW w:w="1553" w:type="dxa"/>
            <w:tcBorders>
              <w:top w:val="nil"/>
              <w:left w:val="nil"/>
              <w:bottom w:val="single" w:sz="4" w:space="0" w:color="auto"/>
              <w:right w:val="single" w:sz="4" w:space="0" w:color="auto"/>
            </w:tcBorders>
            <w:shd w:val="clear" w:color="000000" w:fill="FFFFFF"/>
            <w:noWrap/>
            <w:vAlign w:val="center"/>
            <w:hideMark/>
          </w:tcPr>
          <w:p w14:paraId="447B14F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2.801.141,21</w:t>
            </w:r>
          </w:p>
        </w:tc>
        <w:tc>
          <w:tcPr>
            <w:tcW w:w="955" w:type="dxa"/>
            <w:tcBorders>
              <w:top w:val="nil"/>
              <w:left w:val="nil"/>
              <w:bottom w:val="single" w:sz="4" w:space="0" w:color="auto"/>
              <w:right w:val="single" w:sz="4" w:space="0" w:color="auto"/>
            </w:tcBorders>
            <w:shd w:val="clear" w:color="auto" w:fill="auto"/>
            <w:noWrap/>
            <w:vAlign w:val="center"/>
            <w:hideMark/>
          </w:tcPr>
          <w:p w14:paraId="40DFC6A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80</w:t>
            </w:r>
          </w:p>
        </w:tc>
        <w:tc>
          <w:tcPr>
            <w:tcW w:w="1170" w:type="dxa"/>
            <w:tcBorders>
              <w:top w:val="nil"/>
              <w:left w:val="nil"/>
              <w:bottom w:val="single" w:sz="4" w:space="0" w:color="auto"/>
              <w:right w:val="single" w:sz="4" w:space="0" w:color="auto"/>
            </w:tcBorders>
            <w:shd w:val="clear" w:color="auto" w:fill="auto"/>
            <w:noWrap/>
            <w:vAlign w:val="center"/>
            <w:hideMark/>
          </w:tcPr>
          <w:p w14:paraId="63D6039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50,42</w:t>
            </w:r>
          </w:p>
        </w:tc>
        <w:tc>
          <w:tcPr>
            <w:tcW w:w="1111" w:type="dxa"/>
            <w:tcBorders>
              <w:top w:val="nil"/>
              <w:left w:val="nil"/>
              <w:bottom w:val="single" w:sz="4" w:space="0" w:color="auto"/>
              <w:right w:val="single" w:sz="4" w:space="0" w:color="auto"/>
            </w:tcBorders>
            <w:shd w:val="clear" w:color="auto" w:fill="auto"/>
            <w:noWrap/>
            <w:vAlign w:val="center"/>
            <w:hideMark/>
          </w:tcPr>
          <w:p w14:paraId="24546D6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-29,58</w:t>
            </w:r>
          </w:p>
        </w:tc>
      </w:tr>
      <w:tr w:rsidR="00F56356" w:rsidRPr="00F56356" w14:paraId="476AFF17"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7C79288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965</w:t>
            </w:r>
          </w:p>
        </w:tc>
        <w:tc>
          <w:tcPr>
            <w:tcW w:w="1612" w:type="dxa"/>
            <w:tcBorders>
              <w:top w:val="nil"/>
              <w:left w:val="nil"/>
              <w:bottom w:val="single" w:sz="4" w:space="0" w:color="auto"/>
              <w:right w:val="single" w:sz="4" w:space="0" w:color="auto"/>
            </w:tcBorders>
            <w:shd w:val="clear" w:color="000000" w:fill="FFFFFF"/>
            <w:noWrap/>
            <w:vAlign w:val="center"/>
            <w:hideMark/>
          </w:tcPr>
          <w:p w14:paraId="4F1581F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100.000.000,00</w:t>
            </w:r>
          </w:p>
        </w:tc>
        <w:tc>
          <w:tcPr>
            <w:tcW w:w="1553" w:type="dxa"/>
            <w:tcBorders>
              <w:top w:val="nil"/>
              <w:left w:val="nil"/>
              <w:bottom w:val="single" w:sz="4" w:space="0" w:color="auto"/>
              <w:right w:val="single" w:sz="4" w:space="0" w:color="auto"/>
            </w:tcBorders>
            <w:shd w:val="clear" w:color="000000" w:fill="FFFFFF"/>
            <w:noWrap/>
            <w:vAlign w:val="center"/>
            <w:hideMark/>
          </w:tcPr>
          <w:p w14:paraId="0726B06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51.032.536,61</w:t>
            </w:r>
          </w:p>
        </w:tc>
        <w:tc>
          <w:tcPr>
            <w:tcW w:w="955" w:type="dxa"/>
            <w:tcBorders>
              <w:top w:val="nil"/>
              <w:left w:val="nil"/>
              <w:bottom w:val="single" w:sz="4" w:space="0" w:color="auto"/>
              <w:right w:val="single" w:sz="4" w:space="0" w:color="auto"/>
            </w:tcBorders>
            <w:shd w:val="clear" w:color="auto" w:fill="auto"/>
            <w:noWrap/>
            <w:vAlign w:val="center"/>
            <w:hideMark/>
          </w:tcPr>
          <w:p w14:paraId="724B101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c>
          <w:tcPr>
            <w:tcW w:w="1170" w:type="dxa"/>
            <w:tcBorders>
              <w:top w:val="nil"/>
              <w:left w:val="nil"/>
              <w:bottom w:val="single" w:sz="4" w:space="0" w:color="auto"/>
              <w:right w:val="single" w:sz="4" w:space="0" w:color="auto"/>
            </w:tcBorders>
            <w:shd w:val="clear" w:color="auto" w:fill="auto"/>
            <w:noWrap/>
            <w:vAlign w:val="center"/>
            <w:hideMark/>
          </w:tcPr>
          <w:p w14:paraId="44B497D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48,97</w:t>
            </w:r>
          </w:p>
        </w:tc>
        <w:tc>
          <w:tcPr>
            <w:tcW w:w="1111" w:type="dxa"/>
            <w:tcBorders>
              <w:top w:val="nil"/>
              <w:left w:val="nil"/>
              <w:bottom w:val="single" w:sz="4" w:space="0" w:color="auto"/>
              <w:right w:val="single" w:sz="4" w:space="0" w:color="auto"/>
            </w:tcBorders>
            <w:shd w:val="clear" w:color="auto" w:fill="auto"/>
            <w:noWrap/>
            <w:vAlign w:val="center"/>
            <w:hideMark/>
          </w:tcPr>
          <w:p w14:paraId="5F33204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8,97</w:t>
            </w:r>
          </w:p>
        </w:tc>
      </w:tr>
      <w:tr w:rsidR="00F56356" w:rsidRPr="00F56356" w14:paraId="64D7A1D5"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6EC8FC6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979</w:t>
            </w:r>
          </w:p>
        </w:tc>
        <w:tc>
          <w:tcPr>
            <w:tcW w:w="1612" w:type="dxa"/>
            <w:tcBorders>
              <w:top w:val="nil"/>
              <w:left w:val="nil"/>
              <w:bottom w:val="single" w:sz="4" w:space="0" w:color="auto"/>
              <w:right w:val="single" w:sz="4" w:space="0" w:color="auto"/>
            </w:tcBorders>
            <w:shd w:val="clear" w:color="000000" w:fill="FFFFFF"/>
            <w:noWrap/>
            <w:vAlign w:val="center"/>
            <w:hideMark/>
          </w:tcPr>
          <w:p w14:paraId="2F870C1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56.940,81</w:t>
            </w:r>
          </w:p>
        </w:tc>
        <w:tc>
          <w:tcPr>
            <w:tcW w:w="1553" w:type="dxa"/>
            <w:tcBorders>
              <w:top w:val="nil"/>
              <w:left w:val="nil"/>
              <w:bottom w:val="single" w:sz="4" w:space="0" w:color="auto"/>
              <w:right w:val="single" w:sz="4" w:space="0" w:color="auto"/>
            </w:tcBorders>
            <w:shd w:val="clear" w:color="000000" w:fill="FFFFFF"/>
            <w:noWrap/>
            <w:vAlign w:val="center"/>
            <w:hideMark/>
          </w:tcPr>
          <w:p w14:paraId="6AE7120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98,42</w:t>
            </w:r>
          </w:p>
        </w:tc>
        <w:tc>
          <w:tcPr>
            <w:tcW w:w="955" w:type="dxa"/>
            <w:tcBorders>
              <w:top w:val="nil"/>
              <w:left w:val="nil"/>
              <w:bottom w:val="single" w:sz="4" w:space="0" w:color="auto"/>
              <w:right w:val="single" w:sz="4" w:space="0" w:color="auto"/>
            </w:tcBorders>
            <w:shd w:val="clear" w:color="auto" w:fill="auto"/>
            <w:noWrap/>
            <w:vAlign w:val="center"/>
            <w:hideMark/>
          </w:tcPr>
          <w:p w14:paraId="3DABDB0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0" w:type="dxa"/>
            <w:tcBorders>
              <w:top w:val="nil"/>
              <w:left w:val="nil"/>
              <w:bottom w:val="single" w:sz="4" w:space="0" w:color="auto"/>
              <w:right w:val="single" w:sz="4" w:space="0" w:color="auto"/>
            </w:tcBorders>
            <w:shd w:val="clear" w:color="auto" w:fill="auto"/>
            <w:noWrap/>
            <w:vAlign w:val="center"/>
            <w:hideMark/>
          </w:tcPr>
          <w:p w14:paraId="04FD996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99,83</w:t>
            </w:r>
          </w:p>
        </w:tc>
        <w:tc>
          <w:tcPr>
            <w:tcW w:w="1111" w:type="dxa"/>
            <w:tcBorders>
              <w:top w:val="nil"/>
              <w:left w:val="nil"/>
              <w:bottom w:val="single" w:sz="4" w:space="0" w:color="auto"/>
              <w:right w:val="single" w:sz="4" w:space="0" w:color="auto"/>
            </w:tcBorders>
            <w:shd w:val="clear" w:color="auto" w:fill="auto"/>
            <w:noWrap/>
            <w:vAlign w:val="center"/>
            <w:hideMark/>
          </w:tcPr>
          <w:p w14:paraId="0FF27DF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39,83</w:t>
            </w:r>
          </w:p>
        </w:tc>
      </w:tr>
      <w:tr w:rsidR="00F56356" w:rsidRPr="00F56356" w14:paraId="59F4C1B9" w14:textId="77777777" w:rsidTr="00F56356">
        <w:trPr>
          <w:trHeight w:val="31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F684331"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12" w:type="dxa"/>
            <w:tcBorders>
              <w:top w:val="nil"/>
              <w:left w:val="nil"/>
              <w:bottom w:val="single" w:sz="4" w:space="0" w:color="auto"/>
              <w:right w:val="single" w:sz="4" w:space="0" w:color="auto"/>
            </w:tcBorders>
            <w:shd w:val="clear" w:color="auto" w:fill="auto"/>
            <w:noWrap/>
            <w:vAlign w:val="center"/>
            <w:hideMark/>
          </w:tcPr>
          <w:p w14:paraId="1DE68E56"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161.327.594,53</w:t>
            </w:r>
          </w:p>
        </w:tc>
        <w:tc>
          <w:tcPr>
            <w:tcW w:w="1553" w:type="dxa"/>
            <w:tcBorders>
              <w:top w:val="nil"/>
              <w:left w:val="nil"/>
              <w:bottom w:val="single" w:sz="4" w:space="0" w:color="auto"/>
              <w:right w:val="single" w:sz="4" w:space="0" w:color="auto"/>
            </w:tcBorders>
            <w:shd w:val="clear" w:color="auto" w:fill="auto"/>
            <w:noWrap/>
            <w:vAlign w:val="center"/>
            <w:hideMark/>
          </w:tcPr>
          <w:p w14:paraId="30EF436C"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84.416.984,90</w:t>
            </w:r>
          </w:p>
        </w:tc>
        <w:tc>
          <w:tcPr>
            <w:tcW w:w="955" w:type="dxa"/>
            <w:tcBorders>
              <w:top w:val="nil"/>
              <w:left w:val="nil"/>
              <w:bottom w:val="nil"/>
              <w:right w:val="nil"/>
            </w:tcBorders>
            <w:shd w:val="clear" w:color="auto" w:fill="auto"/>
            <w:noWrap/>
            <w:vAlign w:val="center"/>
            <w:hideMark/>
          </w:tcPr>
          <w:p w14:paraId="65FA595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70" w:type="dxa"/>
            <w:tcBorders>
              <w:top w:val="nil"/>
              <w:left w:val="nil"/>
              <w:bottom w:val="nil"/>
              <w:right w:val="nil"/>
            </w:tcBorders>
            <w:shd w:val="clear" w:color="auto" w:fill="auto"/>
            <w:noWrap/>
            <w:vAlign w:val="center"/>
            <w:hideMark/>
          </w:tcPr>
          <w:p w14:paraId="5041D63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11" w:type="dxa"/>
            <w:tcBorders>
              <w:top w:val="nil"/>
              <w:left w:val="nil"/>
              <w:bottom w:val="nil"/>
              <w:right w:val="nil"/>
            </w:tcBorders>
            <w:shd w:val="clear" w:color="auto" w:fill="auto"/>
            <w:noWrap/>
            <w:vAlign w:val="center"/>
            <w:hideMark/>
          </w:tcPr>
          <w:p w14:paraId="08C3C8A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1DB8AC01"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color w:val="000000" w:themeColor="text1"/>
          <w:sz w:val="12"/>
          <w:szCs w:val="24"/>
          <w:lang w:eastAsia="it-IT"/>
        </w:rPr>
      </w:pPr>
    </w:p>
    <w:p w14:paraId="50AB5504" w14:textId="77777777" w:rsidR="00F56356" w:rsidRPr="00F56356" w:rsidRDefault="00F56356" w:rsidP="00F56356">
      <w:pPr>
        <w:tabs>
          <w:tab w:val="left" w:pos="0"/>
          <w:tab w:val="left" w:pos="9356"/>
        </w:tabs>
        <w:spacing w:after="0" w:line="360" w:lineRule="auto"/>
        <w:ind w:left="340"/>
        <w:jc w:val="center"/>
        <w:rPr>
          <w:rFonts w:ascii="Times New Roman" w:eastAsia="Times New Roman" w:hAnsi="Times New Roman" w:cs="Times New Roman"/>
          <w:color w:val="000000" w:themeColor="text1"/>
          <w:sz w:val="12"/>
          <w:szCs w:val="24"/>
          <w:lang w:eastAsia="it-IT"/>
        </w:rPr>
      </w:pPr>
    </w:p>
    <w:p w14:paraId="57E94C33" w14:textId="77777777" w:rsidR="00F56356" w:rsidRPr="00F56356" w:rsidRDefault="00F56356" w:rsidP="00F56356">
      <w:pPr>
        <w:tabs>
          <w:tab w:val="left" w:pos="0"/>
          <w:tab w:val="left" w:pos="9356"/>
        </w:tabs>
        <w:spacing w:after="0" w:line="360" w:lineRule="auto"/>
        <w:ind w:left="340"/>
        <w:jc w:val="center"/>
        <w:rPr>
          <w:rFonts w:ascii="Times New Roman" w:eastAsia="Times New Roman" w:hAnsi="Times New Roman" w:cs="Times New Roman"/>
          <w:color w:val="000000" w:themeColor="text1"/>
          <w:sz w:val="12"/>
          <w:szCs w:val="24"/>
          <w:lang w:eastAsia="it-IT"/>
        </w:rPr>
      </w:pPr>
    </w:p>
    <w:p w14:paraId="2C1D20E3"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Le risorse impegnate di complessivi euro 2.123.766.343,91 sono state destinate per euro 26.987.760,33 al funzionamento, per euro 42.584.304,96 agli interventi e per euro 2.054.194.278,62 alle spese in conto capitale.</w:t>
      </w:r>
    </w:p>
    <w:p w14:paraId="74836E91"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b/>
          <w:color w:val="000000" w:themeColor="text1"/>
          <w:sz w:val="10"/>
          <w:szCs w:val="24"/>
          <w:lang w:eastAsia="it-IT"/>
        </w:rPr>
      </w:pPr>
    </w:p>
    <w:p w14:paraId="7135A32A"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2.2.1 </w:t>
      </w:r>
      <w:r w:rsidRPr="00F56356">
        <w:rPr>
          <w:rFonts w:ascii="Times New Roman" w:eastAsia="Times New Roman" w:hAnsi="Times New Roman" w:cs="Times New Roman"/>
          <w:color w:val="000000" w:themeColor="text1"/>
          <w:sz w:val="24"/>
          <w:szCs w:val="24"/>
          <w:lang w:eastAsia="it-IT"/>
        </w:rPr>
        <w:t xml:space="preserve">Le risorse impegnate per il funzionamento di euro 26.987.760,33, di cui euro 677.847,60 </w:t>
      </w:r>
      <w:r w:rsidRPr="00F56356">
        <w:rPr>
          <w:rFonts w:ascii="Times New Roman" w:eastAsia="Times New Roman" w:hAnsi="Times New Roman" w:cs="Times New Roman"/>
          <w:sz w:val="24"/>
          <w:szCs w:val="24"/>
          <w:lang w:eastAsia="it-IT"/>
        </w:rPr>
        <w:t>relativi a reiscrizioni di residui passivi perenti</w:t>
      </w:r>
      <w:r w:rsidRPr="00F56356">
        <w:rPr>
          <w:rFonts w:ascii="Times New Roman" w:eastAsia="Times New Roman" w:hAnsi="Times New Roman" w:cs="Times New Roman"/>
          <w:color w:val="000000" w:themeColor="text1"/>
          <w:sz w:val="24"/>
          <w:szCs w:val="24"/>
          <w:lang w:eastAsia="it-IT"/>
        </w:rPr>
        <w:t xml:space="preserve">, si riferiscono: </w:t>
      </w:r>
    </w:p>
    <w:p w14:paraId="31C17114"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4.247.516,02 a spese di personale (</w:t>
      </w:r>
      <w:proofErr w:type="spellStart"/>
      <w:r w:rsidRPr="00F56356">
        <w:rPr>
          <w:rFonts w:ascii="Times New Roman" w:eastAsia="Times New Roman" w:hAnsi="Times New Roman" w:cs="Times New Roman"/>
          <w:color w:val="000000" w:themeColor="text1"/>
          <w:sz w:val="24"/>
          <w:szCs w:val="24"/>
          <w:lang w:eastAsia="it-IT"/>
        </w:rPr>
        <w:t>capp</w:t>
      </w:r>
      <w:proofErr w:type="spellEnd"/>
      <w:r w:rsidRPr="00F56356">
        <w:rPr>
          <w:rFonts w:ascii="Times New Roman" w:eastAsia="Times New Roman" w:hAnsi="Times New Roman" w:cs="Times New Roman"/>
          <w:color w:val="000000" w:themeColor="text1"/>
          <w:sz w:val="24"/>
          <w:szCs w:val="24"/>
          <w:lang w:eastAsia="it-IT"/>
        </w:rPr>
        <w:t>. 680, 682, 683, 694, 695, 745), prevalentemente per emolumenti accessori, mentre euro 22.740.244,31 ai beni e servizi quali: spese per accertamenti sanitari (cap. 688), missioni (cap. 689), per la gestione del sistema informativo (cap. 700); per la pulizia degli uffici e la manutenzione e riparazione di apparecchiature e attrezzature (cap. 704), per le utenze (cap. 708), per le autovetture di servizio (cap. 717), per le benemerenze (cap. 723), per i servizi informativi alla popolazione (cap. 726), per il minuto funzionamento degli uffici dipartimentali (cap. 729), per il fitto e la vigilanza delle sedi dipartimentali (cap. 734), per le spese postali (cap. 735), per i lavori e le spese di manutenzione dei locali (cap. 737), per le spese legali e i contenziosi (cap. 741) e per le spese relative al servizio di trasporto aereo in emergenza affidato in convenzione all’Aeronautica militare italiana (cap. 753).</w:t>
      </w:r>
    </w:p>
    <w:p w14:paraId="651BD89E" w14:textId="77777777" w:rsidR="00F56356" w:rsidRPr="00F56356" w:rsidRDefault="00F56356" w:rsidP="00F56356">
      <w:pPr>
        <w:tabs>
          <w:tab w:val="left" w:pos="0"/>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Le risorse dei capitoli 679, 698, 699 e 707, relative agli oneri connessi al trattamento economico fondamentale del personale di ruolo del Dipartimento della protezione civile, al fondo unico di Presidenza e agli oneri per Irap sono state trasferite sui pertinenti capitoli del CR. 1 – Segretariato generale, per la gestione in forma accentrata da parte del Dipartimento per il personale.</w:t>
      </w:r>
    </w:p>
    <w:p w14:paraId="785202C2"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10464" behindDoc="1" locked="0" layoutInCell="1" allowOverlap="1" wp14:anchorId="02DBBCB0" wp14:editId="42E259CB">
            <wp:simplePos x="0" y="0"/>
            <wp:positionH relativeFrom="column">
              <wp:posOffset>156210</wp:posOffset>
            </wp:positionH>
            <wp:positionV relativeFrom="paragraph">
              <wp:posOffset>262255</wp:posOffset>
            </wp:positionV>
            <wp:extent cx="5966460" cy="4476750"/>
            <wp:effectExtent l="0" t="0" r="0" b="0"/>
            <wp:wrapTight wrapText="bothSides">
              <wp:wrapPolygon edited="0">
                <wp:start x="0" y="0"/>
                <wp:lineTo x="0" y="21508"/>
                <wp:lineTo x="12966" y="21508"/>
                <wp:lineTo x="21448" y="20773"/>
                <wp:lineTo x="21517" y="20589"/>
                <wp:lineTo x="21517" y="16361"/>
                <wp:lineTo x="21241" y="16177"/>
                <wp:lineTo x="21517" y="15717"/>
                <wp:lineTo x="21517" y="11949"/>
                <wp:lineTo x="21241" y="11765"/>
                <wp:lineTo x="21517" y="11397"/>
                <wp:lineTo x="21517" y="10754"/>
                <wp:lineTo x="21103" y="10294"/>
                <wp:lineTo x="21517" y="10203"/>
                <wp:lineTo x="21517" y="4504"/>
                <wp:lineTo x="21103" y="4412"/>
                <wp:lineTo x="21517" y="3952"/>
                <wp:lineTo x="21517" y="3309"/>
                <wp:lineTo x="21103" y="2941"/>
                <wp:lineTo x="21448" y="2482"/>
                <wp:lineTo x="21517" y="2298"/>
                <wp:lineTo x="21517" y="0"/>
                <wp:lineTo x="0" y="0"/>
              </wp:wrapPolygon>
            </wp:wrapTight>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66460" cy="447675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7D40B2C0"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color w:val="000000" w:themeColor="text1"/>
          <w:sz w:val="14"/>
          <w:szCs w:val="24"/>
          <w:lang w:eastAsia="it-IT"/>
        </w:rPr>
      </w:pPr>
    </w:p>
    <w:p w14:paraId="36166DB5"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color w:val="000000" w:themeColor="text1"/>
          <w:sz w:val="2"/>
          <w:szCs w:val="24"/>
          <w:lang w:eastAsia="it-IT"/>
        </w:rPr>
      </w:pPr>
    </w:p>
    <w:p w14:paraId="157B7945" w14:textId="77777777" w:rsidR="00F56356" w:rsidRPr="00F56356" w:rsidRDefault="00F56356" w:rsidP="00F56356">
      <w:pPr>
        <w:tabs>
          <w:tab w:val="left" w:pos="284"/>
        </w:tabs>
        <w:spacing w:after="0" w:line="240" w:lineRule="auto"/>
        <w:ind w:left="284"/>
        <w:jc w:val="both"/>
        <w:rPr>
          <w:rFonts w:eastAsia="Times New Roman" w:cstheme="minorHAnsi"/>
          <w:i/>
          <w:color w:val="000000" w:themeColor="text1"/>
          <w:sz w:val="16"/>
          <w:szCs w:val="16"/>
          <w:lang w:eastAsia="it-IT"/>
        </w:rPr>
      </w:pPr>
      <w:r w:rsidRPr="00F56356">
        <w:rPr>
          <w:rFonts w:ascii="Times New Roman" w:eastAsia="Times New Roman" w:hAnsi="Times New Roman" w:cs="Times New Roman"/>
          <w:i/>
          <w:color w:val="000000" w:themeColor="text1"/>
          <w:sz w:val="16"/>
          <w:szCs w:val="16"/>
          <w:lang w:eastAsia="it-IT"/>
        </w:rPr>
        <w:t xml:space="preserve">(*) </w:t>
      </w:r>
      <w:r w:rsidRPr="00F56356">
        <w:rPr>
          <w:rFonts w:eastAsia="Times New Roman" w:cstheme="minorHAnsi"/>
          <w:i/>
          <w:color w:val="000000" w:themeColor="text1"/>
          <w:sz w:val="16"/>
          <w:szCs w:val="16"/>
          <w:lang w:eastAsia="it-IT"/>
        </w:rPr>
        <w:t>Le risorse dei capitoli 679, 698, 699, 707 relative agli oneri connessi al trattamento economico fondamentale del personale di ruolo del Dipartimento della Protezione civile, al fondo unico di Presidenza, agli oneri per Irap, alla copertura assicurativa integrativa per il personale e ai contributi previdenziali, sono state trasferite sui pertinenti capitoli del CR. 1 – Segretariato generale, per la gestione in forma accentrata da parte del Dipartimento per il personale.</w:t>
      </w:r>
    </w:p>
    <w:p w14:paraId="3CE80E9A" w14:textId="77777777" w:rsidR="00F56356" w:rsidRPr="00F56356" w:rsidRDefault="00F56356" w:rsidP="00F56356">
      <w:pPr>
        <w:tabs>
          <w:tab w:val="left" w:pos="0"/>
        </w:tabs>
        <w:spacing w:after="0" w:line="240" w:lineRule="auto"/>
        <w:jc w:val="both"/>
        <w:rPr>
          <w:rFonts w:ascii="Times New Roman" w:eastAsia="Times New Roman" w:hAnsi="Times New Roman" w:cs="Times New Roman"/>
          <w:b/>
          <w:i/>
          <w:color w:val="000000" w:themeColor="text1"/>
          <w:sz w:val="24"/>
          <w:szCs w:val="24"/>
          <w:lang w:eastAsia="it-IT"/>
        </w:rPr>
      </w:pPr>
    </w:p>
    <w:p w14:paraId="2D850F2D" w14:textId="77777777" w:rsidR="00F56356" w:rsidRPr="00F56356" w:rsidRDefault="00F56356" w:rsidP="00F56356">
      <w:pPr>
        <w:tabs>
          <w:tab w:val="left" w:pos="0"/>
        </w:tabs>
        <w:spacing w:after="0" w:line="240" w:lineRule="auto"/>
        <w:jc w:val="both"/>
        <w:rPr>
          <w:rFonts w:ascii="Times New Roman" w:eastAsia="Times New Roman" w:hAnsi="Times New Roman" w:cs="Times New Roman"/>
          <w:b/>
          <w:color w:val="000000" w:themeColor="text1"/>
          <w:sz w:val="24"/>
          <w:szCs w:val="24"/>
          <w:lang w:eastAsia="it-IT"/>
        </w:rPr>
      </w:pPr>
    </w:p>
    <w:p w14:paraId="64A3F408" w14:textId="77777777" w:rsidR="00F56356" w:rsidRPr="00F56356" w:rsidRDefault="00F56356" w:rsidP="00F56356">
      <w:pPr>
        <w:tabs>
          <w:tab w:val="left" w:pos="0"/>
        </w:tabs>
        <w:spacing w:after="0" w:line="240" w:lineRule="auto"/>
        <w:jc w:val="both"/>
        <w:rPr>
          <w:rFonts w:ascii="Times New Roman" w:eastAsia="Times New Roman" w:hAnsi="Times New Roman" w:cs="Times New Roman"/>
          <w:b/>
          <w:color w:val="000000" w:themeColor="text1"/>
          <w:sz w:val="24"/>
          <w:szCs w:val="24"/>
          <w:lang w:eastAsia="it-IT"/>
        </w:rPr>
      </w:pPr>
    </w:p>
    <w:p w14:paraId="00D5CA1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di euro 42.584.304,96 sono state </w:t>
      </w:r>
      <w:proofErr w:type="spellStart"/>
      <w:r w:rsidRPr="00F56356">
        <w:rPr>
          <w:rFonts w:ascii="Times New Roman" w:eastAsia="Times New Roman" w:hAnsi="Times New Roman" w:cs="Times New Roman"/>
          <w:color w:val="000000" w:themeColor="text1"/>
          <w:sz w:val="24"/>
          <w:szCs w:val="24"/>
          <w:lang w:eastAsia="it-IT"/>
        </w:rPr>
        <w:t>state</w:t>
      </w:r>
      <w:proofErr w:type="spellEnd"/>
      <w:r w:rsidRPr="00F56356">
        <w:rPr>
          <w:rFonts w:ascii="Times New Roman" w:eastAsia="Times New Roman" w:hAnsi="Times New Roman" w:cs="Times New Roman"/>
          <w:color w:val="000000" w:themeColor="text1"/>
          <w:sz w:val="24"/>
          <w:szCs w:val="24"/>
          <w:lang w:eastAsia="it-IT"/>
        </w:rPr>
        <w:t xml:space="preserve"> destinate: </w:t>
      </w:r>
    </w:p>
    <w:p w14:paraId="24B5F55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Oneri connessi a contratti di lavoro a tempo determinato, ivi incluse altre forme di lavoro flessibile, di personale impiegato per l’accelerazione e l’attuazione degli investimenti concernenti il dissesto idrogeologico”</w:t>
      </w:r>
      <w:r w:rsidRPr="00F56356">
        <w:rPr>
          <w:rFonts w:ascii="Times New Roman" w:eastAsia="Times New Roman" w:hAnsi="Times New Roman" w:cs="Times New Roman"/>
          <w:color w:val="000000" w:themeColor="text1"/>
          <w:sz w:val="24"/>
          <w:szCs w:val="24"/>
          <w:lang w:eastAsia="it-IT"/>
        </w:rPr>
        <w:t xml:space="preserve"> (cap. 711)</w:t>
      </w:r>
    </w:p>
    <w:p w14:paraId="739224E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26.980.602,00 alle Regioni e alle Province autonome di Trento e Bolzano, ai sensi dell’articolo 1, commi 701 e 702, della legge 30 dicembre 2020, n. 178. Il citato articolo, infatti, ha previsto che per l’accelerazione e l’attuazione degli investimenti concernenti il dissesto idrogeologico, compresi quelli finanziabili tra le linee di azione sulla tutela del territorio nell’ambito del PNRR, le Regioni e le Province autonome, il Dipartimento della protezione civile e i soggetti attuatori indicati in ordinanze di protezione civile possono, sulla base di apposita ricognizione e previo apposito riparto, con decreto del Presidente del Consiglio dei ministri, di concerto con il Ministro dell’economia e delle finanze, fare ricorso a contratti di lavoro a tempo determinato con durata non superiore al 31 dicembre 2021. Tale decreto, a seguito dell’iter con le Regioni per </w:t>
      </w:r>
      <w:r w:rsidRPr="00F56356">
        <w:rPr>
          <w:rFonts w:ascii="Times New Roman" w:eastAsia="Times New Roman" w:hAnsi="Times New Roman" w:cs="Times New Roman"/>
          <w:color w:val="000000" w:themeColor="text1"/>
          <w:sz w:val="24"/>
          <w:szCs w:val="24"/>
          <w:lang w:eastAsia="it-IT"/>
        </w:rPr>
        <w:lastRenderedPageBreak/>
        <w:t xml:space="preserve">effettuare la ricognizione dei fabbisogni necessari e del successivo concerto con il Ministro dell’economia e delle finanze, si è perfezionato con il decreto del Presidente del Consiglio dei ministri 2 luglio 2021, pubblicato nella Gazzetta Ufficiale n. 183 del 2 agosto 2021, comportando tra l’altro che, in ragione del tempo trascorso e del vincolo normativo del 31 dicembre 2021, venisse ripartita soltanto una quota delle risorse disponibili. Pertanto, al fine di non vanificare le attività di reclutamento e formazione avviate e di garantire la prosecuzione del necessario supporto nella realizzazione degli interventi previsti, l’articolo 7, comma 3, del decreto-legge 8 settembre 2021, n. 120, ha previsto la proroga o il rinnovo di tali contratti a tempo determinato, comprese altre forme di lavoro flessibile, sino al 31 ottobre 2023. Pertanto, nell’esercizio 2022, per le finalità sopraindicate, è stato impegnato il suddetto importo complessivo di euro 26.980.602,00; </w:t>
      </w:r>
    </w:p>
    <w:p w14:paraId="489DD75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Oneri derivanti dalla concessione di contributi per l’ammortamento di mutui diversi da quelli attivati a seguito di calamità naturali”</w:t>
      </w:r>
      <w:r w:rsidRPr="00F56356">
        <w:rPr>
          <w:rFonts w:ascii="Times New Roman" w:eastAsia="Times New Roman" w:hAnsi="Times New Roman" w:cs="Times New Roman"/>
          <w:color w:val="000000" w:themeColor="text1"/>
          <w:sz w:val="24"/>
          <w:szCs w:val="24"/>
          <w:lang w:eastAsia="it-IT"/>
        </w:rPr>
        <w:t xml:space="preserve"> (cap. 755)</w:t>
      </w:r>
    </w:p>
    <w:p w14:paraId="6A5C0A89" w14:textId="77777777" w:rsidR="00F56356" w:rsidRPr="00F56356" w:rsidRDefault="00F56356" w:rsidP="00F56356">
      <w:pPr>
        <w:tabs>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3.117.688,57 agli oneri connessi al pagamento di rate di ammortamento di mutui, in particolare: </w:t>
      </w:r>
    </w:p>
    <w:p w14:paraId="680D1E5B" w14:textId="77777777" w:rsidR="00F56356" w:rsidRPr="00F56356" w:rsidRDefault="00F56356" w:rsidP="00F56356">
      <w:pPr>
        <w:tabs>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2.986.582,34 mutuo ex centro polifunzionale di Castelnuovo di Porto;</w:t>
      </w:r>
    </w:p>
    <w:p w14:paraId="5A527B2C" w14:textId="77777777" w:rsidR="00F56356" w:rsidRPr="00F56356" w:rsidRDefault="00F56356" w:rsidP="00F56356">
      <w:pPr>
        <w:tabs>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82.170,43 mutui Regione Abruzzo;</w:t>
      </w:r>
    </w:p>
    <w:p w14:paraId="294C3954" w14:textId="77777777" w:rsidR="00F56356" w:rsidRPr="00F56356" w:rsidRDefault="00F56356" w:rsidP="00F56356">
      <w:pPr>
        <w:tabs>
          <w:tab w:val="left" w:pos="42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48.935,80 mutui Regione Lazio;</w:t>
      </w:r>
    </w:p>
    <w:p w14:paraId="6C40060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“Spese connesse alle attività di previsione, prevenzione e soccorso, ivi compresi la formazione, l’addestramento e le esercitazioni, la partecipazione a corsi e/o convegni nazionali dei componenti dei gruppi, associazioni, enti ed organismi di volontariato di protezione civile censiti ai sensi del decreto ministeriale 12 giugno 1990”</w:t>
      </w:r>
      <w:r w:rsidRPr="00F56356">
        <w:rPr>
          <w:rFonts w:ascii="Times New Roman" w:eastAsia="Times New Roman" w:hAnsi="Times New Roman" w:cs="Times New Roman"/>
          <w:color w:val="000000" w:themeColor="text1"/>
          <w:sz w:val="24"/>
          <w:szCs w:val="24"/>
          <w:lang w:eastAsia="it-IT"/>
        </w:rPr>
        <w:t xml:space="preserve"> (cap. 762) </w:t>
      </w:r>
    </w:p>
    <w:p w14:paraId="6F345BC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691.961,27 al rimborso degli oneri sostenuti dalle organizzazioni di volontariato e dai datori di lavoro per l’impiego dei volontari accreditati presso il sistema nazionale di protezione civile, ai sensi degli articoli 39 e 40 del decreto legislativo 2 gennaio 2018, n.1;</w:t>
      </w:r>
    </w:p>
    <w:p w14:paraId="46B22A0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Somme provenienti da donazioni private per la realizzazione di interventi di protezione civile a seguito di dichiarazioni dello stato di emergenza</w:t>
      </w:r>
      <w:r w:rsidRPr="00F56356">
        <w:rPr>
          <w:rFonts w:ascii="Times New Roman" w:eastAsia="Times New Roman" w:hAnsi="Times New Roman" w:cs="Times New Roman"/>
          <w:color w:val="000000" w:themeColor="text1"/>
          <w:sz w:val="24"/>
          <w:szCs w:val="24"/>
          <w:lang w:eastAsia="it-IT"/>
        </w:rPr>
        <w:t>” (cap. 764)</w:t>
      </w:r>
    </w:p>
    <w:p w14:paraId="3C0319B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10.704.053,12, di cui:</w:t>
      </w:r>
    </w:p>
    <w:p w14:paraId="5DFDA29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10.181.507,20 al Commissario Straordinario per l’Emergenza Covid-19;</w:t>
      </w:r>
    </w:p>
    <w:p w14:paraId="6654893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59.171,00, alla Fondazione IRCCS Policlinico San Matteo;</w:t>
      </w:r>
    </w:p>
    <w:p w14:paraId="54222DC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463.374,92 all’Università degli Studi di Padova;</w:t>
      </w:r>
    </w:p>
    <w:p w14:paraId="3E42D06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Somme provenienti da donazioni private in favore dei familiari degli esercenti le professioni sanitarie e operatori sociosanitari, impegnati nelle azioni di contenimento e gestione dell’emergenza epidemiologica da Covid-19, vittime da contagio”</w:t>
      </w:r>
      <w:r w:rsidRPr="00F56356">
        <w:rPr>
          <w:rFonts w:ascii="Times New Roman" w:eastAsia="Times New Roman" w:hAnsi="Times New Roman" w:cs="Times New Roman"/>
          <w:color w:val="000000" w:themeColor="text1"/>
          <w:sz w:val="24"/>
          <w:szCs w:val="24"/>
          <w:lang w:eastAsia="it-IT"/>
        </w:rPr>
        <w:t xml:space="preserve"> (cap. 765)</w:t>
      </w:r>
    </w:p>
    <w:p w14:paraId="2441161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1.090.000,00 a favore dei familiari degli esercenti le professioni sanitarie e operatori sociosanitari, impegnati nelle azioni di contenimento e gestione dell’emergenza epidemiologica da </w:t>
      </w:r>
      <w:r w:rsidRPr="00F56356">
        <w:rPr>
          <w:rFonts w:ascii="Times New Roman" w:eastAsia="Times New Roman" w:hAnsi="Times New Roman" w:cs="Times New Roman"/>
          <w:color w:val="000000" w:themeColor="text1"/>
          <w:sz w:val="24"/>
          <w:szCs w:val="24"/>
          <w:lang w:eastAsia="it-IT"/>
        </w:rPr>
        <w:lastRenderedPageBreak/>
        <w:t>Covid-19, deceduti per effetto diretto o “come concausa” del contagio da Covid-19, ai sensi di quanto previsto dall’OCDPC 693/2020.</w:t>
      </w:r>
    </w:p>
    <w:p w14:paraId="6FF87B8A" w14:textId="77777777" w:rsidR="00F56356" w:rsidRPr="00F56356" w:rsidRDefault="00F56356" w:rsidP="00F56356">
      <w:pPr>
        <w:tabs>
          <w:tab w:val="left" w:pos="284"/>
          <w:tab w:val="num" w:pos="567"/>
        </w:tabs>
        <w:spacing w:after="0" w:line="360" w:lineRule="auto"/>
        <w:ind w:left="284"/>
        <w:jc w:val="both"/>
        <w:rPr>
          <w:rFonts w:ascii="Times New Roman" w:eastAsia="Times New Roman" w:hAnsi="Times New Roman" w:cs="Times New Roman"/>
          <w:color w:val="FF0000"/>
          <w:sz w:val="12"/>
          <w:szCs w:val="24"/>
          <w:lang w:eastAsia="it-IT"/>
        </w:rPr>
      </w:pPr>
    </w:p>
    <w:p w14:paraId="2AA85685" w14:textId="77777777" w:rsidR="00F56356" w:rsidRPr="00F56356" w:rsidRDefault="00F56356" w:rsidP="00F56356">
      <w:pPr>
        <w:tabs>
          <w:tab w:val="left" w:pos="284"/>
          <w:tab w:val="num" w:pos="567"/>
        </w:tabs>
        <w:spacing w:after="0" w:line="360" w:lineRule="auto"/>
        <w:ind w:left="284"/>
        <w:jc w:val="both"/>
        <w:rPr>
          <w:rFonts w:ascii="Times New Roman" w:eastAsia="Times New Roman" w:hAnsi="Times New Roman" w:cs="Times New Roman"/>
          <w:color w:val="FF0000"/>
          <w:sz w:val="12"/>
          <w:szCs w:val="24"/>
          <w:lang w:eastAsia="it-IT"/>
        </w:rPr>
      </w:pPr>
    </w:p>
    <w:p w14:paraId="170BE9AF" w14:textId="77777777" w:rsidR="00F56356" w:rsidRPr="00F56356" w:rsidRDefault="00F56356" w:rsidP="00F56356">
      <w:pPr>
        <w:tabs>
          <w:tab w:val="left" w:pos="0"/>
        </w:tabs>
        <w:spacing w:after="0" w:line="360" w:lineRule="auto"/>
        <w:ind w:left="360"/>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p w14:paraId="3F10AF59" w14:textId="77777777" w:rsidR="00F56356" w:rsidRPr="00F56356" w:rsidRDefault="00F56356" w:rsidP="00F56356">
      <w:pPr>
        <w:tabs>
          <w:tab w:val="left" w:pos="0"/>
        </w:tabs>
        <w:spacing w:after="0" w:line="360" w:lineRule="auto"/>
        <w:ind w:left="360"/>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009BA0E3" wp14:editId="6D77CA4D">
            <wp:extent cx="5943600" cy="2028825"/>
            <wp:effectExtent l="0" t="0" r="0" b="952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5012" cy="2029307"/>
                    </a:xfrm>
                    <a:prstGeom prst="rect">
                      <a:avLst/>
                    </a:prstGeom>
                    <a:noFill/>
                    <a:ln>
                      <a:noFill/>
                    </a:ln>
                  </pic:spPr>
                </pic:pic>
              </a:graphicData>
            </a:graphic>
          </wp:inline>
        </w:drawing>
      </w:r>
    </w:p>
    <w:p w14:paraId="7E23BBD3" w14:textId="77777777" w:rsidR="00F56356" w:rsidRPr="00F56356" w:rsidRDefault="00F56356" w:rsidP="00F56356">
      <w:pPr>
        <w:tabs>
          <w:tab w:val="left" w:pos="0"/>
        </w:tabs>
        <w:spacing w:after="0" w:line="360" w:lineRule="auto"/>
        <w:ind w:left="360"/>
        <w:jc w:val="center"/>
        <w:rPr>
          <w:rFonts w:ascii="Times New Roman" w:eastAsia="Times New Roman" w:hAnsi="Times New Roman" w:cs="Times New Roman"/>
          <w:color w:val="FF0000"/>
          <w:sz w:val="24"/>
          <w:szCs w:val="24"/>
          <w:lang w:eastAsia="it-IT"/>
        </w:rPr>
      </w:pPr>
    </w:p>
    <w:p w14:paraId="3BE98D55" w14:textId="77777777" w:rsidR="00F56356" w:rsidRPr="00F56356" w:rsidRDefault="00F56356" w:rsidP="00F56356">
      <w:pPr>
        <w:tabs>
          <w:tab w:val="left" w:pos="0"/>
        </w:tabs>
        <w:spacing w:after="0" w:line="360" w:lineRule="auto"/>
        <w:ind w:left="360"/>
        <w:jc w:val="center"/>
        <w:rPr>
          <w:rFonts w:ascii="Times New Roman" w:eastAsia="Times New Roman" w:hAnsi="Times New Roman" w:cs="Times New Roman"/>
          <w:color w:val="FF0000"/>
          <w:sz w:val="24"/>
          <w:szCs w:val="24"/>
          <w:lang w:eastAsia="it-IT"/>
        </w:rPr>
      </w:pPr>
    </w:p>
    <w:p w14:paraId="09DFBD2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2.2.3 </w:t>
      </w:r>
      <w:r w:rsidRPr="00F56356">
        <w:rPr>
          <w:rFonts w:ascii="Times New Roman" w:eastAsia="Times New Roman" w:hAnsi="Times New Roman" w:cs="Times New Roman"/>
          <w:color w:val="000000" w:themeColor="text1"/>
          <w:sz w:val="24"/>
          <w:szCs w:val="24"/>
          <w:lang w:eastAsia="it-IT"/>
        </w:rPr>
        <w:t xml:space="preserve">Le risorse impegnate per le spese in conto capitale pari a euro 2.054.194.278,62, di cui euro 1.827.431,03 riferiti a reiscrizioni di residui passivi perenti, sono state destinate: </w:t>
      </w:r>
    </w:p>
    <w:p w14:paraId="6767B79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dirette a fronteggiare lo stato di emergenza in relazione agli eventi sismici che hanno colpito la Regione Abruzzo” </w:t>
      </w:r>
      <w:r w:rsidRPr="00F56356">
        <w:rPr>
          <w:rFonts w:ascii="Times New Roman" w:eastAsia="Times New Roman" w:hAnsi="Times New Roman" w:cs="Times New Roman"/>
          <w:color w:val="000000" w:themeColor="text1"/>
          <w:sz w:val="24"/>
          <w:szCs w:val="24"/>
          <w:lang w:eastAsia="it-IT"/>
        </w:rPr>
        <w:t>(cap. 702)</w:t>
      </w:r>
    </w:p>
    <w:p w14:paraId="10FAE77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479.182,40 al rimborso delle spese legali e risarcimento danni a seguito dell’atto transattivo 8 febbraio 2022;</w:t>
      </w:r>
    </w:p>
    <w:p w14:paraId="048E57E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Fondo per la prevenzione del rischio sismico”</w:t>
      </w:r>
      <w:r w:rsidRPr="00F56356">
        <w:rPr>
          <w:rFonts w:ascii="Times New Roman" w:eastAsia="Times New Roman" w:hAnsi="Times New Roman" w:cs="Times New Roman"/>
          <w:color w:val="000000" w:themeColor="text1"/>
          <w:sz w:val="24"/>
          <w:szCs w:val="24"/>
          <w:lang w:eastAsia="it-IT"/>
        </w:rPr>
        <w:t xml:space="preserve"> (cap. 703)</w:t>
      </w:r>
    </w:p>
    <w:p w14:paraId="63CF486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1.309.339,10 a valere sul Fondo per la prevenzione del rischio sismico, di cui:</w:t>
      </w:r>
    </w:p>
    <w:p w14:paraId="2219918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100.000,00 riferiti a reiscrizioni di residui passivi perenti;</w:t>
      </w:r>
    </w:p>
    <w:p w14:paraId="49F1AAE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1.200.000,00 a favore dell’Istituto di Geologia Ambientale e Geoingegneria - IGAG CNR;</w:t>
      </w:r>
    </w:p>
    <w:p w14:paraId="57367A9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9.339,10 per oneri connessi al revisore contabile (Ria Grant Thornton S.p.A.);</w:t>
      </w:r>
    </w:p>
    <w:p w14:paraId="6009094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“Somme destinate alla ricostruzione delle aeree colpite dal sisma del 20-29 maggio 2012”</w:t>
      </w:r>
      <w:r w:rsidRPr="00F56356">
        <w:rPr>
          <w:rFonts w:ascii="Times New Roman" w:eastAsia="Times New Roman" w:hAnsi="Times New Roman" w:cs="Times New Roman"/>
          <w:color w:val="000000" w:themeColor="text1"/>
          <w:sz w:val="24"/>
          <w:szCs w:val="24"/>
          <w:lang w:eastAsia="it-IT"/>
        </w:rPr>
        <w:t xml:space="preserve"> (cap. 706)</w:t>
      </w:r>
    </w:p>
    <w:p w14:paraId="55B5EB9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16.911.496,58, di cui:</w:t>
      </w:r>
    </w:p>
    <w:p w14:paraId="3F1CEBC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15.906.496,58 a favore della Regione Emilia-Romagna, in particolare euro 1.061.496,58 di cui all’articolo 10, commi 14 e 14 bis, del decreto-legge 22 giugno 2012, n. 83, convertito, con modificazioni, dalla legge 7 agosto 2012, n. 134 e </w:t>
      </w:r>
      <w:proofErr w:type="spellStart"/>
      <w:proofErr w:type="gramStart"/>
      <w:r w:rsidRPr="00F56356">
        <w:rPr>
          <w:rFonts w:ascii="Times New Roman" w:eastAsia="Times New Roman" w:hAnsi="Times New Roman" w:cs="Times New Roman"/>
          <w:color w:val="000000" w:themeColor="text1"/>
          <w:sz w:val="24"/>
          <w:szCs w:val="24"/>
          <w:lang w:eastAsia="it-IT"/>
        </w:rPr>
        <w:t>ss.mm.ii</w:t>
      </w:r>
      <w:proofErr w:type="spellEnd"/>
      <w:proofErr w:type="gramEnd"/>
      <w:r w:rsidRPr="00F56356">
        <w:rPr>
          <w:rFonts w:ascii="Times New Roman" w:eastAsia="Times New Roman" w:hAnsi="Times New Roman" w:cs="Times New Roman"/>
          <w:color w:val="000000" w:themeColor="text1"/>
          <w:sz w:val="24"/>
          <w:szCs w:val="24"/>
          <w:lang w:eastAsia="it-IT"/>
        </w:rPr>
        <w:t>, per il periodo dal 1° gennaio 2020 al 31 dicembre 2020, euro 13.845.000,00, di cui all’art. 1, comma 459, della legge 30 dicembre 2021, n. 234 ed euro 1.000.000,00 ai sensi dell’articolo 17, comma 4, del decreto-legge 9 agosto 2022, n. 115;</w:t>
      </w:r>
    </w:p>
    <w:p w14:paraId="538E3A4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1.005.000,00 a favore della Regione Lombardia, di cui all’articolo 1, comma 459, della legge 30 dicembre 2021, n. 234;</w:t>
      </w:r>
    </w:p>
    <w:p w14:paraId="125DF7A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Spese per la realizzazione di programmi, progetti e monitoraggi finalizzati ad attività di protezione civile e alla sorveglianza tecnico-scientifica dei rischi naturali e antropici”</w:t>
      </w:r>
      <w:r w:rsidRPr="00F56356">
        <w:rPr>
          <w:rFonts w:ascii="Times New Roman" w:eastAsia="Times New Roman" w:hAnsi="Times New Roman" w:cs="Times New Roman"/>
          <w:color w:val="000000" w:themeColor="text1"/>
          <w:sz w:val="24"/>
          <w:szCs w:val="24"/>
          <w:lang w:eastAsia="it-IT"/>
        </w:rPr>
        <w:t xml:space="preserve"> (cap. 715)</w:t>
      </w:r>
    </w:p>
    <w:p w14:paraId="39F391C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27.567.799,95, di cui euro 459.395,65 riferiti a reiscrizione di residui passivi perenti, a copertura degli Accordi e/o Convenzioni stipulate dal Dipartimento con enti e istituti di ricerca pubblici e privati che svolgono istituzionalmente le attività tecnico-scientifiche finalizzate alla previsione e prevenzione delle emergenze</w:t>
      </w:r>
      <w:bookmarkStart w:id="54" w:name="_Hlk133574120"/>
      <w:r w:rsidRPr="00F56356">
        <w:rPr>
          <w:rFonts w:ascii="Times New Roman" w:eastAsia="Times New Roman" w:hAnsi="Times New Roman" w:cs="Times New Roman"/>
          <w:color w:val="000000" w:themeColor="text1"/>
          <w:sz w:val="24"/>
          <w:szCs w:val="24"/>
          <w:lang w:eastAsia="it-IT"/>
        </w:rPr>
        <w:t>.</w:t>
      </w:r>
      <w:bookmarkEnd w:id="54"/>
      <w:r w:rsidRPr="00F56356">
        <w:rPr>
          <w:rFonts w:ascii="Times New Roman" w:eastAsia="Times New Roman" w:hAnsi="Times New Roman" w:cs="Times New Roman"/>
          <w:color w:val="000000" w:themeColor="text1"/>
          <w:sz w:val="24"/>
          <w:szCs w:val="24"/>
          <w:lang w:eastAsia="it-IT"/>
        </w:rPr>
        <w:t xml:space="preserve"> In particolare, euro 4.766.741,33 sono stati impegnati per attività riguardanti il rischio idrogeologico, euro 20.666.460,82 per il rischio sismico e vulcanico, euro 551.904,00 per attività di potenziamento delle colonne mobili nazionali delle organizzazioni di volontariato, euro 93.185,00 per attività relative alla diffusione della conoscenza della protezione civile ed euro 936.716,00 per attività di supporto in tema di acquisizione di beni e servizi per la gestione delle emergenze. Inoltre, euro 93.397,15 sono stati destinati al pagamento del RTI Ria Grant Thornton S.p.A. e A.C.G. Auditing &amp; Consulting Group S.r.l., quale revisore esterno cui compete il riscontro amministrativo-contabile del rendiconto di spesa per le Convenzioni, ai sensi del D.P.C.M. del 14 settembre 2012;</w:t>
      </w:r>
    </w:p>
    <w:p w14:paraId="502D12C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Spese connesse alla realizzazione di radar metereologici e cofinanziamento delle reti di monitoraggio e sorveglianza di interesse nazionale fiduciarie di protezione civile”</w:t>
      </w:r>
      <w:r w:rsidRPr="00F56356">
        <w:rPr>
          <w:rFonts w:ascii="Times New Roman" w:eastAsia="Times New Roman" w:hAnsi="Times New Roman" w:cs="Times New Roman"/>
          <w:color w:val="000000" w:themeColor="text1"/>
          <w:sz w:val="24"/>
          <w:szCs w:val="24"/>
          <w:lang w:eastAsia="it-IT"/>
        </w:rPr>
        <w:t xml:space="preserve"> (cap. 747)</w:t>
      </w:r>
    </w:p>
    <w:p w14:paraId="6C373E8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9.683.114,20, di cui euro 21.433,42 riferiti a reiscrizioni di residui passivi perenti, alle spese connesse alla gestione, all’ammodernamento e al potenziamento delle reti di monitoraggio e sorveglianza dei fenomeni calamitosi e per la fornitura del servizio di manutenzione preventiva e correttiva, di connettività satellitare e terrestre e di assistenza sistemistica per i lotti della rete radar del Dipartimento, </w:t>
      </w:r>
      <w:bookmarkStart w:id="55" w:name="_Hlk133574636"/>
      <w:r w:rsidRPr="00F56356">
        <w:rPr>
          <w:rFonts w:ascii="Times New Roman" w:eastAsia="Times New Roman" w:hAnsi="Times New Roman" w:cs="Times New Roman"/>
          <w:color w:val="000000" w:themeColor="text1"/>
          <w:sz w:val="24"/>
          <w:szCs w:val="24"/>
          <w:lang w:eastAsia="it-IT"/>
        </w:rPr>
        <w:t xml:space="preserve">in particolare </w:t>
      </w:r>
      <w:bookmarkEnd w:id="55"/>
      <w:r w:rsidRPr="00F56356">
        <w:rPr>
          <w:rFonts w:ascii="Times New Roman" w:eastAsia="Times New Roman" w:hAnsi="Times New Roman" w:cs="Times New Roman"/>
          <w:color w:val="000000" w:themeColor="text1"/>
          <w:sz w:val="24"/>
          <w:szCs w:val="24"/>
          <w:lang w:eastAsia="it-IT"/>
        </w:rPr>
        <w:t xml:space="preserve">per acquisto di beni e servizi relativi alla Rete accelerometrica nazionale (RAN), all’Osservatorio Sismico delle strutture (OSS) e alla manutenzione della rete GPS, per l’acquisto, la gestione e la manutenzione della rete radar nazionale e per la manutenzione dei software di acquisizione dei dati </w:t>
      </w:r>
      <w:proofErr w:type="spellStart"/>
      <w:r w:rsidRPr="00F56356">
        <w:rPr>
          <w:rFonts w:ascii="Times New Roman" w:eastAsia="Times New Roman" w:hAnsi="Times New Roman" w:cs="Times New Roman"/>
          <w:color w:val="000000" w:themeColor="text1"/>
          <w:sz w:val="24"/>
          <w:szCs w:val="24"/>
          <w:lang w:eastAsia="it-IT"/>
        </w:rPr>
        <w:t>idropluviometrici</w:t>
      </w:r>
      <w:proofErr w:type="spellEnd"/>
      <w:r w:rsidRPr="00F56356">
        <w:rPr>
          <w:rFonts w:ascii="Times New Roman" w:eastAsia="Times New Roman" w:hAnsi="Times New Roman" w:cs="Times New Roman"/>
          <w:color w:val="000000" w:themeColor="text1"/>
          <w:sz w:val="24"/>
          <w:szCs w:val="24"/>
          <w:lang w:eastAsia="it-IT"/>
        </w:rPr>
        <w:t>;</w:t>
      </w:r>
    </w:p>
    <w:p w14:paraId="1E679FA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 “</w:t>
      </w:r>
      <w:r w:rsidRPr="00F56356">
        <w:rPr>
          <w:rFonts w:ascii="Times New Roman" w:eastAsia="Times New Roman" w:hAnsi="Times New Roman" w:cs="Times New Roman"/>
          <w:i/>
          <w:color w:val="000000" w:themeColor="text1"/>
          <w:sz w:val="24"/>
          <w:szCs w:val="24"/>
          <w:lang w:eastAsia="it-IT"/>
        </w:rPr>
        <w:t>Spese per la realizzazione di progetti cofinanziati dall’Unione europea per le attività connesse alla protezione civile”</w:t>
      </w:r>
      <w:r w:rsidRPr="00F56356">
        <w:rPr>
          <w:rFonts w:ascii="Times New Roman" w:eastAsia="Times New Roman" w:hAnsi="Times New Roman" w:cs="Times New Roman"/>
          <w:color w:val="000000" w:themeColor="text1"/>
          <w:sz w:val="24"/>
          <w:szCs w:val="24"/>
          <w:lang w:eastAsia="it-IT"/>
        </w:rPr>
        <w:t xml:space="preserve"> (cap. 750)</w:t>
      </w:r>
    </w:p>
    <w:p w14:paraId="0863DFC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8.232.176,85 alle attività connesse a progetti ed esercitazioni di protezione civile cofinanziati dalla Commissione Europea, in particolare:</w:t>
      </w:r>
    </w:p>
    <w:p w14:paraId="7A8D55B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4.652.203,15 Progetto Europeo RESCUE TRANSITION;</w:t>
      </w:r>
    </w:p>
    <w:p w14:paraId="1B1D7D8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 xml:space="preserve">euro 1.784.882,61 per il Meccanismo </w:t>
      </w:r>
      <w:proofErr w:type="spellStart"/>
      <w:r w:rsidRPr="00F56356">
        <w:rPr>
          <w:rFonts w:ascii="Times New Roman" w:eastAsia="Times New Roman" w:hAnsi="Times New Roman" w:cs="Times New Roman"/>
          <w:color w:val="000000" w:themeColor="text1"/>
          <w:sz w:val="24"/>
          <w:szCs w:val="24"/>
          <w:lang w:eastAsia="it-IT"/>
        </w:rPr>
        <w:t>Unionale</w:t>
      </w:r>
      <w:proofErr w:type="spellEnd"/>
      <w:r w:rsidRPr="00F56356">
        <w:rPr>
          <w:rFonts w:ascii="Times New Roman" w:eastAsia="Times New Roman" w:hAnsi="Times New Roman" w:cs="Times New Roman"/>
          <w:color w:val="000000" w:themeColor="text1"/>
          <w:sz w:val="24"/>
          <w:szCs w:val="24"/>
          <w:lang w:eastAsia="it-IT"/>
        </w:rPr>
        <w:t xml:space="preserve"> di Protezione Civile;</w:t>
      </w:r>
    </w:p>
    <w:p w14:paraId="5565AB9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1.129.622,12 Progetto Europeo IPA FF;</w:t>
      </w:r>
    </w:p>
    <w:p w14:paraId="387489E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586.679,98 Corsi CMI 2017 (16° Ciclo);</w:t>
      </w:r>
    </w:p>
    <w:p w14:paraId="69DA8E9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48.560,05 restituzione somme a favore della Commissione Europea;</w:t>
      </w:r>
    </w:p>
    <w:p w14:paraId="009E5CB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w:t>
      </w:r>
      <w:r w:rsidRPr="00F56356">
        <w:rPr>
          <w:rFonts w:ascii="Times New Roman" w:eastAsia="Times New Roman" w:hAnsi="Times New Roman" w:cs="Times New Roman"/>
          <w:color w:val="000000" w:themeColor="text1"/>
          <w:sz w:val="24"/>
          <w:szCs w:val="24"/>
          <w:lang w:eastAsia="it-IT"/>
        </w:rPr>
        <w:tab/>
        <w:t>euro 24.444,49 Progetto Europeo BOSS4GMES;</w:t>
      </w:r>
    </w:p>
    <w:p w14:paraId="5657314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5.559,42 Progetto europeo H-SAF-CDOP-3;</w:t>
      </w:r>
    </w:p>
    <w:p w14:paraId="6A0AE42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225,03 Progetto Europeo NEIFLEX;</w:t>
      </w:r>
    </w:p>
    <w:p w14:paraId="3EDFDD0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 “</w:t>
      </w:r>
      <w:r w:rsidRPr="00F56356">
        <w:rPr>
          <w:rFonts w:ascii="Times New Roman" w:eastAsia="Times New Roman" w:hAnsi="Times New Roman" w:cs="Times New Roman"/>
          <w:i/>
          <w:color w:val="000000" w:themeColor="text1"/>
          <w:sz w:val="24"/>
          <w:szCs w:val="24"/>
          <w:lang w:eastAsia="it-IT"/>
        </w:rPr>
        <w:t>Spese dirette a fronteggiare lo stato di emergenza in relazione agli eventi sismici di cui alle delibere del Consiglio dei Ministri del 22 e 30 maggio 2012”</w:t>
      </w:r>
      <w:r w:rsidRPr="00F56356">
        <w:rPr>
          <w:rFonts w:ascii="Times New Roman" w:eastAsia="Times New Roman" w:hAnsi="Times New Roman" w:cs="Times New Roman"/>
          <w:color w:val="000000" w:themeColor="text1"/>
          <w:sz w:val="24"/>
          <w:szCs w:val="24"/>
          <w:lang w:eastAsia="it-IT"/>
        </w:rPr>
        <w:t xml:space="preserve"> (cap. 754)</w:t>
      </w:r>
    </w:p>
    <w:p w14:paraId="2D2E164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1.250,00 riferiti a reiscrizioni di residui passivi perenti;</w:t>
      </w:r>
    </w:p>
    <w:p w14:paraId="5C18798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h) “</w:t>
      </w:r>
      <w:r w:rsidRPr="00F56356">
        <w:rPr>
          <w:rFonts w:ascii="Times New Roman" w:eastAsia="Times New Roman" w:hAnsi="Times New Roman" w:cs="Times New Roman"/>
          <w:i/>
          <w:color w:val="000000" w:themeColor="text1"/>
          <w:sz w:val="24"/>
          <w:szCs w:val="24"/>
          <w:lang w:eastAsia="it-IT"/>
        </w:rPr>
        <w:t>Spese per attività di coordinamento della flotta di Stato anti incendio boschivo”</w:t>
      </w:r>
      <w:r w:rsidRPr="00F56356">
        <w:rPr>
          <w:rFonts w:ascii="Times New Roman" w:eastAsia="Times New Roman" w:hAnsi="Times New Roman" w:cs="Times New Roman"/>
          <w:color w:val="000000" w:themeColor="text1"/>
          <w:sz w:val="24"/>
          <w:szCs w:val="24"/>
          <w:lang w:eastAsia="it-IT"/>
        </w:rPr>
        <w:t xml:space="preserve"> (cap. 756)</w:t>
      </w:r>
    </w:p>
    <w:p w14:paraId="31FA250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2.888.283,01 per l’utilizzo di mezzi aerei impiegati nella campagna AIB estiva e nella lotta attiva agli incendi boschivi, in particolare:</w:t>
      </w:r>
    </w:p>
    <w:p w14:paraId="646C3FB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2.177.738,21 in favore dello Stato Maggiore della Difesa;</w:t>
      </w:r>
    </w:p>
    <w:p w14:paraId="27D5EB3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400.000,00 in favore del Dipartimento dei Vigili del Fuoco;</w:t>
      </w:r>
    </w:p>
    <w:p w14:paraId="54AE31C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310.544,80 in favore dell’Arma dei Carabinieri;</w:t>
      </w:r>
    </w:p>
    <w:p w14:paraId="39B8054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 </w:t>
      </w:r>
      <w:r w:rsidRPr="00F56356">
        <w:rPr>
          <w:rFonts w:ascii="Times New Roman" w:eastAsia="Times New Roman" w:hAnsi="Times New Roman" w:cs="Times New Roman"/>
          <w:i/>
          <w:iCs/>
          <w:color w:val="000000" w:themeColor="text1"/>
          <w:sz w:val="24"/>
          <w:szCs w:val="24"/>
          <w:lang w:eastAsia="it-IT"/>
        </w:rPr>
        <w:t>“Investimenti relativi all’acquisto dei sistemi abitativi ed alle spese connesse per la predisposizione dei siti e delle installazioni</w:t>
      </w:r>
      <w:r w:rsidRPr="00F56356">
        <w:rPr>
          <w:rFonts w:ascii="Times New Roman" w:eastAsia="Times New Roman" w:hAnsi="Times New Roman" w:cs="Times New Roman"/>
          <w:i/>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 xml:space="preserve"> (cap. 757)</w:t>
      </w:r>
    </w:p>
    <w:p w14:paraId="63AFE6F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62.485,66 all’acquisto e la gestione di beni mobili, attrezzature e apparecchiature per la gestione delle emergenze di protezione civile, in particolare euro 59.199,30 per acquisto di beni vari di protezione civile ed euro 3.286,36 per spese di pubblicazione bandi di gara;</w:t>
      </w:r>
    </w:p>
    <w:p w14:paraId="6E3C479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l) </w:t>
      </w:r>
      <w:r w:rsidRPr="00F56356">
        <w:rPr>
          <w:rFonts w:ascii="Times New Roman" w:eastAsia="Times New Roman" w:hAnsi="Times New Roman" w:cs="Times New Roman"/>
          <w:i/>
          <w:iCs/>
          <w:color w:val="000000" w:themeColor="text1"/>
          <w:sz w:val="24"/>
          <w:szCs w:val="24"/>
          <w:lang w:eastAsia="it-IT"/>
        </w:rPr>
        <w:t>“Contributi</w:t>
      </w:r>
      <w:r w:rsidRPr="00F56356">
        <w:rPr>
          <w:rFonts w:ascii="Times New Roman" w:eastAsia="Times New Roman" w:hAnsi="Times New Roman" w:cs="Times New Roman"/>
          <w:i/>
          <w:color w:val="000000" w:themeColor="text1"/>
          <w:sz w:val="24"/>
          <w:szCs w:val="24"/>
          <w:lang w:eastAsia="it-IT"/>
        </w:rPr>
        <w:t xml:space="preserve"> ai gruppi, associazioni, enti ed organismi di volontariato di protezione civile censiti ai sensi del D.M. 12/6/1990 per l'acquisto di mezzi ed attrezzature necessarie per l’espletamento delle attività di soccorso in caso di emergenza”</w:t>
      </w:r>
      <w:r w:rsidRPr="00F56356">
        <w:rPr>
          <w:rFonts w:ascii="Times New Roman" w:eastAsia="Times New Roman" w:hAnsi="Times New Roman" w:cs="Times New Roman"/>
          <w:color w:val="000000" w:themeColor="text1"/>
          <w:sz w:val="24"/>
          <w:szCs w:val="24"/>
          <w:lang w:eastAsia="it-IT"/>
        </w:rPr>
        <w:t xml:space="preserve"> (cap. 761)</w:t>
      </w:r>
    </w:p>
    <w:p w14:paraId="1993CFC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3.460.007,30, di cui euro 11.255,46 riferiti a reiscrizioni di residui passivi perenti, a copertura degli oneri connessi alla corresponsione di contributi finalizzati al potenziamento delle attrezzature e dei mezzi impiegati nelle emergenze nazionali, in particolare euro 1.630.209,45 per le organizzazioni di volontariato, euro 1.273.949,50 per le Colonne mobili regionali ed euro 555.848,35 per progetti di livello territoriale;</w:t>
      </w:r>
    </w:p>
    <w:p w14:paraId="5697412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m) </w:t>
      </w:r>
      <w:r w:rsidRPr="00F56356">
        <w:rPr>
          <w:rFonts w:ascii="Times New Roman" w:eastAsia="Times New Roman" w:hAnsi="Times New Roman" w:cs="Times New Roman"/>
          <w:i/>
          <w:iCs/>
          <w:color w:val="000000" w:themeColor="text1"/>
          <w:sz w:val="24"/>
          <w:szCs w:val="24"/>
          <w:lang w:eastAsia="it-IT"/>
        </w:rPr>
        <w:t>“I</w:t>
      </w:r>
      <w:r w:rsidRPr="00F56356">
        <w:rPr>
          <w:rFonts w:ascii="Times New Roman" w:eastAsia="Times New Roman" w:hAnsi="Times New Roman" w:cs="Times New Roman"/>
          <w:i/>
          <w:color w:val="000000" w:themeColor="text1"/>
          <w:sz w:val="24"/>
          <w:szCs w:val="24"/>
          <w:lang w:eastAsia="it-IT"/>
        </w:rPr>
        <w:t>nvestimenti destinati alle attività di previsione e prevenzione dei rischi, alla realizzazione di sistemi di allertamento e alla pianificazione di protezione civile”</w:t>
      </w:r>
      <w:r w:rsidRPr="00F56356">
        <w:rPr>
          <w:rFonts w:ascii="Times New Roman" w:eastAsia="Times New Roman" w:hAnsi="Times New Roman" w:cs="Times New Roman"/>
          <w:color w:val="000000" w:themeColor="text1"/>
          <w:sz w:val="24"/>
          <w:szCs w:val="24"/>
          <w:lang w:eastAsia="it-IT"/>
        </w:rPr>
        <w:t xml:space="preserve"> (cap. 763)</w:t>
      </w:r>
    </w:p>
    <w:p w14:paraId="03AAC3D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2.448.095,38, di cui euro 752.095,38 riferiti a reiscrizioni di residui passivi perenti, alla copertura delle convenzioni con CIMA – IT ALERT e con CNR IMAA – IT ALERT;</w:t>
      </w:r>
    </w:p>
    <w:p w14:paraId="4928E18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 “</w:t>
      </w:r>
      <w:r w:rsidRPr="00F56356">
        <w:rPr>
          <w:rFonts w:ascii="Times New Roman" w:eastAsia="Times New Roman" w:hAnsi="Times New Roman" w:cs="Times New Roman"/>
          <w:i/>
          <w:color w:val="000000" w:themeColor="text1"/>
          <w:sz w:val="24"/>
          <w:szCs w:val="24"/>
          <w:lang w:eastAsia="it-IT"/>
        </w:rPr>
        <w:t>Spese dirette a fronteggiare lo stato di emergenza conseguente agli eventi sismici che hanno colpito il Centro Italia a partire dal 24 agosto 2016”</w:t>
      </w:r>
      <w:r w:rsidRPr="00F56356">
        <w:rPr>
          <w:rFonts w:ascii="Times New Roman" w:eastAsia="Times New Roman" w:hAnsi="Times New Roman" w:cs="Times New Roman"/>
          <w:color w:val="000000" w:themeColor="text1"/>
          <w:sz w:val="24"/>
          <w:szCs w:val="24"/>
          <w:lang w:eastAsia="it-IT"/>
        </w:rPr>
        <w:t xml:space="preserve"> (cap. 766)</w:t>
      </w:r>
    </w:p>
    <w:p w14:paraId="4061F07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124.923.936,71 a copertura delle spese per attività connesse con gli eventi sismici verificatesi a partire dal 24 agosto 2016 nelle Regioni del Centro Italia, di cui:</w:t>
      </w:r>
    </w:p>
    <w:p w14:paraId="08538E1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375.500,00 riferiti a reiscrizioni di residui passivi perenti; </w:t>
      </w:r>
    </w:p>
    <w:p w14:paraId="087F591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123.037.779,19 alle Regioni interessate dagli eventi a copertura degli oneri sostenuti per le attività di soccorso e assistenza alla popolazione, per l’allestimento e la gestione delle aree e strutture temporanee di accoglienza, per l’assistenza alberghiera, per le misure provvisionali di messa in sicurezza, per l’erogazione dei contributi di autonoma sistemazione (CAS), per la realizzazione delle strutture abitative di emergenza (SAE), per i moduli abitativi provvisori rurali emergenziali (MAPRE), per edifici e strutture modulari ad uso scolastico, per la delocalizzazione delle attività economiche e produttive;</w:t>
      </w:r>
    </w:p>
    <w:p w14:paraId="188A3C9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1.268.562,76 per le spese di personale;</w:t>
      </w:r>
    </w:p>
    <w:p w14:paraId="0A43809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608.412,49 per la stipula di Convenzioni;</w:t>
      </w:r>
    </w:p>
    <w:p w14:paraId="5AA9E85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9.182,27 per il rimborso degli oneri di volontariato;</w:t>
      </w:r>
    </w:p>
    <w:p w14:paraId="4344361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o) “</w:t>
      </w:r>
      <w:r w:rsidRPr="00F56356">
        <w:rPr>
          <w:rFonts w:ascii="Times New Roman" w:eastAsia="Times New Roman" w:hAnsi="Times New Roman" w:cs="Times New Roman"/>
          <w:i/>
          <w:color w:val="000000" w:themeColor="text1"/>
          <w:sz w:val="24"/>
          <w:szCs w:val="24"/>
          <w:lang w:eastAsia="it-IT"/>
        </w:rPr>
        <w:t>Fondo per la prevenzione e lotta contro gli incendi boschivi”</w:t>
      </w:r>
      <w:r w:rsidRPr="00F56356">
        <w:rPr>
          <w:rFonts w:ascii="Times New Roman" w:eastAsia="Times New Roman" w:hAnsi="Times New Roman" w:cs="Times New Roman"/>
          <w:color w:val="000000" w:themeColor="text1"/>
          <w:sz w:val="24"/>
          <w:szCs w:val="24"/>
          <w:lang w:eastAsia="it-IT"/>
        </w:rPr>
        <w:t xml:space="preserve"> (cap. 954)</w:t>
      </w:r>
    </w:p>
    <w:p w14:paraId="2ADCD9D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40.000.000,00 a favore delle Regioni e delle Province Autonome di Trento e Bolzano e altre amministrazioni centrali, in particolare:</w:t>
      </w:r>
    </w:p>
    <w:p w14:paraId="759CF44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635.251,88 Regione Abruzzo;</w:t>
      </w:r>
    </w:p>
    <w:p w14:paraId="2153267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432.531,26 Regione Basilicata;</w:t>
      </w:r>
    </w:p>
    <w:p w14:paraId="0DF7C71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899.648,11 Regione Calabria;</w:t>
      </w:r>
    </w:p>
    <w:p w14:paraId="759DED6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1.374.834,24 Regione Campania;</w:t>
      </w:r>
    </w:p>
    <w:p w14:paraId="46AAB5F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1.330.975,56 Regione Emilia-Romagna;</w:t>
      </w:r>
    </w:p>
    <w:p w14:paraId="1E14455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544.099,12 Regione Friuli-Venezia Giulia;</w:t>
      </w:r>
    </w:p>
    <w:p w14:paraId="0AB5B8D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1.546.164,35 Regione Lazio;</w:t>
      </w:r>
    </w:p>
    <w:p w14:paraId="7880981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614.720,37 Regione Liguria;</w:t>
      </w:r>
    </w:p>
    <w:p w14:paraId="7858C7C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2.320.985,81 Regione Lombardia;</w:t>
      </w:r>
    </w:p>
    <w:p w14:paraId="00F6356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547.237,54 Regione Marche;</w:t>
      </w:r>
    </w:p>
    <w:p w14:paraId="006C7FB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191.682,61 Regione Molise;</w:t>
      </w:r>
    </w:p>
    <w:p w14:paraId="5D6CAFF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1.619.792,12 Regione Piemonte;</w:t>
      </w:r>
    </w:p>
    <w:p w14:paraId="2DA7F20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835.116,02 Regione Puglia;</w:t>
      </w:r>
    </w:p>
    <w:p w14:paraId="1EFBFC5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1.427.480,28 Regione Sardegna;</w:t>
      </w:r>
    </w:p>
    <w:p w14:paraId="440C3F4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1.139.059,01 Regione Sicilia;</w:t>
      </w:r>
    </w:p>
    <w:p w14:paraId="24E3ED3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1.723.506,34 Regione Toscana;</w:t>
      </w:r>
    </w:p>
    <w:p w14:paraId="57113FA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518.923,82 Regione Umbria;</w:t>
      </w:r>
    </w:p>
    <w:p w14:paraId="4BC5067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122.144,56 Regione Valle d’Aosta;</w:t>
      </w:r>
    </w:p>
    <w:p w14:paraId="6095368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1.248.987,96 Regione Veneto;</w:t>
      </w:r>
    </w:p>
    <w:p w14:paraId="5758CCB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446.005,75 Provincia Autonoma di Bolzano;</w:t>
      </w:r>
    </w:p>
    <w:p w14:paraId="04B1E71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480.853,29 Provincia Autonoma di Trento;</w:t>
      </w:r>
    </w:p>
    <w:p w14:paraId="37FA2A3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2.300.796,00 Dipartimento della Protezione Civile;</w:t>
      </w:r>
    </w:p>
    <w:p w14:paraId="1331DB1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w:t>
      </w:r>
      <w:r w:rsidRPr="00F56356">
        <w:rPr>
          <w:rFonts w:ascii="Times New Roman" w:eastAsia="Times New Roman" w:hAnsi="Times New Roman" w:cs="Times New Roman"/>
          <w:color w:val="000000" w:themeColor="text1"/>
          <w:sz w:val="24"/>
          <w:szCs w:val="24"/>
          <w:lang w:eastAsia="it-IT"/>
        </w:rPr>
        <w:tab/>
        <w:t>euro 17.454,00 Ministero della Difesa Arma dei Carabinieri;</w:t>
      </w:r>
    </w:p>
    <w:p w14:paraId="7AAFD9A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16.126.729,00 Ministero dell’Interno Dipartimento dei Vigili del Fuoco;</w:t>
      </w:r>
    </w:p>
    <w:p w14:paraId="473DA7A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1.555.021,00 Ministero della Difesa Forze Armate;</w:t>
      </w:r>
    </w:p>
    <w:p w14:paraId="235545F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p) </w:t>
      </w:r>
      <w:r w:rsidRPr="00F56356">
        <w:rPr>
          <w:rFonts w:ascii="Times New Roman" w:eastAsia="Times New Roman" w:hAnsi="Times New Roman" w:cs="Times New Roman"/>
          <w:i/>
          <w:iCs/>
          <w:color w:val="000000" w:themeColor="text1"/>
          <w:sz w:val="24"/>
          <w:szCs w:val="24"/>
          <w:lang w:eastAsia="it-IT"/>
        </w:rPr>
        <w:t>“F</w:t>
      </w:r>
      <w:r w:rsidRPr="00F56356">
        <w:rPr>
          <w:rFonts w:ascii="Times New Roman" w:eastAsia="Times New Roman" w:hAnsi="Times New Roman" w:cs="Times New Roman"/>
          <w:i/>
          <w:color w:val="000000" w:themeColor="text1"/>
          <w:sz w:val="24"/>
          <w:szCs w:val="24"/>
          <w:lang w:eastAsia="it-IT"/>
        </w:rPr>
        <w:t xml:space="preserve">ondo per gli investimenti </w:t>
      </w:r>
      <w:bookmarkStart w:id="56" w:name="_Hlk133577229"/>
      <w:r w:rsidRPr="00F56356">
        <w:rPr>
          <w:rFonts w:ascii="Times New Roman" w:eastAsia="Times New Roman" w:hAnsi="Times New Roman" w:cs="Times New Roman"/>
          <w:i/>
          <w:color w:val="000000" w:themeColor="text1"/>
          <w:sz w:val="24"/>
          <w:szCs w:val="24"/>
          <w:lang w:eastAsia="it-IT"/>
        </w:rPr>
        <w:t xml:space="preserve">delle Regioni e delle Province autonome colpite da eventi calamitosi </w:t>
      </w:r>
      <w:bookmarkEnd w:id="56"/>
      <w:r w:rsidRPr="00F56356">
        <w:rPr>
          <w:rFonts w:ascii="Times New Roman" w:eastAsia="Times New Roman" w:hAnsi="Times New Roman" w:cs="Times New Roman"/>
          <w:i/>
          <w:color w:val="000000" w:themeColor="text1"/>
          <w:sz w:val="24"/>
          <w:szCs w:val="24"/>
          <w:lang w:eastAsia="it-IT"/>
        </w:rPr>
        <w:t>(art. 24-quater D.L 23 ottobre 2018, n. 119)”</w:t>
      </w:r>
      <w:r w:rsidRPr="00F56356">
        <w:rPr>
          <w:rFonts w:ascii="Times New Roman" w:eastAsia="Times New Roman" w:hAnsi="Times New Roman" w:cs="Times New Roman"/>
          <w:color w:val="000000" w:themeColor="text1"/>
          <w:sz w:val="24"/>
          <w:szCs w:val="24"/>
          <w:lang w:eastAsia="it-IT"/>
        </w:rPr>
        <w:t xml:space="preserve"> (cap. 956)</w:t>
      </w:r>
    </w:p>
    <w:p w14:paraId="196A43E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4.722.923,74 ai trasferimenti relativi al Fondo per gli investimenti delle Regioni e delle Province autonome colpite da eventi calamitosi verificatisi nei mesi di settembre e ottobre dell’anno 2018, istituito dell’articolo 24-quater del decreto-legge 23 ottobre 2018, n. 119, convertito, con modificazioni, dalla legge  17 dicembre 2018, n. 136, destinato,</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in particolare, alle esigenze per  investimenti nei settori di spesa dell’edilizia pubblica, comprese le manutenzioni e la sicurezza, della manutenzione della rete viaria e del dissesto idrogeologico. In attuazione della citata normativa, con DPCM 4 aprile 2019, sono stati individuati i criteri di riparto, gli enti destinatari e gli importi per ciascun beneficiario;</w:t>
      </w:r>
    </w:p>
    <w:p w14:paraId="1CBC356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q)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per investimenti relativi alle ricorrenti emergenze”</w:t>
      </w:r>
      <w:r w:rsidRPr="00F56356">
        <w:rPr>
          <w:rFonts w:ascii="Times New Roman" w:eastAsia="Times New Roman" w:hAnsi="Times New Roman" w:cs="Times New Roman"/>
          <w:color w:val="000000" w:themeColor="text1"/>
          <w:sz w:val="24"/>
          <w:szCs w:val="24"/>
          <w:lang w:eastAsia="it-IT"/>
        </w:rPr>
        <w:t xml:space="preserve"> (cap. 957)</w:t>
      </w:r>
    </w:p>
    <w:p w14:paraId="7B59C8F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800.000,00 alla prosecuzione e/o al completamento di interventi relativi a pregressi contesti emergenziali. In particolare, il predetto importo è stato impegnato per l’Accordo sottoscritto il 24 gennaio 2019 con l’Agenzia delle Entrate per la stima del valore di mercato dei terreni interessati dagli interventi disposti per far fronte alla situazione di emergenza conseguente alla riattivazione del movimento franoso nel territorio del Comune di Montaguto (AV);</w:t>
      </w:r>
    </w:p>
    <w:p w14:paraId="3E7FCB6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r)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Oneri derivanti dalla concessione di contributi per l’ammortamento di mutui diversi da quelli attivati a seguito di calamità naturali”</w:t>
      </w:r>
      <w:r w:rsidRPr="00F56356">
        <w:rPr>
          <w:rFonts w:ascii="Times New Roman" w:eastAsia="Times New Roman" w:hAnsi="Times New Roman" w:cs="Times New Roman"/>
          <w:color w:val="000000" w:themeColor="text1"/>
          <w:sz w:val="24"/>
          <w:szCs w:val="24"/>
          <w:lang w:eastAsia="it-IT"/>
        </w:rPr>
        <w:t xml:space="preserve"> (cap. 958)</w:t>
      </w:r>
    </w:p>
    <w:p w14:paraId="47AB0B4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7.241.312,41 alla liquidazione delle rate di ammortamento di mutui contratti dalle Regioni per l’organizzazione di alcuni “Grandi Eventi”, in particolare:</w:t>
      </w:r>
    </w:p>
    <w:p w14:paraId="07DB987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3.172.418,64 per il mutuo ex centro polifunzionale di Castelnuovo di Porto;</w:t>
      </w:r>
    </w:p>
    <w:p w14:paraId="0E754E5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2.617.829,57 per n. 2 mutui Regione Abruzzo;</w:t>
      </w:r>
    </w:p>
    <w:p w14:paraId="454A7D0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1.451.064,20 per n. 2 mutui Regione Lazio;</w:t>
      </w:r>
    </w:p>
    <w:p w14:paraId="55AA415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 </w:t>
      </w:r>
      <w:r w:rsidRPr="00F56356">
        <w:rPr>
          <w:rFonts w:ascii="Times New Roman" w:eastAsia="Times New Roman" w:hAnsi="Times New Roman" w:cs="Times New Roman"/>
          <w:i/>
          <w:color w:val="000000" w:themeColor="text1"/>
          <w:sz w:val="24"/>
          <w:szCs w:val="24"/>
          <w:lang w:eastAsia="it-IT"/>
        </w:rPr>
        <w:t>“Acquisto e manutenzione dei mezzi occorrenti per le operazioni di concorso al soccorso della popolazione civile (art. 41, D.L. n. 50/2017)”</w:t>
      </w:r>
      <w:r w:rsidRPr="00F56356">
        <w:rPr>
          <w:rFonts w:ascii="Times New Roman" w:eastAsia="Times New Roman" w:hAnsi="Times New Roman" w:cs="Times New Roman"/>
          <w:color w:val="000000" w:themeColor="text1"/>
          <w:sz w:val="24"/>
          <w:szCs w:val="24"/>
          <w:lang w:eastAsia="it-IT"/>
        </w:rPr>
        <w:t xml:space="preserve"> (cap. 960)</w:t>
      </w:r>
    </w:p>
    <w:p w14:paraId="7F99865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106.501,12 riferiti a reiscrizioni di residui passivi perenti;</w:t>
      </w:r>
    </w:p>
    <w:p w14:paraId="3FC47CD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t) </w:t>
      </w:r>
      <w:r w:rsidRPr="00F56356">
        <w:rPr>
          <w:rFonts w:ascii="Times New Roman" w:eastAsia="Times New Roman" w:hAnsi="Times New Roman" w:cs="Times New Roman"/>
          <w:i/>
          <w:iCs/>
          <w:color w:val="000000" w:themeColor="text1"/>
          <w:sz w:val="24"/>
          <w:szCs w:val="24"/>
          <w:lang w:eastAsia="it-IT"/>
        </w:rPr>
        <w:t>“S</w:t>
      </w:r>
      <w:r w:rsidRPr="00F56356">
        <w:rPr>
          <w:rFonts w:ascii="Times New Roman" w:eastAsia="Times New Roman" w:hAnsi="Times New Roman" w:cs="Times New Roman"/>
          <w:i/>
          <w:color w:val="000000" w:themeColor="text1"/>
          <w:sz w:val="24"/>
          <w:szCs w:val="24"/>
          <w:lang w:eastAsia="it-IT"/>
        </w:rPr>
        <w:t>pese per lo sviluppo del sistema informativo</w:t>
      </w:r>
      <w:r w:rsidRPr="00F56356">
        <w:rPr>
          <w:rFonts w:ascii="Times New Roman" w:eastAsia="Times New Roman" w:hAnsi="Times New Roman" w:cs="Times New Roman"/>
          <w:i/>
          <w:iCs/>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961)</w:t>
      </w:r>
    </w:p>
    <w:p w14:paraId="6FF73DD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2.175.485,73, di cui:</w:t>
      </w:r>
    </w:p>
    <w:p w14:paraId="7B0B6DB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1.086.639,63 per software;</w:t>
      </w:r>
    </w:p>
    <w:p w14:paraId="007CE9D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900.491,70 per hardware;</w:t>
      </w:r>
    </w:p>
    <w:p w14:paraId="53228C6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188.354,40 per la rete informatica;</w:t>
      </w:r>
    </w:p>
    <w:p w14:paraId="6F7236D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u)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Investimenti strutturali e infrastrutturali urgenti per la mitigazione del rischio idraulico e idrogeologico”</w:t>
      </w:r>
      <w:r w:rsidRPr="00F56356">
        <w:rPr>
          <w:rFonts w:ascii="Times New Roman" w:eastAsia="Times New Roman" w:hAnsi="Times New Roman" w:cs="Times New Roman"/>
          <w:color w:val="000000" w:themeColor="text1"/>
          <w:sz w:val="24"/>
          <w:szCs w:val="24"/>
          <w:lang w:eastAsia="it-IT"/>
        </w:rPr>
        <w:t xml:space="preserve"> (cap. 962).</w:t>
      </w:r>
    </w:p>
    <w:p w14:paraId="0BADF9F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105.008.036,99 ai trasferimenti alle Regioni e alle Province Autonome relativi agli investimenti strutturali e infrastrutturali urgenti, di cui all’articolo 25, comma 2, lettere d) ed e), del codice di cui al decreto legislativo 2 gennaio 2018, n. 1, finalizzati esclusivamente alla mitigazione del rischio idraulico e idrogeologico nonché all’aumento del livello di resilienza delle strutture e infrastrutture individuate dai rispettivi Commissari delegati. </w:t>
      </w:r>
    </w:p>
    <w:p w14:paraId="2C5A82D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La legge 30 dicembre 2018, n. 145 (legge di bilancio 2019), l’articolo 1, comma 1028, aveva stanziato 800 milioni di euro per il 2019 e 900 milioni di euro per ciascuno degli anni 2020 e 2021. Con decreto del Presidente del Consiglio dei ministri del 27 febbraio 2019 sono state assegnate ai Commissari delegati e alle Province autonome di Trento e Bolzano, ovvero ai soggetti responsabili di cui all’articolo 26, comma 1, del decreto legislativo 2 gennaio 2018, n. 1, le suddette risorse finanziarie,  finalizzate agli interventi per la riduzione del rischio residuo nelle aree colpite dagli eventi calamitosi, agli investimenti strutturali e infrastrutturali urgenti, pubblici e privati, nonché ai danni subiti dalle attività economiche e produttive, dai beni culturali e paesaggistici e dal patrimonio edilizio; nell’esercizio finanziario 2022 i trasferimenti effettuati in favore di ciascuna Regione e/o Provincia Autonoma sono stati pari a complessivi euro 105.008.036,99, di cui euro 75.640.662,40 riferiti all’annualità 2020 ed euro 29.367.374,59 per l’annualità 2021;</w:t>
      </w:r>
    </w:p>
    <w:p w14:paraId="275B633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v) “</w:t>
      </w:r>
      <w:r w:rsidRPr="00F56356">
        <w:rPr>
          <w:rFonts w:ascii="Times New Roman" w:eastAsia="Times New Roman" w:hAnsi="Times New Roman" w:cs="Times New Roman"/>
          <w:i/>
          <w:color w:val="000000" w:themeColor="text1"/>
          <w:sz w:val="24"/>
          <w:szCs w:val="24"/>
          <w:lang w:eastAsia="it-IT"/>
        </w:rPr>
        <w:t>Spese dirette a fronteggiare lo stato di emergenza relativa al rischio sanitario connesso all’insorgenza di patologie derivanti da agenti virali trasmissibili”</w:t>
      </w:r>
      <w:r w:rsidRPr="00F56356">
        <w:rPr>
          <w:rFonts w:ascii="Times New Roman" w:eastAsia="Times New Roman" w:hAnsi="Times New Roman" w:cs="Times New Roman"/>
          <w:color w:val="000000" w:themeColor="text1"/>
          <w:sz w:val="24"/>
          <w:szCs w:val="24"/>
          <w:lang w:eastAsia="it-IT"/>
        </w:rPr>
        <w:t xml:space="preserve"> (cap. 963)</w:t>
      </w:r>
    </w:p>
    <w:p w14:paraId="77F9929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232.450.539,67 per superare lo stato di emergenza dichiarato con delibera del Consiglio dei ministri del 31 gennaio 2020, relativamente al rischio sanitario connesso all’insorgenza di patologie derivanti da agenti virali trasmissibili cd. Emergenza COVID-19, in particolare:</w:t>
      </w:r>
    </w:p>
    <w:p w14:paraId="3C79766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125.692.117,49 ai trasferimenti in favore del Soggetto Attuatore Migranti;</w:t>
      </w:r>
    </w:p>
    <w:p w14:paraId="1ABF6B0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38.862.154,64 agli oneri di volontariato;</w:t>
      </w:r>
    </w:p>
    <w:p w14:paraId="3C7A258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17.758.650,16 ai trasferimenti alle Regioni, in via di anticipazione;</w:t>
      </w:r>
    </w:p>
    <w:p w14:paraId="34FE0C5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17.391.221,90 al reclutamento di task force di medici, infermieri e operatori sociosanitari;</w:t>
      </w:r>
    </w:p>
    <w:p w14:paraId="112C928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10.446.140,53 alla gestione e alla raccolta dei rifiuti extra contratto;</w:t>
      </w:r>
    </w:p>
    <w:p w14:paraId="75FE9AA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7.984.400,71 a titolo di rimborso spese per l’assistenza alberghiera ai positivi/quarantenati;</w:t>
      </w:r>
    </w:p>
    <w:p w14:paraId="4380402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6.208.478,71 all’allestimento di aree/strutture temporanee di accoglienza (tendopoli/altre strutture);</w:t>
      </w:r>
    </w:p>
    <w:p w14:paraId="2A28F9D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5.176.386,23 a titolo di rimborso per oneri di personale;</w:t>
      </w:r>
    </w:p>
    <w:p w14:paraId="0105B4B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1.983.771,98 ad altre attività di protezione civile;</w:t>
      </w:r>
    </w:p>
    <w:p w14:paraId="52F3149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678.850,77 all’assistenza domiciliare dei positivi/quarantenati;</w:t>
      </w:r>
    </w:p>
    <w:p w14:paraId="5268E61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w:t>
      </w:r>
      <w:r w:rsidRPr="00F56356">
        <w:rPr>
          <w:rFonts w:ascii="Times New Roman" w:eastAsia="Times New Roman" w:hAnsi="Times New Roman" w:cs="Times New Roman"/>
          <w:color w:val="000000" w:themeColor="text1"/>
          <w:sz w:val="24"/>
          <w:szCs w:val="24"/>
          <w:lang w:eastAsia="it-IT"/>
        </w:rPr>
        <w:tab/>
        <w:t>euro 137.581,02 all’acquisto e distribuzione di materiale igienico-sanitario e dispositivi di protezione individuale;</w:t>
      </w:r>
    </w:p>
    <w:p w14:paraId="1D4F65A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130.785,53 all’acquisto e noleggio di materiali e mezzi;</w:t>
      </w:r>
    </w:p>
    <w:p w14:paraId="09FCAAF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z) </w:t>
      </w:r>
      <w:r w:rsidRPr="00F56356">
        <w:rPr>
          <w:rFonts w:ascii="Times New Roman" w:eastAsia="Times New Roman" w:hAnsi="Times New Roman" w:cs="Times New Roman"/>
          <w:i/>
          <w:color w:val="000000" w:themeColor="text1"/>
          <w:sz w:val="24"/>
          <w:szCs w:val="24"/>
          <w:lang w:eastAsia="it-IT"/>
        </w:rPr>
        <w:t>“Fondo per la realizzazione degli interventi urgenti e la ricognizione dei fabbisogni previsti dall’articolo 25, comma 2, lettere d) ed e), del decreto legislativo n. 1 del 2018 per i danni causati al territorio nazionale dagli eventi alluvionali verificatisi negli anni 2019 e 2020”</w:t>
      </w:r>
      <w:r w:rsidRPr="00F56356">
        <w:rPr>
          <w:rFonts w:ascii="Times New Roman" w:eastAsia="Times New Roman" w:hAnsi="Times New Roman" w:cs="Times New Roman"/>
          <w:color w:val="000000" w:themeColor="text1"/>
          <w:sz w:val="24"/>
          <w:szCs w:val="24"/>
          <w:lang w:eastAsia="it-IT"/>
        </w:rPr>
        <w:t xml:space="preserve"> (cap. 965)</w:t>
      </w:r>
    </w:p>
    <w:p w14:paraId="3D36942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187.000.000,00, ai sensi dell’OCDPC 814/2021 (Ripartizione fondi L. 178/2020), di cui:</w:t>
      </w:r>
    </w:p>
    <w:p w14:paraId="71DE634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 xml:space="preserve">euro 63.696,31 Basilicata; </w:t>
      </w:r>
    </w:p>
    <w:p w14:paraId="7B935CB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4.998.484,15 Calabria;</w:t>
      </w:r>
    </w:p>
    <w:p w14:paraId="5F5945C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6.419.413,93 Campania;</w:t>
      </w:r>
    </w:p>
    <w:p w14:paraId="7ED6C70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9.706.484,60 Emilia-Romagna;</w:t>
      </w:r>
    </w:p>
    <w:p w14:paraId="109E01F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10.163.244,80 Friuli-Venezia Giulia;</w:t>
      </w:r>
    </w:p>
    <w:p w14:paraId="18BDC04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1.438.569,94 Lazio;</w:t>
      </w:r>
    </w:p>
    <w:p w14:paraId="428697C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22.189.398,19 Liguria;</w:t>
      </w:r>
    </w:p>
    <w:p w14:paraId="407945F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725.577,69 Marche;</w:t>
      </w:r>
    </w:p>
    <w:p w14:paraId="077D258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78.463.650,01 Piemonte;</w:t>
      </w:r>
    </w:p>
    <w:p w14:paraId="6715E3B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1.625.404,93 Sicilia;</w:t>
      </w:r>
    </w:p>
    <w:p w14:paraId="4DCCDED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11.064.406,02 Toscana;</w:t>
      </w:r>
    </w:p>
    <w:p w14:paraId="478E646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1.286.078,23 Valle d’Aosta;</w:t>
      </w:r>
    </w:p>
    <w:p w14:paraId="3CAFA6E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euro 38.855.591,20 Veneto.</w:t>
      </w:r>
    </w:p>
    <w:p w14:paraId="39A1D43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aa) “</w:t>
      </w:r>
      <w:r w:rsidRPr="00F56356">
        <w:rPr>
          <w:rFonts w:ascii="Times New Roman" w:eastAsia="Times New Roman" w:hAnsi="Times New Roman" w:cs="Times New Roman"/>
          <w:i/>
          <w:color w:val="000000" w:themeColor="text1"/>
          <w:sz w:val="24"/>
          <w:szCs w:val="24"/>
          <w:lang w:eastAsia="it-IT"/>
        </w:rPr>
        <w:t>Fondo di Solidarietà Nazionale - Interventi indennizzatori in agricoltura”</w:t>
      </w:r>
      <w:r w:rsidRPr="00F56356">
        <w:rPr>
          <w:rFonts w:ascii="Times New Roman" w:eastAsia="Times New Roman" w:hAnsi="Times New Roman" w:cs="Times New Roman"/>
          <w:color w:val="000000" w:themeColor="text1"/>
          <w:sz w:val="24"/>
          <w:szCs w:val="24"/>
          <w:lang w:eastAsia="it-IT"/>
        </w:rPr>
        <w:t xml:space="preserve"> (cap. 967)</w:t>
      </w:r>
    </w:p>
    <w:p w14:paraId="1056161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13.005.560,00 quale quota per il 2022, di cofinanziamento del Fondo di solidarietà nazionale per gli indennizzi in agricoltura di cui all’articolo 15, comma 3, del decreto legislativo n. 102/2004 come modificato dall’art. 1, comma 84, della legge 30 dicembre 2004, n. 311, per il 2022 in favore del Ministero delle politiche agricole alimentari e forestali;</w:t>
      </w:r>
    </w:p>
    <w:p w14:paraId="519A7CB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roofErr w:type="spellStart"/>
      <w:r w:rsidRPr="00F56356">
        <w:rPr>
          <w:rFonts w:ascii="Times New Roman" w:eastAsia="Times New Roman" w:hAnsi="Times New Roman" w:cs="Times New Roman"/>
          <w:color w:val="000000" w:themeColor="text1"/>
          <w:sz w:val="24"/>
          <w:szCs w:val="24"/>
          <w:lang w:eastAsia="it-IT"/>
        </w:rPr>
        <w:t>bb</w:t>
      </w:r>
      <w:proofErr w:type="spellEnd"/>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 xml:space="preserve">“Eccezionali eventi metereologici che hanno colpito il territorio della Repubblica popolare ucraina nei giorni dal 24 al 29 giugno 2020” </w:t>
      </w:r>
      <w:r w:rsidRPr="00F56356">
        <w:rPr>
          <w:rFonts w:ascii="Times New Roman" w:eastAsia="Times New Roman" w:hAnsi="Times New Roman" w:cs="Times New Roman"/>
          <w:color w:val="000000" w:themeColor="text1"/>
          <w:sz w:val="24"/>
          <w:szCs w:val="24"/>
          <w:lang w:eastAsia="it-IT"/>
        </w:rPr>
        <w:t>(cap. 968)</w:t>
      </w:r>
    </w:p>
    <w:p w14:paraId="2EAE9AA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414.838,76 al rimborso delle spese sostenute per i servizi di trasporto resi nell’ambito delle attività emergenziali;</w:t>
      </w:r>
    </w:p>
    <w:p w14:paraId="7B70826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cc) “</w:t>
      </w:r>
      <w:r w:rsidRPr="00F56356">
        <w:rPr>
          <w:rFonts w:ascii="Times New Roman" w:eastAsia="Times New Roman" w:hAnsi="Times New Roman" w:cs="Times New Roman"/>
          <w:i/>
          <w:color w:val="000000" w:themeColor="text1"/>
          <w:sz w:val="24"/>
          <w:szCs w:val="24"/>
          <w:lang w:eastAsia="it-IT"/>
        </w:rPr>
        <w:t>Spese destinate ad assicurare soccorso ed assistenza alla popolazione ucraina in territorio estero in conseguenza della grave crisi internazionale”</w:t>
      </w:r>
      <w:r w:rsidRPr="00F56356">
        <w:rPr>
          <w:rFonts w:ascii="Times New Roman" w:eastAsia="Times New Roman" w:hAnsi="Times New Roman" w:cs="Times New Roman"/>
          <w:color w:val="000000" w:themeColor="text1"/>
          <w:sz w:val="24"/>
          <w:szCs w:val="24"/>
          <w:lang w:eastAsia="it-IT"/>
        </w:rPr>
        <w:t xml:space="preserve"> (cap. 975)</w:t>
      </w:r>
    </w:p>
    <w:p w14:paraId="2648E73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1.172.105,78 a superare lo stato di emergenza dichiarato con delibera del Consiglio dei ministri del 25 febbraio 2022, relativamente all’esigenza di assicurare, in territorio estero, soccorso e assistenza alla popolazione ucraina in conseguenza della grave crisi internazionale in atto, in particolare:</w:t>
      </w:r>
    </w:p>
    <w:p w14:paraId="55DC065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1.165.562,54 all’invio materiali e attrezzature nell’ambito del meccanismo </w:t>
      </w:r>
      <w:proofErr w:type="spellStart"/>
      <w:r w:rsidRPr="00F56356">
        <w:rPr>
          <w:rFonts w:ascii="Times New Roman" w:eastAsia="Times New Roman" w:hAnsi="Times New Roman" w:cs="Times New Roman"/>
          <w:color w:val="000000" w:themeColor="text1"/>
          <w:sz w:val="24"/>
          <w:szCs w:val="24"/>
          <w:lang w:eastAsia="it-IT"/>
        </w:rPr>
        <w:t>unionale</w:t>
      </w:r>
      <w:proofErr w:type="spellEnd"/>
      <w:r w:rsidRPr="00F56356">
        <w:rPr>
          <w:rFonts w:ascii="Times New Roman" w:eastAsia="Times New Roman" w:hAnsi="Times New Roman" w:cs="Times New Roman"/>
          <w:color w:val="000000" w:themeColor="text1"/>
          <w:sz w:val="24"/>
          <w:szCs w:val="24"/>
          <w:lang w:eastAsia="it-IT"/>
        </w:rPr>
        <w:t xml:space="preserve"> di protezione civile;</w:t>
      </w:r>
    </w:p>
    <w:p w14:paraId="74ED43F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6.543,24 al rimborso di oneri di volontariato;</w:t>
      </w:r>
    </w:p>
    <w:p w14:paraId="4D55A30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roofErr w:type="spellStart"/>
      <w:r w:rsidRPr="00F56356">
        <w:rPr>
          <w:rFonts w:ascii="Times New Roman" w:eastAsia="Times New Roman" w:hAnsi="Times New Roman" w:cs="Times New Roman"/>
          <w:color w:val="000000" w:themeColor="text1"/>
          <w:sz w:val="24"/>
          <w:szCs w:val="24"/>
          <w:lang w:eastAsia="it-IT"/>
        </w:rPr>
        <w:t>dd</w:t>
      </w:r>
      <w:proofErr w:type="spellEnd"/>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iCs/>
          <w:color w:val="000000" w:themeColor="text1"/>
          <w:sz w:val="24"/>
          <w:szCs w:val="24"/>
          <w:lang w:eastAsia="it-IT"/>
        </w:rPr>
        <w:t>“</w:t>
      </w:r>
      <w:r w:rsidRPr="00F56356">
        <w:rPr>
          <w:rFonts w:ascii="Times New Roman" w:eastAsia="Times New Roman" w:hAnsi="Times New Roman" w:cs="Times New Roman"/>
          <w:i/>
          <w:color w:val="000000" w:themeColor="text1"/>
          <w:sz w:val="24"/>
          <w:szCs w:val="24"/>
          <w:lang w:eastAsia="it-IT"/>
        </w:rPr>
        <w:t>Spese destinate ad assicurare soccorso ed assistenza alla popolazione ucraina sul territorio nazionale in conseguenza della grave crisi internazionale”</w:t>
      </w:r>
      <w:r w:rsidRPr="00F56356">
        <w:rPr>
          <w:rFonts w:ascii="Times New Roman" w:eastAsia="Times New Roman" w:hAnsi="Times New Roman" w:cs="Times New Roman"/>
          <w:color w:val="000000" w:themeColor="text1"/>
          <w:sz w:val="24"/>
          <w:szCs w:val="24"/>
          <w:lang w:eastAsia="it-IT"/>
        </w:rPr>
        <w:t xml:space="preserve"> (cap. 976)</w:t>
      </w:r>
    </w:p>
    <w:p w14:paraId="695B982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137.202.831,40 a superare lo stato di emergenza dichiarato con delibera del Consiglio dei ministri del 28 febbraio 2022, relativamente all’esigenza di assicurare, sul territorio nazionale, soccorso e assistenza alla popolazione ucraina in conseguenza della grave crisi internazionale in atto, in particolare:</w:t>
      </w:r>
    </w:p>
    <w:p w14:paraId="79E9303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70.925.610,69 trasferiti alle Regioni a copertura degli oneri sostenuti per le attività di soccorso e assistenza alla popolazione, per strutture temporanee alloggiative e trasporti; </w:t>
      </w:r>
    </w:p>
    <w:p w14:paraId="01EB873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36.000.000,00 a titolo di contributo di sostentamento di cui all’articolo 31, comma 1, lett. b), del decreto-legge 21 marzo 2022;</w:t>
      </w:r>
    </w:p>
    <w:p w14:paraId="43AF561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26.743.020,20 alle convenzioni stipulate con Enti del terzo settore per le attività di accoglienza diffusa;</w:t>
      </w:r>
    </w:p>
    <w:p w14:paraId="3885CB8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1.020.966,10 al rimborso degli oneri di personale della Polizia di Stato e dell’Amministrazione civile del Ministero dell’interno;</w:t>
      </w:r>
    </w:p>
    <w:p w14:paraId="7FDCF1F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875.000,00 alla convenzione UNHCR (art. 4 OCDPC 895/2022);</w:t>
      </w:r>
    </w:p>
    <w:p w14:paraId="5A3BBCB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698.080,29 alle attività di supporto specialistico per </w:t>
      </w:r>
      <w:proofErr w:type="spellStart"/>
      <w:r w:rsidRPr="00F56356">
        <w:rPr>
          <w:rFonts w:ascii="Times New Roman" w:eastAsia="Times New Roman" w:hAnsi="Times New Roman" w:cs="Times New Roman"/>
          <w:i/>
          <w:color w:val="000000" w:themeColor="text1"/>
          <w:sz w:val="24"/>
          <w:szCs w:val="24"/>
          <w:lang w:eastAsia="it-IT"/>
        </w:rPr>
        <w:t>digital</w:t>
      </w:r>
      <w:proofErr w:type="spellEnd"/>
      <w:r w:rsidRPr="00F56356">
        <w:rPr>
          <w:rFonts w:ascii="Times New Roman" w:eastAsia="Times New Roman" w:hAnsi="Times New Roman" w:cs="Times New Roman"/>
          <w:i/>
          <w:color w:val="000000" w:themeColor="text1"/>
          <w:sz w:val="24"/>
          <w:szCs w:val="24"/>
          <w:lang w:eastAsia="it-IT"/>
        </w:rPr>
        <w:t xml:space="preserve"> </w:t>
      </w:r>
      <w:proofErr w:type="spellStart"/>
      <w:r w:rsidRPr="00F56356">
        <w:rPr>
          <w:rFonts w:ascii="Times New Roman" w:eastAsia="Times New Roman" w:hAnsi="Times New Roman" w:cs="Times New Roman"/>
          <w:i/>
          <w:color w:val="000000" w:themeColor="text1"/>
          <w:sz w:val="24"/>
          <w:szCs w:val="24"/>
          <w:lang w:eastAsia="it-IT"/>
        </w:rPr>
        <w:t>trasformation</w:t>
      </w:r>
      <w:proofErr w:type="spellEnd"/>
      <w:r w:rsidRPr="00F56356">
        <w:rPr>
          <w:rFonts w:ascii="Times New Roman" w:eastAsia="Times New Roman" w:hAnsi="Times New Roman" w:cs="Times New Roman"/>
          <w:color w:val="000000" w:themeColor="text1"/>
          <w:sz w:val="24"/>
          <w:szCs w:val="24"/>
          <w:lang w:eastAsia="it-IT"/>
        </w:rPr>
        <w:t xml:space="preserve"> (art. 4 OCDPC 876/2022);</w:t>
      </w:r>
    </w:p>
    <w:p w14:paraId="40C2A70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285.084,00 alla convenzione OIM (art.1 OCDPC 926/2022);</w:t>
      </w:r>
    </w:p>
    <w:p w14:paraId="068F3B8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202.500,00 alla convenzione Poste (art.2 OCDPC 882/2022);</w:t>
      </w:r>
    </w:p>
    <w:p w14:paraId="3FEC289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166.500,00 alla convenzione Università Bocconi (art.5 OCDPC 895/2022);</w:t>
      </w:r>
    </w:p>
    <w:p w14:paraId="61DD6A8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150.000,00 alla convenzione </w:t>
      </w:r>
      <w:proofErr w:type="spellStart"/>
      <w:r w:rsidRPr="00F56356">
        <w:rPr>
          <w:rFonts w:ascii="Times New Roman" w:eastAsia="Times New Roman" w:hAnsi="Times New Roman" w:cs="Times New Roman"/>
          <w:color w:val="000000" w:themeColor="text1"/>
          <w:sz w:val="24"/>
          <w:szCs w:val="24"/>
          <w:lang w:eastAsia="it-IT"/>
        </w:rPr>
        <w:t>Eucentre</w:t>
      </w:r>
      <w:proofErr w:type="spellEnd"/>
      <w:r w:rsidRPr="00F56356">
        <w:rPr>
          <w:rFonts w:ascii="Times New Roman" w:eastAsia="Times New Roman" w:hAnsi="Times New Roman" w:cs="Times New Roman"/>
          <w:color w:val="000000" w:themeColor="text1"/>
          <w:sz w:val="24"/>
          <w:szCs w:val="24"/>
          <w:lang w:eastAsia="it-IT"/>
        </w:rPr>
        <w:t xml:space="preserve"> (art.6 OCDPC 895/2022); </w:t>
      </w:r>
    </w:p>
    <w:p w14:paraId="064C1F0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136.070,12 agli oneri di personale;</w:t>
      </w:r>
    </w:p>
    <w:p w14:paraId="314DFCB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roofErr w:type="spellStart"/>
      <w:r w:rsidRPr="00F56356">
        <w:rPr>
          <w:rFonts w:ascii="Times New Roman" w:eastAsia="Times New Roman" w:hAnsi="Times New Roman" w:cs="Times New Roman"/>
          <w:color w:val="000000" w:themeColor="text1"/>
          <w:sz w:val="24"/>
          <w:szCs w:val="24"/>
          <w:lang w:eastAsia="it-IT"/>
        </w:rPr>
        <w:t>ee</w:t>
      </w:r>
      <w:proofErr w:type="spellEnd"/>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“Fondo per le Emergenze Nazionali</w:t>
      </w:r>
      <w:r w:rsidRPr="00F56356">
        <w:rPr>
          <w:rFonts w:ascii="Times New Roman" w:eastAsia="Times New Roman" w:hAnsi="Times New Roman" w:cs="Times New Roman"/>
          <w:color w:val="000000" w:themeColor="text1"/>
          <w:sz w:val="24"/>
          <w:szCs w:val="24"/>
          <w:lang w:eastAsia="it-IT"/>
        </w:rPr>
        <w:t>” (cap. 979)</w:t>
      </w:r>
    </w:p>
    <w:p w14:paraId="17E40D4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1.124.926.975,88 agli interventi a valere sul Fondo per le emergenze nazionali (FEN), di cui euro 107.943.057,36 per situazioni emergenziali dichiarate nel 2021 e precedenti ed euro 1.016.983.918,52 per situazioni emergenziali dichiarate nel 2022. Rispetto a quest’ultimo importo, euro 515.050.000,00 si riferiscono all’Emergenza Covid-19, vale a dire ai trasferimenti effettuati in favore della contabilità speciale 6198, intestata al Commissario Straordinario,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euro 349.475.455,32 all’emergenza Ucraina ed euro 152.458.463,20 ad altre emergenze.</w:t>
      </w:r>
    </w:p>
    <w:p w14:paraId="22DD799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 conformità a quanto previsto dall’articolo 44, comma 2, del decreto legislativo 2 gennaio 2018, n. 1 (Codice della protezione civile), si dà separata evidenza degli utilizzi del Fondo per le emergenze nazionali.</w:t>
      </w:r>
    </w:p>
    <w:p w14:paraId="258E5CD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Il Fondo per le emergenze nazionali (FEN) è destinato alla copertura finanziaria degli interventi emergenziali relativi a calamità naturali o connesse con l’attività dell’uomo, il cui utilizzo è disposto dal Consiglio dei ministri nell’ambito della delibera che dichiara lo stato di emergenza nazionale.</w:t>
      </w:r>
    </w:p>
    <w:p w14:paraId="618B71E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Lo stanziamento, determinato annualmente dalla legge di bilancio trova allocazione sul capitolo 7441 della Missione “Soccorso civile” – Programma “Protezione civile” – dello stato di previsione della spesa del Ministero dell’economia e delle finanze e, corrispondentemente, sul capitolo 979 “Fondo per le emergenze nazionali” iscritto nel bilancio autonomo della Presidenza del Consiglio dei ministri.</w:t>
      </w:r>
    </w:p>
    <w:p w14:paraId="3D9E6D2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8"/>
          <w:szCs w:val="24"/>
          <w:lang w:eastAsia="it-IT"/>
        </w:rPr>
      </w:pPr>
    </w:p>
    <w:p w14:paraId="01CF86F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Per completezza d’informazione, si precisa infine che nel corso dell’anno 2022 sono state adottate n. 34 delibere, di cui n. 16 recanti ulteriori stanziamenti per stati emergenziali pregressi, n.7 relative all’estensione territoriale di uno stato di emergenza pregresso e n. 11 relative a nuovi stati di emergenza, così ripartite:</w:t>
      </w:r>
    </w:p>
    <w:p w14:paraId="117A1C0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n.  20 in ambito idrogeologico;</w:t>
      </w:r>
    </w:p>
    <w:p w14:paraId="1492386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n.  6 per emergenze internazionali;</w:t>
      </w:r>
    </w:p>
    <w:p w14:paraId="488980B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n.  1 in ambito vulcanico;</w:t>
      </w:r>
    </w:p>
    <w:p w14:paraId="5E1B84A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n.  1 in ambito sismico;</w:t>
      </w:r>
    </w:p>
    <w:p w14:paraId="60BDFAC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n.  5 per emergenze crisi idriche;</w:t>
      </w:r>
    </w:p>
    <w:p w14:paraId="7349750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000000" w:themeColor="text1"/>
          <w:sz w:val="24"/>
          <w:szCs w:val="24"/>
          <w:lang w:eastAsia="it-IT"/>
        </w:rPr>
        <w:tab/>
        <w:t>n.  1 in ambito ambientale per gli incendi boschivi.</w:t>
      </w:r>
    </w:p>
    <w:p w14:paraId="641BB99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Infine, sono state emanate n. 56 OCDPC di rientro nell’ordinario.</w:t>
      </w:r>
    </w:p>
    <w:p w14:paraId="16AB3E6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285D4E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37088" behindDoc="1" locked="0" layoutInCell="1" allowOverlap="1" wp14:anchorId="2798E1C3" wp14:editId="2F19C989">
            <wp:simplePos x="0" y="0"/>
            <wp:positionH relativeFrom="margin">
              <wp:align>right</wp:align>
            </wp:positionH>
            <wp:positionV relativeFrom="paragraph">
              <wp:posOffset>256540</wp:posOffset>
            </wp:positionV>
            <wp:extent cx="5934710" cy="5353685"/>
            <wp:effectExtent l="0" t="0" r="8890" b="0"/>
            <wp:wrapTight wrapText="bothSides">
              <wp:wrapPolygon edited="0">
                <wp:start x="0" y="0"/>
                <wp:lineTo x="0" y="21521"/>
                <wp:lineTo x="21563" y="21521"/>
                <wp:lineTo x="21563" y="0"/>
                <wp:lineTo x="0" y="0"/>
              </wp:wrapPolygon>
            </wp:wrapTight>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4710" cy="535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47EF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5C7077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0F77571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0552A4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0E42E71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7A8315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A7A14E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88189A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C8AEFC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691CDDB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373639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CC0801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0FFE728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F7BA6A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B55627E" wp14:editId="65B02774">
            <wp:extent cx="5908431" cy="1098550"/>
            <wp:effectExtent l="0" t="0" r="0" b="635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25883" cy="1101795"/>
                    </a:xfrm>
                    <a:prstGeom prst="rect">
                      <a:avLst/>
                    </a:prstGeom>
                    <a:noFill/>
                    <a:ln>
                      <a:noFill/>
                    </a:ln>
                  </pic:spPr>
                </pic:pic>
              </a:graphicData>
            </a:graphic>
          </wp:inline>
        </w:drawing>
      </w:r>
    </w:p>
    <w:p w14:paraId="35B4AB02"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40160" behindDoc="1" locked="0" layoutInCell="1" allowOverlap="1" wp14:anchorId="31E6895F" wp14:editId="7430E17E">
            <wp:simplePos x="0" y="0"/>
            <wp:positionH relativeFrom="margin">
              <wp:posOffset>176530</wp:posOffset>
            </wp:positionH>
            <wp:positionV relativeFrom="paragraph">
              <wp:posOffset>-181</wp:posOffset>
            </wp:positionV>
            <wp:extent cx="5943600" cy="7592060"/>
            <wp:effectExtent l="0" t="0" r="0" b="8890"/>
            <wp:wrapTight wrapText="bothSides">
              <wp:wrapPolygon edited="0">
                <wp:start x="0" y="0"/>
                <wp:lineTo x="0" y="4878"/>
                <wp:lineTo x="7962" y="5203"/>
                <wp:lineTo x="0" y="5474"/>
                <wp:lineTo x="0" y="21408"/>
                <wp:lineTo x="7962" y="21571"/>
                <wp:lineTo x="21531" y="21571"/>
                <wp:lineTo x="21531" y="21354"/>
                <wp:lineTo x="21115" y="21192"/>
                <wp:lineTo x="19454" y="20812"/>
                <wp:lineTo x="19454" y="6070"/>
                <wp:lineTo x="20077" y="6070"/>
                <wp:lineTo x="21531" y="5474"/>
                <wp:lineTo x="21531" y="217"/>
                <wp:lineTo x="16062" y="0"/>
                <wp:lineTo x="1869" y="0"/>
                <wp:lineTo x="0" y="0"/>
              </wp:wrapPolygon>
            </wp:wrapTight>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7592060"/>
                    </a:xfrm>
                    <a:prstGeom prst="rect">
                      <a:avLst/>
                    </a:prstGeom>
                    <a:noFill/>
                    <a:ln>
                      <a:noFill/>
                    </a:ln>
                  </pic:spPr>
                </pic:pic>
              </a:graphicData>
            </a:graphic>
            <wp14:sizeRelH relativeFrom="margin">
              <wp14:pctWidth>0</wp14:pctWidth>
            </wp14:sizeRelH>
          </wp:anchor>
        </w:drawing>
      </w:r>
    </w:p>
    <w:p w14:paraId="6F1145D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04B21CD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008E06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F96DFF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A1BA255"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12F844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6F252C3"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095DDAC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09FF41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364F039"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260A5E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0CA728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1198816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2AA3161" w14:textId="77777777" w:rsidR="00F56356" w:rsidRPr="00F56356" w:rsidRDefault="00F56356" w:rsidP="00F56356">
      <w:pPr>
        <w:spacing w:after="0" w:line="240" w:lineRule="auto"/>
        <w:jc w:val="center"/>
        <w:rPr>
          <w:rFonts w:ascii="Times New Roman" w:eastAsia="Times New Roman" w:hAnsi="Times New Roman" w:cs="Times New Roman"/>
          <w:sz w:val="24"/>
          <w:szCs w:val="24"/>
          <w:lang w:eastAsia="it-IT"/>
        </w:rPr>
      </w:pPr>
    </w:p>
    <w:p w14:paraId="76351699"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6DB0ECE8"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377D6DE7"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61EE06DD"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038A4539"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6A8E55A0"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7177C49F"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41184" behindDoc="1" locked="0" layoutInCell="1" allowOverlap="1" wp14:anchorId="124792C4" wp14:editId="5ED62392">
            <wp:simplePos x="0" y="0"/>
            <wp:positionH relativeFrom="column">
              <wp:posOffset>194310</wp:posOffset>
            </wp:positionH>
            <wp:positionV relativeFrom="paragraph">
              <wp:posOffset>3175</wp:posOffset>
            </wp:positionV>
            <wp:extent cx="5864225" cy="8813165"/>
            <wp:effectExtent l="0" t="0" r="3175" b="6985"/>
            <wp:wrapTight wrapText="bothSides">
              <wp:wrapPolygon edited="0">
                <wp:start x="0" y="0"/>
                <wp:lineTo x="0" y="18582"/>
                <wp:lineTo x="10034" y="18676"/>
                <wp:lineTo x="0" y="18909"/>
                <wp:lineTo x="0" y="20310"/>
                <wp:lineTo x="10806" y="20917"/>
                <wp:lineTo x="0" y="21010"/>
                <wp:lineTo x="0" y="21570"/>
                <wp:lineTo x="18945" y="21570"/>
                <wp:lineTo x="21542" y="21524"/>
                <wp:lineTo x="21542" y="21197"/>
                <wp:lineTo x="10806" y="20917"/>
                <wp:lineTo x="14314" y="20310"/>
                <wp:lineTo x="21542" y="20170"/>
                <wp:lineTo x="21542" y="233"/>
                <wp:lineTo x="15156" y="0"/>
                <wp:lineTo x="2316" y="0"/>
                <wp:lineTo x="0" y="0"/>
              </wp:wrapPolygon>
            </wp:wrapTight>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64225" cy="881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EFE60"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42208" behindDoc="1" locked="0" layoutInCell="1" allowOverlap="1" wp14:anchorId="581F84FC" wp14:editId="4C3D956E">
            <wp:simplePos x="0" y="0"/>
            <wp:positionH relativeFrom="margin">
              <wp:posOffset>211455</wp:posOffset>
            </wp:positionH>
            <wp:positionV relativeFrom="paragraph">
              <wp:posOffset>0</wp:posOffset>
            </wp:positionV>
            <wp:extent cx="5784850" cy="4316730"/>
            <wp:effectExtent l="0" t="0" r="6350" b="7620"/>
            <wp:wrapTight wrapText="bothSides">
              <wp:wrapPolygon edited="0">
                <wp:start x="0" y="0"/>
                <wp:lineTo x="0" y="11057"/>
                <wp:lineTo x="10812" y="12201"/>
                <wp:lineTo x="0" y="12392"/>
                <wp:lineTo x="0" y="19541"/>
                <wp:lineTo x="17996" y="19827"/>
                <wp:lineTo x="0" y="20304"/>
                <wp:lineTo x="0" y="21447"/>
                <wp:lineTo x="6544" y="21543"/>
                <wp:lineTo x="7184" y="21543"/>
                <wp:lineTo x="9247" y="21447"/>
                <wp:lineTo x="21553" y="21066"/>
                <wp:lineTo x="21553" y="12392"/>
                <wp:lineTo x="17925" y="12201"/>
                <wp:lineTo x="21553" y="11725"/>
                <wp:lineTo x="21553" y="0"/>
                <wp:lineTo x="0" y="0"/>
              </wp:wrapPolygon>
            </wp:wrapTight>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84850" cy="4316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17108"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7FCA16AB"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43232" behindDoc="0" locked="0" layoutInCell="1" allowOverlap="1" wp14:anchorId="719A8DA6" wp14:editId="513920B3">
            <wp:simplePos x="0" y="0"/>
            <wp:positionH relativeFrom="column">
              <wp:posOffset>2277745</wp:posOffset>
            </wp:positionH>
            <wp:positionV relativeFrom="paragraph">
              <wp:posOffset>259080</wp:posOffset>
            </wp:positionV>
            <wp:extent cx="3674110" cy="1230630"/>
            <wp:effectExtent l="0" t="0" r="2540" b="7620"/>
            <wp:wrapThrough wrapText="bothSides">
              <wp:wrapPolygon edited="0">
                <wp:start x="8288" y="2006"/>
                <wp:lineTo x="0" y="4347"/>
                <wp:lineTo x="0" y="19393"/>
                <wp:lineTo x="17023" y="21399"/>
                <wp:lineTo x="21503" y="21399"/>
                <wp:lineTo x="21503" y="4347"/>
                <wp:lineTo x="15567" y="2006"/>
                <wp:lineTo x="8288" y="2006"/>
              </wp:wrapPolygon>
            </wp:wrapThrough>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74110"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4AB5D"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27BED166"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5E73FBE3"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22931865"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001BA7DF"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4003CCEF"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6CD9CC22"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7A791E5F"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138F239E"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755616AC"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02B0C01F"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51C70DA6"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5C636F79"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6DB86173"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557F7994"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166805E6"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2FB707F2"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38112" behindDoc="1" locked="0" layoutInCell="1" allowOverlap="1" wp14:anchorId="17A85590" wp14:editId="2FE72352">
            <wp:simplePos x="0" y="0"/>
            <wp:positionH relativeFrom="margin">
              <wp:align>right</wp:align>
            </wp:positionH>
            <wp:positionV relativeFrom="paragraph">
              <wp:posOffset>260350</wp:posOffset>
            </wp:positionV>
            <wp:extent cx="5925185" cy="5377815"/>
            <wp:effectExtent l="0" t="0" r="0" b="0"/>
            <wp:wrapTight wrapText="bothSides">
              <wp:wrapPolygon edited="0">
                <wp:start x="0" y="0"/>
                <wp:lineTo x="0" y="21501"/>
                <wp:lineTo x="12986" y="21501"/>
                <wp:lineTo x="13542" y="21424"/>
                <wp:lineTo x="21528" y="20888"/>
                <wp:lineTo x="21528" y="18746"/>
                <wp:lineTo x="21112" y="18363"/>
                <wp:lineTo x="21528" y="18287"/>
                <wp:lineTo x="21528" y="15073"/>
                <wp:lineTo x="20278" y="14691"/>
                <wp:lineTo x="21528" y="14691"/>
                <wp:lineTo x="21528" y="12548"/>
                <wp:lineTo x="21042" y="12242"/>
                <wp:lineTo x="21389" y="12242"/>
                <wp:lineTo x="21528" y="11936"/>
                <wp:lineTo x="21528" y="3749"/>
                <wp:lineTo x="21181" y="3673"/>
                <wp:lineTo x="21528" y="3290"/>
                <wp:lineTo x="21528" y="2755"/>
                <wp:lineTo x="21112" y="2448"/>
                <wp:lineTo x="21459" y="2066"/>
                <wp:lineTo x="21528" y="1913"/>
                <wp:lineTo x="21528" y="0"/>
                <wp:lineTo x="0" y="0"/>
              </wp:wrapPolygon>
            </wp:wrapTight>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25185" cy="537781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1BB89C05"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14461BC6" w14:textId="77777777" w:rsidR="00F56356" w:rsidRPr="00F56356" w:rsidRDefault="00F56356" w:rsidP="00F56356">
      <w:pPr>
        <w:tabs>
          <w:tab w:val="left" w:pos="0"/>
        </w:tabs>
        <w:spacing w:after="0" w:line="360" w:lineRule="auto"/>
        <w:jc w:val="center"/>
        <w:rPr>
          <w:rFonts w:ascii="Times New Roman" w:eastAsia="Times New Roman" w:hAnsi="Times New Roman" w:cs="Times New Roman"/>
          <w:sz w:val="24"/>
          <w:szCs w:val="24"/>
          <w:lang w:eastAsia="it-IT"/>
        </w:rPr>
      </w:pPr>
    </w:p>
    <w:p w14:paraId="60A437FF"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scostamenti tra gli indicatori di bilancio attesi e realizzati sono stati determinati:</w:t>
      </w:r>
    </w:p>
    <w:p w14:paraId="17050CE7"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 capitoli 700 - S</w:t>
      </w:r>
      <w:r w:rsidRPr="00F56356">
        <w:rPr>
          <w:rFonts w:ascii="Times New Roman" w:eastAsia="Times New Roman" w:hAnsi="Times New Roman" w:cs="Times New Roman"/>
          <w:i/>
          <w:color w:val="000000" w:themeColor="text1"/>
          <w:sz w:val="24"/>
          <w:szCs w:val="24"/>
          <w:lang w:eastAsia="it-IT"/>
        </w:rPr>
        <w:t>pese per la gestione del sistema informativo</w:t>
      </w:r>
      <w:r w:rsidRPr="00F56356">
        <w:rPr>
          <w:rFonts w:ascii="Times New Roman" w:eastAsia="Times New Roman" w:hAnsi="Times New Roman" w:cs="Times New Roman"/>
          <w:color w:val="000000" w:themeColor="text1"/>
          <w:sz w:val="24"/>
          <w:szCs w:val="24"/>
          <w:lang w:eastAsia="it-IT"/>
        </w:rPr>
        <w:t xml:space="preserve"> e 737- </w:t>
      </w:r>
      <w:r w:rsidRPr="00F56356">
        <w:rPr>
          <w:rFonts w:ascii="Times New Roman" w:eastAsia="Times New Roman" w:hAnsi="Times New Roman" w:cs="Times New Roman"/>
          <w:i/>
          <w:color w:val="000000" w:themeColor="text1"/>
          <w:sz w:val="24"/>
          <w:szCs w:val="24"/>
          <w:lang w:eastAsia="it-IT"/>
        </w:rPr>
        <w:t xml:space="preserve">Manutenzione e conduzione di immobili, impianti, attrezzature e macchinari, </w:t>
      </w:r>
      <w:r w:rsidRPr="00F56356">
        <w:rPr>
          <w:rFonts w:ascii="Times New Roman" w:eastAsia="Times New Roman" w:hAnsi="Times New Roman" w:cs="Times New Roman"/>
          <w:color w:val="000000" w:themeColor="text1"/>
          <w:sz w:val="24"/>
          <w:szCs w:val="24"/>
          <w:lang w:eastAsia="it-IT"/>
        </w:rPr>
        <w:t>relativamente alla capacità di pagamento, dal fatto che alcune fatturazioni sono risultate non conformi ai lavori eseguiti e pertanto sono in corso di regolarizzazione mediante emissione delle specifiche note di credito;</w:t>
      </w:r>
    </w:p>
    <w:p w14:paraId="37CCB689"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717 - </w:t>
      </w:r>
      <w:r w:rsidRPr="00F56356">
        <w:rPr>
          <w:rFonts w:ascii="Times New Roman" w:eastAsia="Times New Roman" w:hAnsi="Times New Roman" w:cs="Times New Roman"/>
          <w:i/>
          <w:color w:val="000000" w:themeColor="text1"/>
          <w:sz w:val="24"/>
          <w:szCs w:val="24"/>
          <w:lang w:eastAsia="it-IT"/>
        </w:rPr>
        <w:t>Acquisto, manutenzione, noleggio ed esercizio di mezzi di trasporto nonché installazione di accessori, pagamento premi assicurativi</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 ivi compresi quelli relativi al personale in missione in occasione delle emergenze - e copertura rischi del conducente e dei trasportati. spese per permessi comunali di accesso a zone a traffico limitato”, </w:t>
      </w:r>
      <w:r w:rsidRPr="00F56356">
        <w:rPr>
          <w:rFonts w:ascii="Times New Roman" w:eastAsia="Times New Roman" w:hAnsi="Times New Roman" w:cs="Times New Roman"/>
          <w:color w:val="000000" w:themeColor="text1"/>
          <w:sz w:val="24"/>
          <w:szCs w:val="24"/>
          <w:lang w:eastAsia="it-IT"/>
        </w:rPr>
        <w:t>dal fatto che le procedure di gara sul Mercato Elettronico (per le specifiche tecniche richieste) sono andate deserte e pertanto non si è potuto provvedere all’acquisto dei mezzi di trasporto programmati;</w:t>
      </w:r>
    </w:p>
    <w:p w14:paraId="43837D96"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c) per il capitolo 735 - </w:t>
      </w:r>
      <w:r w:rsidRPr="00F56356">
        <w:rPr>
          <w:rFonts w:ascii="Times New Roman" w:eastAsia="Times New Roman" w:hAnsi="Times New Roman" w:cs="Times New Roman"/>
          <w:i/>
          <w:color w:val="000000" w:themeColor="text1"/>
          <w:sz w:val="24"/>
          <w:szCs w:val="24"/>
          <w:lang w:eastAsia="it-IT"/>
        </w:rPr>
        <w:t>Spese postali e telegrafiche nonché per telecomunicazioni di emergenza ivi comprese quelle via satellite</w:t>
      </w:r>
      <w:r w:rsidRPr="00F56356">
        <w:rPr>
          <w:rFonts w:ascii="Times New Roman" w:eastAsia="Times New Roman" w:hAnsi="Times New Roman" w:cs="Times New Roman"/>
          <w:color w:val="000000" w:themeColor="text1"/>
          <w:sz w:val="24"/>
          <w:szCs w:val="24"/>
          <w:lang w:eastAsia="it-IT"/>
        </w:rPr>
        <w:t>, in quanto le spese postali e telegrafiche sono risultate inferiori alle stime previste;</w:t>
      </w:r>
    </w:p>
    <w:p w14:paraId="2675B8D6"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753 - </w:t>
      </w:r>
      <w:r w:rsidRPr="00F56356">
        <w:rPr>
          <w:rFonts w:ascii="Times New Roman" w:eastAsia="Times New Roman" w:hAnsi="Times New Roman" w:cs="Times New Roman"/>
          <w:i/>
          <w:color w:val="000000" w:themeColor="text1"/>
          <w:sz w:val="24"/>
          <w:szCs w:val="24"/>
          <w:lang w:eastAsia="it-IT"/>
        </w:rPr>
        <w:t>Spese connesse alla gestione del servizio di trasporto aereo per le esigenze di mobilità del Dipartimento della protezione civile,</w:t>
      </w:r>
      <w:r w:rsidRPr="00F56356">
        <w:rPr>
          <w:rFonts w:ascii="Times New Roman" w:eastAsia="Times New Roman" w:hAnsi="Times New Roman" w:cs="Times New Roman"/>
          <w:color w:val="000000" w:themeColor="text1"/>
          <w:sz w:val="24"/>
          <w:szCs w:val="24"/>
          <w:lang w:eastAsia="it-IT"/>
        </w:rPr>
        <w:t xml:space="preserve"> dal fatto che lo stanziamento del capitolo era stato previsto in via precauzionale, nell’ipotesi in cui le esigenze connesse alla campagna antincendio boschivo avessero reso necessaria un’attività di volo superiore a quella già prevista nell’accordo n. 1165/2012 con il Ministero della difesa; </w:t>
      </w:r>
    </w:p>
    <w:p w14:paraId="0D40BF50"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e) per il capitolo 703 - </w:t>
      </w:r>
      <w:r w:rsidRPr="00F56356">
        <w:rPr>
          <w:rFonts w:ascii="Times New Roman" w:eastAsia="Times New Roman" w:hAnsi="Times New Roman" w:cs="Times New Roman"/>
          <w:i/>
          <w:color w:val="000000" w:themeColor="text1"/>
          <w:sz w:val="24"/>
          <w:szCs w:val="24"/>
          <w:lang w:eastAsia="it-IT"/>
        </w:rPr>
        <w:t>Fondo per la prevenzione del rischio sismico</w:t>
      </w:r>
      <w:r w:rsidRPr="00F56356">
        <w:rPr>
          <w:rFonts w:ascii="Times New Roman" w:eastAsia="Times New Roman" w:hAnsi="Times New Roman" w:cs="Times New Roman"/>
          <w:color w:val="000000" w:themeColor="text1"/>
          <w:sz w:val="24"/>
          <w:szCs w:val="24"/>
          <w:lang w:eastAsia="it-IT"/>
        </w:rPr>
        <w:t>, in quanto è in corso di istruttoria da parte degli organi competenti l’ordinanza per la disciplina dell’uso delle risorse relative alle annualità 2022 e 2023 per complessivi 100 milioni di euro, in linea con quanto disposto con la precedente ordinanza;</w:t>
      </w:r>
    </w:p>
    <w:p w14:paraId="07F8242D"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f) per il capitolo 757 - </w:t>
      </w:r>
      <w:r w:rsidRPr="00F56356">
        <w:rPr>
          <w:rFonts w:ascii="Times New Roman" w:eastAsia="Times New Roman" w:hAnsi="Times New Roman" w:cs="Times New Roman"/>
          <w:i/>
          <w:color w:val="000000" w:themeColor="text1"/>
          <w:sz w:val="24"/>
          <w:szCs w:val="24"/>
          <w:lang w:eastAsia="it-IT"/>
        </w:rPr>
        <w:t>Investimenti relativi all’acquisto di sistemi abitativi ed alle spese connesse per la predisposizione dei siti e delle installazioni</w:t>
      </w:r>
      <w:r w:rsidRPr="00F56356">
        <w:rPr>
          <w:rFonts w:ascii="Times New Roman" w:eastAsia="Times New Roman" w:hAnsi="Times New Roman" w:cs="Times New Roman"/>
          <w:color w:val="000000" w:themeColor="text1"/>
          <w:sz w:val="24"/>
          <w:szCs w:val="24"/>
          <w:lang w:eastAsia="it-IT"/>
        </w:rPr>
        <w:t xml:space="preserve">, in quanto le attività istruttorie relative alle procedure di gara per gli acquisti programmati non si sono concluse entro la fine dell’esercizio; </w:t>
      </w:r>
    </w:p>
    <w:p w14:paraId="55908A18"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  per il capitolo 954 - </w:t>
      </w:r>
      <w:r w:rsidRPr="00F56356">
        <w:rPr>
          <w:rFonts w:ascii="Times New Roman" w:eastAsia="Times New Roman" w:hAnsi="Times New Roman" w:cs="Times New Roman"/>
          <w:i/>
          <w:color w:val="000000" w:themeColor="text1"/>
          <w:sz w:val="24"/>
          <w:szCs w:val="24"/>
          <w:lang w:eastAsia="it-IT"/>
        </w:rPr>
        <w:t>Fondo per la prevenzione e lotta contro gli incendi boschivi,</w:t>
      </w:r>
      <w:r w:rsidRPr="00F56356">
        <w:rPr>
          <w:rFonts w:ascii="Times New Roman" w:eastAsia="Times New Roman" w:hAnsi="Times New Roman" w:cs="Times New Roman"/>
          <w:color w:val="000000" w:themeColor="text1"/>
          <w:sz w:val="24"/>
          <w:szCs w:val="24"/>
          <w:lang w:eastAsia="it-IT"/>
        </w:rPr>
        <w:t xml:space="preserve"> relativamente alla capacità di pagamento, dalla circostanza che il DPCM di riparto dei fondi è stato registrato in concomitanza con la chiusura dell’esercizio 2022. Pertanto, si provvederà ai relativi trasferimenti nel corso dell’esercizio 2023; </w:t>
      </w:r>
    </w:p>
    <w:p w14:paraId="250E99F4"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h) per i capitoli 682 - </w:t>
      </w:r>
      <w:r w:rsidRPr="00F56356">
        <w:rPr>
          <w:rFonts w:ascii="Times New Roman" w:eastAsia="Times New Roman" w:hAnsi="Times New Roman" w:cs="Times New Roman"/>
          <w:i/>
          <w:color w:val="000000" w:themeColor="text1"/>
          <w:sz w:val="24"/>
          <w:szCs w:val="24"/>
          <w:lang w:eastAsia="it-IT"/>
        </w:rPr>
        <w:t>Emolumenti accessori al personale non dirigenziale impegnato in presidi operativi (art. 3, comma 7, D.L. 4/2014)</w:t>
      </w:r>
      <w:r w:rsidRPr="00F56356">
        <w:rPr>
          <w:rFonts w:ascii="Times New Roman" w:eastAsia="Times New Roman" w:hAnsi="Times New Roman" w:cs="Times New Roman"/>
          <w:color w:val="000000" w:themeColor="text1"/>
          <w:sz w:val="24"/>
          <w:szCs w:val="24"/>
          <w:lang w:eastAsia="it-IT"/>
        </w:rPr>
        <w:t xml:space="preserve">, 688 - </w:t>
      </w:r>
      <w:r w:rsidRPr="00F56356">
        <w:rPr>
          <w:rFonts w:ascii="Times New Roman" w:eastAsia="Times New Roman" w:hAnsi="Times New Roman" w:cs="Times New Roman"/>
          <w:i/>
          <w:color w:val="000000" w:themeColor="text1"/>
          <w:sz w:val="24"/>
          <w:szCs w:val="24"/>
          <w:lang w:eastAsia="it-IT"/>
        </w:rPr>
        <w:t>Spese per accertamenti sanitari</w:t>
      </w:r>
      <w:r w:rsidRPr="00F56356">
        <w:rPr>
          <w:rFonts w:ascii="Times New Roman" w:eastAsia="Times New Roman" w:hAnsi="Times New Roman" w:cs="Times New Roman"/>
          <w:color w:val="000000" w:themeColor="text1"/>
          <w:sz w:val="24"/>
          <w:szCs w:val="24"/>
          <w:lang w:eastAsia="it-IT"/>
        </w:rPr>
        <w:t xml:space="preserve">, 734 - </w:t>
      </w:r>
      <w:r w:rsidRPr="00F56356">
        <w:rPr>
          <w:rFonts w:ascii="Times New Roman" w:eastAsia="Times New Roman" w:hAnsi="Times New Roman" w:cs="Times New Roman"/>
          <w:i/>
          <w:color w:val="000000" w:themeColor="text1"/>
          <w:sz w:val="24"/>
          <w:szCs w:val="24"/>
          <w:lang w:eastAsia="it-IT"/>
        </w:rPr>
        <w:t>Fitto locali ed oneri accessori , ivi comprese le spese per le assicurazioni, il servizio di vigilanza e sicurezza</w:t>
      </w:r>
      <w:r w:rsidRPr="00F56356">
        <w:rPr>
          <w:rFonts w:ascii="Times New Roman" w:eastAsia="Times New Roman" w:hAnsi="Times New Roman" w:cs="Times New Roman"/>
          <w:color w:val="000000" w:themeColor="text1"/>
          <w:sz w:val="24"/>
          <w:szCs w:val="24"/>
          <w:lang w:eastAsia="it-IT"/>
        </w:rPr>
        <w:t xml:space="preserve">, 737 - </w:t>
      </w:r>
      <w:r w:rsidRPr="00F56356">
        <w:rPr>
          <w:rFonts w:ascii="Times New Roman" w:eastAsia="Times New Roman" w:hAnsi="Times New Roman" w:cs="Times New Roman"/>
          <w:i/>
          <w:color w:val="000000" w:themeColor="text1"/>
          <w:sz w:val="24"/>
          <w:szCs w:val="24"/>
          <w:lang w:eastAsia="it-IT"/>
        </w:rPr>
        <w:t>Manutenzione e conduzione di immobili, impianti, attrezzature e macchinari,</w:t>
      </w:r>
      <w:r w:rsidRPr="00F56356">
        <w:rPr>
          <w:rFonts w:ascii="Times New Roman" w:eastAsia="Times New Roman" w:hAnsi="Times New Roman" w:cs="Times New Roman"/>
          <w:color w:val="000000" w:themeColor="text1"/>
          <w:sz w:val="24"/>
          <w:szCs w:val="24"/>
          <w:lang w:eastAsia="it-IT"/>
        </w:rPr>
        <w:t xml:space="preserve"> 741- </w:t>
      </w:r>
      <w:r w:rsidRPr="00F56356">
        <w:rPr>
          <w:rFonts w:ascii="Times New Roman" w:eastAsia="Times New Roman" w:hAnsi="Times New Roman" w:cs="Times New Roman"/>
          <w:i/>
          <w:color w:val="000000" w:themeColor="text1"/>
          <w:sz w:val="24"/>
          <w:szCs w:val="24"/>
          <w:lang w:eastAsia="it-IT"/>
        </w:rPr>
        <w:t>Spese legali, per onorari, indennità di missione, Avvocatura dello Stato, e avvocati delegati, notificazioni e comunicazioni, indennità testimoni, onorari e indennità di missione a consulenti tecnici,</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702 - </w:t>
      </w:r>
      <w:r w:rsidRPr="00F56356">
        <w:rPr>
          <w:rFonts w:ascii="Times New Roman" w:eastAsia="Times New Roman" w:hAnsi="Times New Roman" w:cs="Times New Roman"/>
          <w:i/>
          <w:color w:val="000000" w:themeColor="text1"/>
          <w:sz w:val="24"/>
          <w:szCs w:val="24"/>
          <w:lang w:eastAsia="it-IT"/>
        </w:rPr>
        <w:t>Spese dirette a fronteggiare lo stato di emergenza in relazione agli eventi sismici che hanno colpito la Regione Abruzzo,</w:t>
      </w:r>
      <w:r w:rsidRPr="00F56356">
        <w:rPr>
          <w:rFonts w:ascii="Times New Roman" w:eastAsia="Times New Roman" w:hAnsi="Times New Roman" w:cs="Times New Roman"/>
          <w:color w:val="000000" w:themeColor="text1"/>
          <w:sz w:val="24"/>
          <w:szCs w:val="24"/>
          <w:lang w:eastAsia="it-IT"/>
        </w:rPr>
        <w:t xml:space="preserve"> 715 - </w:t>
      </w:r>
      <w:r w:rsidRPr="00F56356">
        <w:rPr>
          <w:rFonts w:ascii="Times New Roman" w:eastAsia="Times New Roman" w:hAnsi="Times New Roman" w:cs="Times New Roman"/>
          <w:i/>
          <w:color w:val="000000" w:themeColor="text1"/>
          <w:sz w:val="24"/>
          <w:szCs w:val="24"/>
          <w:lang w:eastAsia="it-IT"/>
        </w:rPr>
        <w:t>Spese per la realizzazione di programmi, progetti e monitoraggi finalizzati ad attività di protezione civile ed alla sorveglianza tecnico-scientifica dei rischi naturali ed antropici</w:t>
      </w:r>
      <w:r w:rsidRPr="00F56356">
        <w:rPr>
          <w:rFonts w:ascii="Times New Roman" w:eastAsia="Times New Roman" w:hAnsi="Times New Roman" w:cs="Times New Roman"/>
          <w:color w:val="000000" w:themeColor="text1"/>
          <w:sz w:val="24"/>
          <w:szCs w:val="24"/>
          <w:lang w:eastAsia="it-IT"/>
        </w:rPr>
        <w:t xml:space="preserve">, 742- </w:t>
      </w:r>
      <w:r w:rsidRPr="00F56356">
        <w:rPr>
          <w:rFonts w:ascii="Times New Roman" w:eastAsia="Times New Roman" w:hAnsi="Times New Roman" w:cs="Times New Roman"/>
          <w:i/>
          <w:color w:val="000000" w:themeColor="text1"/>
          <w:sz w:val="24"/>
          <w:szCs w:val="24"/>
          <w:lang w:eastAsia="it-IT"/>
        </w:rPr>
        <w:t>Spese per la definizione di pregresse emergenze</w:t>
      </w:r>
      <w:r w:rsidRPr="00F56356">
        <w:rPr>
          <w:rFonts w:ascii="Times New Roman" w:eastAsia="Times New Roman" w:hAnsi="Times New Roman" w:cs="Times New Roman"/>
          <w:color w:val="000000" w:themeColor="text1"/>
          <w:sz w:val="24"/>
          <w:szCs w:val="24"/>
          <w:lang w:eastAsia="it-IT"/>
        </w:rPr>
        <w:t xml:space="preserve">, 766 - </w:t>
      </w:r>
      <w:r w:rsidRPr="00F56356">
        <w:rPr>
          <w:rFonts w:ascii="Times New Roman" w:eastAsia="Times New Roman" w:hAnsi="Times New Roman" w:cs="Times New Roman"/>
          <w:i/>
          <w:color w:val="000000" w:themeColor="text1"/>
          <w:sz w:val="24"/>
          <w:szCs w:val="24"/>
          <w:lang w:eastAsia="it-IT"/>
        </w:rPr>
        <w:t>Spese dirette a fronteggiare lo stato di emergenza conseguente agli eventi sismici che hanno colpito il Centro Italia a partire dal 24 agosto 2016</w:t>
      </w:r>
      <w:r w:rsidRPr="00F56356">
        <w:rPr>
          <w:rFonts w:ascii="Times New Roman" w:eastAsia="Times New Roman" w:hAnsi="Times New Roman" w:cs="Times New Roman"/>
          <w:color w:val="000000" w:themeColor="text1"/>
          <w:sz w:val="24"/>
          <w:szCs w:val="24"/>
          <w:lang w:eastAsia="it-IT"/>
        </w:rPr>
        <w:t xml:space="preserve">, 960 - </w:t>
      </w:r>
      <w:r w:rsidRPr="00F56356">
        <w:rPr>
          <w:rFonts w:ascii="Times New Roman" w:eastAsia="Times New Roman" w:hAnsi="Times New Roman" w:cs="Times New Roman"/>
          <w:i/>
          <w:color w:val="000000" w:themeColor="text1"/>
          <w:sz w:val="24"/>
          <w:szCs w:val="24"/>
          <w:lang w:eastAsia="it-IT"/>
        </w:rPr>
        <w:t xml:space="preserve">Acquisto e manutenzione dei mezzi occorrenti per le operazioni di concorso al soccorso della popolazione civile (art. 41, </w:t>
      </w:r>
      <w:proofErr w:type="spellStart"/>
      <w:r w:rsidRPr="00F56356">
        <w:rPr>
          <w:rFonts w:ascii="Times New Roman" w:eastAsia="Times New Roman" w:hAnsi="Times New Roman" w:cs="Times New Roman"/>
          <w:i/>
          <w:color w:val="000000" w:themeColor="text1"/>
          <w:sz w:val="24"/>
          <w:szCs w:val="24"/>
          <w:lang w:eastAsia="it-IT"/>
        </w:rPr>
        <w:t>D.l.</w:t>
      </w:r>
      <w:proofErr w:type="spellEnd"/>
      <w:r w:rsidRPr="00F56356">
        <w:rPr>
          <w:rFonts w:ascii="Times New Roman" w:eastAsia="Times New Roman" w:hAnsi="Times New Roman" w:cs="Times New Roman"/>
          <w:i/>
          <w:color w:val="000000" w:themeColor="text1"/>
          <w:sz w:val="24"/>
          <w:szCs w:val="24"/>
          <w:lang w:eastAsia="it-IT"/>
        </w:rPr>
        <w:t xml:space="preserve">  n. 50/2017)</w:t>
      </w:r>
      <w:r w:rsidRPr="00F56356">
        <w:rPr>
          <w:rFonts w:ascii="Times New Roman" w:eastAsia="Times New Roman" w:hAnsi="Times New Roman" w:cs="Times New Roman"/>
          <w:color w:val="000000" w:themeColor="text1"/>
          <w:sz w:val="24"/>
          <w:szCs w:val="24"/>
          <w:lang w:eastAsia="it-IT"/>
        </w:rPr>
        <w:t xml:space="preserve">, 961 - </w:t>
      </w:r>
      <w:r w:rsidRPr="00F56356">
        <w:rPr>
          <w:rFonts w:ascii="Times New Roman" w:eastAsia="Times New Roman" w:hAnsi="Times New Roman" w:cs="Times New Roman"/>
          <w:i/>
          <w:color w:val="000000" w:themeColor="text1"/>
          <w:sz w:val="24"/>
          <w:szCs w:val="24"/>
          <w:lang w:eastAsia="it-IT"/>
        </w:rPr>
        <w:t xml:space="preserve">Spese per lo sviluppo del sistema informativo </w:t>
      </w:r>
      <w:r w:rsidRPr="00F56356">
        <w:rPr>
          <w:rFonts w:ascii="Times New Roman" w:eastAsia="Times New Roman" w:hAnsi="Times New Roman" w:cs="Times New Roman"/>
          <w:color w:val="000000" w:themeColor="text1"/>
          <w:sz w:val="24"/>
          <w:szCs w:val="24"/>
          <w:lang w:eastAsia="it-IT"/>
        </w:rPr>
        <w:t>e</w:t>
      </w:r>
      <w:r w:rsidRPr="00F56356">
        <w:rPr>
          <w:rFonts w:ascii="Times New Roman" w:eastAsia="Times New Roman" w:hAnsi="Times New Roman" w:cs="Times New Roman"/>
          <w:i/>
          <w:color w:val="000000" w:themeColor="text1"/>
          <w:sz w:val="24"/>
          <w:szCs w:val="24"/>
          <w:lang w:eastAsia="it-IT"/>
        </w:rPr>
        <w:t xml:space="preserve"> 963</w:t>
      </w:r>
      <w:r w:rsidRPr="00F56356">
        <w:rPr>
          <w:rFonts w:ascii="Times New Roman" w:eastAsia="Times New Roman" w:hAnsi="Times New Roman" w:cs="Times New Roman"/>
          <w:color w:val="000000" w:themeColor="text1"/>
          <w:sz w:val="24"/>
          <w:szCs w:val="24"/>
          <w:lang w:eastAsia="it-IT"/>
        </w:rPr>
        <w:t xml:space="preserve"> - </w:t>
      </w:r>
      <w:r w:rsidRPr="00F56356">
        <w:rPr>
          <w:rFonts w:ascii="Times New Roman" w:eastAsia="Times New Roman" w:hAnsi="Times New Roman" w:cs="Times New Roman"/>
          <w:i/>
          <w:color w:val="000000" w:themeColor="text1"/>
          <w:sz w:val="24"/>
          <w:szCs w:val="24"/>
          <w:lang w:eastAsia="it-IT"/>
        </w:rPr>
        <w:t xml:space="preserve">Spese dirette a fronteggiare lo stato di emergenza relativa al rischio sanitario connesso all’insorgenza di patologie derivanti da agenti virali trasmissibili, </w:t>
      </w:r>
      <w:r w:rsidRPr="00F56356">
        <w:rPr>
          <w:rFonts w:ascii="Times New Roman" w:eastAsia="Times New Roman" w:hAnsi="Times New Roman" w:cs="Times New Roman"/>
          <w:color w:val="000000" w:themeColor="text1"/>
          <w:sz w:val="24"/>
          <w:szCs w:val="24"/>
          <w:lang w:eastAsia="it-IT"/>
        </w:rPr>
        <w:t>permangono criticità nelle operazioni tese a ridurre la “massa” dei residui;</w:t>
      </w:r>
    </w:p>
    <w:p w14:paraId="3C34FA4F"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i) per il capitolo 762 - </w:t>
      </w:r>
      <w:r w:rsidRPr="00F56356">
        <w:rPr>
          <w:rFonts w:ascii="Times New Roman" w:eastAsia="Times New Roman" w:hAnsi="Times New Roman" w:cs="Times New Roman"/>
          <w:i/>
          <w:color w:val="000000" w:themeColor="text1"/>
          <w:sz w:val="24"/>
          <w:szCs w:val="24"/>
          <w:lang w:eastAsia="it-IT"/>
        </w:rPr>
        <w:t>Spese connesse alle attività di previsione, prevenzione e soccorso, ivi compresi la formazione, l’addestramento e le esercitazioni, la partecipazione a corsi e/o convegni nazionali dei componenti dei gruppi, associazioni, enti ed organismi di volontariato di protezione civile censiti ai sensi del decreto ministeriale 12 giugno 1990,</w:t>
      </w:r>
      <w:r w:rsidRPr="00F56356">
        <w:rPr>
          <w:rFonts w:ascii="Times New Roman" w:eastAsia="Times New Roman" w:hAnsi="Times New Roman" w:cs="Times New Roman"/>
          <w:color w:val="000000" w:themeColor="text1"/>
          <w:sz w:val="24"/>
          <w:szCs w:val="24"/>
          <w:lang w:eastAsia="it-IT"/>
        </w:rPr>
        <w:t xml:space="preserve"> per quanto riguarda la capacità di smaltimento residui, dal fatto che molti degli oneri connessi alle emergenze in atto sono stati coperti a valere sulle risorse allocate sui capitoli appositamente istituiti.</w:t>
      </w:r>
    </w:p>
    <w:p w14:paraId="57738C47"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FF0000"/>
          <w:sz w:val="24"/>
          <w:szCs w:val="24"/>
          <w:lang w:eastAsia="it-IT"/>
        </w:rPr>
      </w:pPr>
    </w:p>
    <w:p w14:paraId="06D968FF"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Inoltre, si evidenzia che:</w:t>
      </w:r>
    </w:p>
    <w:p w14:paraId="5D9DB303"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 capitoli 681 - </w:t>
      </w:r>
      <w:r w:rsidRPr="00F56356">
        <w:rPr>
          <w:rFonts w:ascii="Times New Roman" w:eastAsia="Times New Roman" w:hAnsi="Times New Roman" w:cs="Times New Roman"/>
          <w:i/>
          <w:color w:val="000000" w:themeColor="text1"/>
          <w:sz w:val="24"/>
          <w:szCs w:val="24"/>
          <w:lang w:eastAsia="it-IT"/>
        </w:rPr>
        <w:t xml:space="preserve">Emolumenti accessori al personale comandato presso il Dipartimento della protezione civile ai sensi delle ordinanze di protezione civile in relazione a situazione emergenziali, </w:t>
      </w:r>
      <w:r w:rsidRPr="00F56356">
        <w:rPr>
          <w:rFonts w:ascii="Times New Roman" w:eastAsia="Times New Roman" w:hAnsi="Times New Roman" w:cs="Times New Roman"/>
          <w:color w:val="000000" w:themeColor="text1"/>
          <w:sz w:val="24"/>
          <w:szCs w:val="24"/>
          <w:lang w:eastAsia="it-IT"/>
        </w:rPr>
        <w:t xml:space="preserve">696 - </w:t>
      </w:r>
      <w:r w:rsidRPr="00F56356">
        <w:rPr>
          <w:rFonts w:ascii="Times New Roman" w:eastAsia="Times New Roman" w:hAnsi="Times New Roman" w:cs="Times New Roman"/>
          <w:i/>
          <w:iCs/>
          <w:color w:val="000000" w:themeColor="text1"/>
          <w:sz w:val="24"/>
          <w:szCs w:val="24"/>
          <w:lang w:eastAsia="it-IT"/>
        </w:rPr>
        <w:t>E</w:t>
      </w:r>
      <w:r w:rsidRPr="00F56356">
        <w:rPr>
          <w:rFonts w:ascii="Times New Roman" w:eastAsia="Times New Roman" w:hAnsi="Times New Roman" w:cs="Times New Roman"/>
          <w:i/>
          <w:color w:val="000000" w:themeColor="text1"/>
          <w:sz w:val="24"/>
          <w:szCs w:val="24"/>
          <w:lang w:eastAsia="it-IT"/>
        </w:rPr>
        <w:t xml:space="preserve">molumenti al personale impiegato nelle emergenze di protezione civile, </w:t>
      </w:r>
      <w:r w:rsidRPr="00F56356">
        <w:rPr>
          <w:rFonts w:ascii="Times New Roman" w:eastAsia="Times New Roman" w:hAnsi="Times New Roman" w:cs="Times New Roman"/>
          <w:color w:val="000000" w:themeColor="text1"/>
          <w:sz w:val="24"/>
          <w:szCs w:val="24"/>
          <w:lang w:eastAsia="it-IT"/>
        </w:rPr>
        <w:t xml:space="preserve">709 - </w:t>
      </w:r>
      <w:r w:rsidRPr="00F56356">
        <w:rPr>
          <w:rFonts w:ascii="Times New Roman" w:eastAsia="Times New Roman" w:hAnsi="Times New Roman" w:cs="Times New Roman"/>
          <w:i/>
          <w:color w:val="000000" w:themeColor="text1"/>
          <w:sz w:val="24"/>
          <w:szCs w:val="24"/>
          <w:lang w:eastAsia="it-IT"/>
        </w:rPr>
        <w:t>Contributi in favore dei soggetti pubblici e privati e delle attività economiche e produttive danneggiati a seguito degli eccezionali eventi meteorologici del 28 novembre 2020 che hanno colpito il territorio della regione Sardegna,</w:t>
      </w:r>
      <w:r w:rsidRPr="00F56356">
        <w:rPr>
          <w:rFonts w:ascii="Times New Roman" w:eastAsia="Times New Roman" w:hAnsi="Times New Roman" w:cs="Times New Roman"/>
          <w:color w:val="000000" w:themeColor="text1"/>
          <w:sz w:val="24"/>
          <w:szCs w:val="24"/>
          <w:lang w:eastAsia="it-IT"/>
        </w:rPr>
        <w:t xml:space="preserve"> 955 - </w:t>
      </w:r>
      <w:r w:rsidRPr="00F56356">
        <w:rPr>
          <w:rFonts w:ascii="Times New Roman" w:eastAsia="Times New Roman" w:hAnsi="Times New Roman" w:cs="Times New Roman"/>
          <w:i/>
          <w:color w:val="000000" w:themeColor="text1"/>
          <w:sz w:val="24"/>
          <w:szCs w:val="24"/>
          <w:lang w:eastAsia="it-IT"/>
        </w:rPr>
        <w:t>Spese per la realizzazione di interventi infrastrutturali prioritariamente connessi alla riduzione del rischio sismico e per far fronte ad eventi straordinari nei territori degli enti locali, delle aree metropolitane e delle città d’arte,</w:t>
      </w:r>
      <w:r w:rsidRPr="00F56356">
        <w:rPr>
          <w:rFonts w:ascii="Times New Roman" w:eastAsia="Times New Roman" w:hAnsi="Times New Roman" w:cs="Times New Roman"/>
          <w:color w:val="000000" w:themeColor="text1"/>
          <w:sz w:val="24"/>
          <w:szCs w:val="24"/>
          <w:lang w:eastAsia="it-IT"/>
        </w:rPr>
        <w:t xml:space="preserve"> 964 - </w:t>
      </w:r>
      <w:r w:rsidRPr="00F56356">
        <w:rPr>
          <w:rFonts w:ascii="Times New Roman" w:eastAsia="Times New Roman" w:hAnsi="Times New Roman" w:cs="Times New Roman"/>
          <w:i/>
          <w:color w:val="000000" w:themeColor="text1"/>
          <w:sz w:val="24"/>
          <w:szCs w:val="24"/>
          <w:lang w:eastAsia="it-IT"/>
        </w:rPr>
        <w:t xml:space="preserve">Spese relative alla realizzazione del polo logistico dipartimentale, </w:t>
      </w:r>
      <w:r w:rsidRPr="00F56356">
        <w:rPr>
          <w:rFonts w:ascii="Times New Roman" w:eastAsia="Times New Roman" w:hAnsi="Times New Roman" w:cs="Times New Roman"/>
          <w:color w:val="000000" w:themeColor="text1"/>
          <w:sz w:val="24"/>
          <w:szCs w:val="24"/>
          <w:lang w:eastAsia="it-IT"/>
        </w:rPr>
        <w:t xml:space="preserve">966 - </w:t>
      </w:r>
      <w:r w:rsidRPr="00F56356">
        <w:rPr>
          <w:rFonts w:ascii="Times New Roman" w:eastAsia="Times New Roman" w:hAnsi="Times New Roman" w:cs="Times New Roman"/>
          <w:i/>
          <w:color w:val="000000" w:themeColor="text1"/>
          <w:sz w:val="24"/>
          <w:szCs w:val="24"/>
          <w:lang w:eastAsia="it-IT"/>
        </w:rPr>
        <w:t>Somme destinate ai fabbisogni di cui all’articolo 25, comma 2, lettera  “e”, del decreto legislativo 2 gennaio 2018, n. 1 (fase 2)</w:t>
      </w:r>
      <w:r w:rsidRPr="00F56356">
        <w:rPr>
          <w:rFonts w:ascii="Times New Roman" w:eastAsia="Times New Roman" w:hAnsi="Times New Roman" w:cs="Times New Roman"/>
          <w:color w:val="000000" w:themeColor="text1"/>
          <w:sz w:val="24"/>
          <w:szCs w:val="24"/>
          <w:lang w:eastAsia="it-IT"/>
        </w:rPr>
        <w:t xml:space="preserve"> e 972</w:t>
      </w:r>
      <w:r w:rsidRPr="00F56356">
        <w:rPr>
          <w:rFonts w:ascii="Times New Roman" w:eastAsia="Times New Roman" w:hAnsi="Times New Roman" w:cs="Times New Roman"/>
          <w:i/>
          <w:color w:val="000000" w:themeColor="text1"/>
          <w:sz w:val="24"/>
          <w:szCs w:val="24"/>
          <w:lang w:eastAsia="it-IT"/>
        </w:rPr>
        <w:t xml:space="preserve"> - Fondo regionale di protezione civile</w:t>
      </w:r>
      <w:r w:rsidRPr="00F56356">
        <w:rPr>
          <w:rFonts w:ascii="Times New Roman" w:eastAsia="Times New Roman" w:hAnsi="Times New Roman" w:cs="Times New Roman"/>
          <w:color w:val="000000" w:themeColor="text1"/>
          <w:sz w:val="24"/>
          <w:szCs w:val="24"/>
          <w:lang w:eastAsia="it-IT"/>
        </w:rPr>
        <w:t>, non sono state impegnate le risorse in quanto sono ancora in corso le attività istruttorie;</w:t>
      </w:r>
    </w:p>
    <w:p w14:paraId="05E952A9"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701 - </w:t>
      </w:r>
      <w:r w:rsidRPr="00F56356">
        <w:rPr>
          <w:rFonts w:ascii="Times New Roman" w:eastAsia="Times New Roman" w:hAnsi="Times New Roman" w:cs="Times New Roman"/>
          <w:i/>
          <w:color w:val="000000" w:themeColor="text1"/>
          <w:sz w:val="24"/>
          <w:szCs w:val="24"/>
          <w:lang w:eastAsia="it-IT"/>
        </w:rPr>
        <w:t>Oneri per la copertura assicurativa integrativa per il personale ex art. 99 C.C.N.L.”,</w:t>
      </w:r>
      <w:r w:rsidRPr="00F56356">
        <w:rPr>
          <w:rFonts w:ascii="Times New Roman" w:eastAsia="Times New Roman" w:hAnsi="Times New Roman" w:cs="Times New Roman"/>
          <w:color w:val="000000" w:themeColor="text1"/>
          <w:sz w:val="24"/>
          <w:szCs w:val="24"/>
          <w:lang w:eastAsia="it-IT"/>
        </w:rPr>
        <w:t xml:space="preserve"> le risorse di euro 124.272,95 sono state riversate al Segretariato generale per la gestione in forma accentrata degli oneri connessi al trattamento economico fondamentale del personale di ruolo del Dipartimento e degli oneri connessi ai trattamenti economici accessori (FUP, ex art. 82 CCNL);</w:t>
      </w:r>
    </w:p>
    <w:p w14:paraId="6314C554"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 capitoli 690 - </w:t>
      </w:r>
      <w:r w:rsidRPr="00F56356">
        <w:rPr>
          <w:rFonts w:ascii="Times New Roman" w:eastAsia="Times New Roman" w:hAnsi="Times New Roman" w:cs="Times New Roman"/>
          <w:i/>
          <w:color w:val="000000" w:themeColor="text1"/>
          <w:sz w:val="24"/>
          <w:szCs w:val="24"/>
          <w:lang w:eastAsia="it-IT"/>
        </w:rPr>
        <w:t xml:space="preserve">Spese di missione del Ministro per la protezione civile e le politiche del mare e del relativo personale di staff </w:t>
      </w:r>
      <w:r w:rsidRPr="00F56356">
        <w:rPr>
          <w:rFonts w:ascii="Times New Roman" w:eastAsia="Times New Roman" w:hAnsi="Times New Roman" w:cs="Times New Roman"/>
          <w:color w:val="000000" w:themeColor="text1"/>
          <w:sz w:val="24"/>
          <w:szCs w:val="24"/>
          <w:lang w:eastAsia="it-IT"/>
        </w:rPr>
        <w:t xml:space="preserve">e 712 - </w:t>
      </w:r>
      <w:r w:rsidRPr="00F56356">
        <w:rPr>
          <w:rFonts w:ascii="Times New Roman" w:eastAsia="Times New Roman" w:hAnsi="Times New Roman" w:cs="Times New Roman"/>
          <w:i/>
          <w:color w:val="000000" w:themeColor="text1"/>
          <w:sz w:val="24"/>
          <w:szCs w:val="24"/>
          <w:lang w:eastAsia="it-IT"/>
        </w:rPr>
        <w:t xml:space="preserve">Fondo per la partecipazione a Rescue, di cui all’art. 12 della decisione n. 1313/2013/UE, </w:t>
      </w:r>
      <w:r w:rsidRPr="00F56356">
        <w:rPr>
          <w:rFonts w:ascii="Times New Roman" w:eastAsia="Times New Roman" w:hAnsi="Times New Roman" w:cs="Times New Roman"/>
          <w:color w:val="000000" w:themeColor="text1"/>
          <w:sz w:val="24"/>
          <w:szCs w:val="24"/>
          <w:lang w:eastAsia="it-IT"/>
        </w:rPr>
        <w:t>le risorse non sono state impegnate in quanto sono state assegnate a fine esercizio finanziario;</w:t>
      </w:r>
    </w:p>
    <w:p w14:paraId="2EE3209A"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per il capitolo 978 - </w:t>
      </w:r>
      <w:r w:rsidRPr="00F56356">
        <w:rPr>
          <w:rFonts w:ascii="Times New Roman" w:eastAsia="Times New Roman" w:hAnsi="Times New Roman" w:cs="Times New Roman"/>
          <w:i/>
          <w:color w:val="000000" w:themeColor="text1"/>
          <w:sz w:val="24"/>
          <w:szCs w:val="24"/>
          <w:lang w:eastAsia="it-IT"/>
        </w:rPr>
        <w:t>Spese per acquisto di attrezzature e apparecchiature non informatiche, di mobilio e dotazioni librarie</w:t>
      </w:r>
      <w:r w:rsidRPr="00F56356">
        <w:rPr>
          <w:rFonts w:ascii="Times New Roman" w:eastAsia="Times New Roman" w:hAnsi="Times New Roman" w:cs="Times New Roman"/>
          <w:color w:val="000000" w:themeColor="text1"/>
          <w:sz w:val="24"/>
          <w:szCs w:val="24"/>
          <w:lang w:eastAsia="it-IT"/>
        </w:rPr>
        <w:t>, le risorse non sono state impegnate perché non si è verificata nessuna esigenza di acquisto.</w:t>
      </w:r>
    </w:p>
    <w:p w14:paraId="5A667BCD"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142C87F" wp14:editId="0A128376">
            <wp:extent cx="6120000" cy="8716010"/>
            <wp:effectExtent l="0" t="0" r="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28721" cy="8728430"/>
                    </a:xfrm>
                    <a:prstGeom prst="rect">
                      <a:avLst/>
                    </a:prstGeom>
                    <a:noFill/>
                    <a:ln>
                      <a:noFill/>
                    </a:ln>
                  </pic:spPr>
                </pic:pic>
              </a:graphicData>
            </a:graphic>
          </wp:inline>
        </w:drawing>
      </w:r>
    </w:p>
    <w:p w14:paraId="28A848BB"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349F8BF" wp14:editId="47D877AD">
            <wp:extent cx="6105525" cy="8048625"/>
            <wp:effectExtent l="0" t="0" r="9525" b="9525"/>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05525" cy="8048625"/>
                    </a:xfrm>
                    <a:prstGeom prst="rect">
                      <a:avLst/>
                    </a:prstGeom>
                    <a:noFill/>
                    <a:ln>
                      <a:noFill/>
                    </a:ln>
                  </pic:spPr>
                </pic:pic>
              </a:graphicData>
            </a:graphic>
          </wp:inline>
        </w:drawing>
      </w:r>
    </w:p>
    <w:p w14:paraId="5AFAFEEE"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6A12D7DC"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6FF0063C"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662C1A8A"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45030BF4"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20EE7818"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673FBD8" wp14:editId="3A916FB3">
            <wp:extent cx="6115050" cy="8191500"/>
            <wp:effectExtent l="0" t="0" r="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15050" cy="8191500"/>
                    </a:xfrm>
                    <a:prstGeom prst="rect">
                      <a:avLst/>
                    </a:prstGeom>
                    <a:noFill/>
                    <a:ln>
                      <a:noFill/>
                    </a:ln>
                  </pic:spPr>
                </pic:pic>
              </a:graphicData>
            </a:graphic>
          </wp:inline>
        </w:drawing>
      </w:r>
    </w:p>
    <w:p w14:paraId="7781EC22"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4E4CD620"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4BF7A8A"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0CCF611"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0208E6C9"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787704E2" wp14:editId="090350A9">
            <wp:extent cx="6115050" cy="8191500"/>
            <wp:effectExtent l="0" t="0" r="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15050" cy="8191500"/>
                    </a:xfrm>
                    <a:prstGeom prst="rect">
                      <a:avLst/>
                    </a:prstGeom>
                    <a:noFill/>
                    <a:ln>
                      <a:noFill/>
                    </a:ln>
                  </pic:spPr>
                </pic:pic>
              </a:graphicData>
            </a:graphic>
          </wp:inline>
        </w:drawing>
      </w:r>
    </w:p>
    <w:p w14:paraId="2A8A6332"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1A0C3528"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61600EA7"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3D1F15AD"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6C8F7519"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F3A0EED" wp14:editId="515B8864">
            <wp:extent cx="6096000" cy="8048625"/>
            <wp:effectExtent l="0" t="0" r="0" b="9525"/>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6000" cy="8048625"/>
                    </a:xfrm>
                    <a:prstGeom prst="rect">
                      <a:avLst/>
                    </a:prstGeom>
                    <a:noFill/>
                    <a:ln>
                      <a:noFill/>
                    </a:ln>
                  </pic:spPr>
                </pic:pic>
              </a:graphicData>
            </a:graphic>
          </wp:inline>
        </w:drawing>
      </w:r>
    </w:p>
    <w:p w14:paraId="568C2575"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5985F090"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026AB635"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52DCC653"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AB14B66"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EA67273" w14:textId="77777777" w:rsidR="00F56356" w:rsidRPr="00F56356" w:rsidRDefault="00F56356" w:rsidP="00F56356">
      <w:pPr>
        <w:spacing w:after="0" w:line="24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F8C4C8E" wp14:editId="0461B077">
            <wp:extent cx="5915025" cy="8048625"/>
            <wp:effectExtent l="0" t="0" r="9525" b="9525"/>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15025" cy="8048625"/>
                    </a:xfrm>
                    <a:prstGeom prst="rect">
                      <a:avLst/>
                    </a:prstGeom>
                    <a:noFill/>
                    <a:ln>
                      <a:noFill/>
                    </a:ln>
                  </pic:spPr>
                </pic:pic>
              </a:graphicData>
            </a:graphic>
          </wp:inline>
        </w:drawing>
      </w:r>
    </w:p>
    <w:p w14:paraId="5281A348"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5261E496"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108B29C2"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45CDB418"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2BB86A5" wp14:editId="5F29315F">
            <wp:extent cx="6086475" cy="8715375"/>
            <wp:effectExtent l="0" t="0" r="9525" b="9525"/>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86475" cy="8715375"/>
                    </a:xfrm>
                    <a:prstGeom prst="rect">
                      <a:avLst/>
                    </a:prstGeom>
                    <a:noFill/>
                    <a:ln>
                      <a:noFill/>
                    </a:ln>
                  </pic:spPr>
                </pic:pic>
              </a:graphicData>
            </a:graphic>
          </wp:inline>
        </w:drawing>
      </w:r>
    </w:p>
    <w:p w14:paraId="7F82D488"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5920611D"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4A57E3A6" wp14:editId="28C544DA">
            <wp:extent cx="6092328" cy="8172450"/>
            <wp:effectExtent l="0" t="0" r="381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94313" cy="8175113"/>
                    </a:xfrm>
                    <a:prstGeom prst="rect">
                      <a:avLst/>
                    </a:prstGeom>
                    <a:noFill/>
                    <a:ln>
                      <a:noFill/>
                    </a:ln>
                  </pic:spPr>
                </pic:pic>
              </a:graphicData>
            </a:graphic>
          </wp:inline>
        </w:drawing>
      </w:r>
    </w:p>
    <w:p w14:paraId="4A3A6B2E"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3E2E8ECA"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1B28B560"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03C2DD20" w14:textId="3F6C0787" w:rsid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2E698FA0" w14:textId="22B7AED7" w:rsidR="0043213C" w:rsidRDefault="0043213C" w:rsidP="00F56356">
      <w:pPr>
        <w:spacing w:after="0" w:line="240" w:lineRule="auto"/>
        <w:rPr>
          <w:rFonts w:ascii="Times New Roman" w:eastAsia="Times New Roman" w:hAnsi="Times New Roman" w:cs="Times New Roman"/>
          <w:color w:val="000000" w:themeColor="text1"/>
          <w:sz w:val="24"/>
          <w:szCs w:val="24"/>
          <w:lang w:eastAsia="it-IT"/>
        </w:rPr>
      </w:pPr>
    </w:p>
    <w:p w14:paraId="7BBB2D0B" w14:textId="77777777" w:rsidR="0043213C" w:rsidRPr="00F56356" w:rsidRDefault="0043213C" w:rsidP="00F56356">
      <w:pPr>
        <w:spacing w:after="0" w:line="240" w:lineRule="auto"/>
        <w:rPr>
          <w:rFonts w:ascii="Times New Roman" w:eastAsia="Times New Roman" w:hAnsi="Times New Roman" w:cs="Times New Roman"/>
          <w:color w:val="000000" w:themeColor="text1"/>
          <w:sz w:val="24"/>
          <w:szCs w:val="24"/>
          <w:lang w:eastAsia="it-IT"/>
        </w:rPr>
      </w:pPr>
    </w:p>
    <w:p w14:paraId="65A9BF68"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14 “Politiche antidroga”</w:t>
      </w:r>
    </w:p>
    <w:p w14:paraId="3C20EE1F" w14:textId="77777777" w:rsidR="00F56356" w:rsidRPr="00F56356" w:rsidRDefault="00F56356" w:rsidP="00F56356">
      <w:pPr>
        <w:spacing w:after="0" w:line="360" w:lineRule="auto"/>
        <w:ind w:left="284"/>
        <w:jc w:val="both"/>
        <w:rPr>
          <w:rFonts w:ascii="Times New Roman" w:eastAsia="Times New Roman" w:hAnsi="Times New Roman" w:cs="Times New Roman"/>
          <w:b/>
          <w:sz w:val="8"/>
          <w:szCs w:val="24"/>
          <w:lang w:eastAsia="it-IT"/>
        </w:rPr>
      </w:pPr>
    </w:p>
    <w:p w14:paraId="565BDFF8"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1DAC1C97"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Programma 1.3 - </w:t>
      </w:r>
      <w:r w:rsidRPr="00F56356">
        <w:rPr>
          <w:rFonts w:ascii="Times New Roman" w:eastAsia="Times New Roman" w:hAnsi="Times New Roman" w:cs="Times New Roman"/>
          <w:sz w:val="24"/>
          <w:szCs w:val="24"/>
          <w:lang w:eastAsia="it-IT"/>
        </w:rPr>
        <w:t>Presidenza del Consiglio dei ministri</w:t>
      </w:r>
    </w:p>
    <w:p w14:paraId="6ED18B1E" w14:textId="77777777" w:rsidR="00F56356" w:rsidRPr="00F56356" w:rsidRDefault="00F56356" w:rsidP="00F56356">
      <w:pPr>
        <w:spacing w:after="0" w:line="360" w:lineRule="auto"/>
        <w:ind w:left="284"/>
        <w:jc w:val="both"/>
        <w:rPr>
          <w:rFonts w:ascii="Times New Roman" w:eastAsia="Times New Roman" w:hAnsi="Times New Roman" w:cs="Times New Roman"/>
          <w:b/>
          <w:sz w:val="16"/>
          <w:szCs w:val="20"/>
          <w:lang w:eastAsia="it-IT"/>
        </w:rPr>
      </w:pPr>
    </w:p>
    <w:p w14:paraId="77D2FBED"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MISSIONE 24 - </w:t>
      </w:r>
      <w:r w:rsidRPr="00F56356">
        <w:rPr>
          <w:rFonts w:ascii="Times New Roman" w:eastAsia="Times New Roman" w:hAnsi="Times New Roman" w:cs="Times New Roman"/>
          <w:sz w:val="24"/>
          <w:szCs w:val="24"/>
          <w:lang w:eastAsia="it-IT"/>
        </w:rPr>
        <w:t xml:space="preserve">Diritti sociali, politiche sociali e famiglia </w:t>
      </w:r>
    </w:p>
    <w:p w14:paraId="7417A104"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24.5 – </w:t>
      </w:r>
      <w:r w:rsidRPr="00F56356">
        <w:rPr>
          <w:rFonts w:ascii="Times New Roman" w:eastAsia="Times New Roman" w:hAnsi="Times New Roman" w:cs="Times New Roman"/>
          <w:color w:val="000000"/>
          <w:sz w:val="24"/>
          <w:szCs w:val="24"/>
          <w:lang w:eastAsia="it-IT"/>
        </w:rPr>
        <w:t>Famiglia, pari opportunità e situazioni di disagio</w:t>
      </w:r>
    </w:p>
    <w:p w14:paraId="49890246"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i/>
          <w:color w:val="000000"/>
          <w:sz w:val="24"/>
          <w:szCs w:val="24"/>
          <w:lang w:eastAsia="it-IT"/>
        </w:rPr>
      </w:pPr>
    </w:p>
    <w:p w14:paraId="28291FF5" w14:textId="77777777" w:rsidR="00F56356" w:rsidRPr="00F56356" w:rsidRDefault="00F56356" w:rsidP="00F56356">
      <w:pPr>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1.</w:t>
      </w:r>
      <w:r w:rsidRPr="00F56356">
        <w:rPr>
          <w:rFonts w:ascii="Times New Roman" w:eastAsia="Times New Roman" w:hAnsi="Times New Roman" w:cs="Times New Roman"/>
          <w:b/>
          <w:i/>
          <w:sz w:val="24"/>
          <w:szCs w:val="24"/>
          <w:lang w:eastAsia="it-IT"/>
        </w:rPr>
        <w:t xml:space="preserve"> Mission</w:t>
      </w:r>
    </w:p>
    <w:p w14:paraId="4CBBBC64" w14:textId="77777777" w:rsidR="00F56356" w:rsidRPr="00F56356" w:rsidRDefault="00F56356" w:rsidP="00F56356">
      <w:pPr>
        <w:spacing w:after="0" w:line="360" w:lineRule="auto"/>
        <w:ind w:left="284"/>
        <w:jc w:val="both"/>
        <w:rPr>
          <w:rFonts w:ascii="Times New Roman" w:eastAsia="Times New Roman" w:hAnsi="Times New Roman" w:cs="Times New Roman"/>
          <w:sz w:val="8"/>
          <w:szCs w:val="24"/>
          <w:lang w:eastAsia="it-IT"/>
        </w:rPr>
      </w:pPr>
      <w:r w:rsidRPr="00F56356">
        <w:rPr>
          <w:rFonts w:ascii="Times New Roman" w:eastAsia="Times New Roman" w:hAnsi="Times New Roman" w:cs="Times New Roman"/>
          <w:sz w:val="24"/>
          <w:szCs w:val="24"/>
          <w:lang w:eastAsia="it-IT"/>
        </w:rPr>
        <w:t xml:space="preserve"> </w:t>
      </w:r>
    </w:p>
    <w:p w14:paraId="59371F9E" w14:textId="77777777" w:rsidR="00F56356" w:rsidRPr="00F56356" w:rsidRDefault="00F56356" w:rsidP="00F56356">
      <w:pPr>
        <w:spacing w:after="0" w:line="360" w:lineRule="auto"/>
        <w:ind w:left="284"/>
        <w:jc w:val="both"/>
        <w:rPr>
          <w:rFonts w:ascii="Times New Roman" w:eastAsia="Times New Roman" w:hAnsi="Times New Roman" w:cs="Times New Roman"/>
          <w:sz w:val="8"/>
          <w:szCs w:val="24"/>
          <w:lang w:eastAsia="it-IT"/>
        </w:rPr>
      </w:pPr>
    </w:p>
    <w:p w14:paraId="32C4E1B1" w14:textId="77777777" w:rsidR="00F56356" w:rsidRPr="00F56356" w:rsidRDefault="00F56356" w:rsidP="00F56356">
      <w:pPr>
        <w:suppressAutoHyphens/>
        <w:spacing w:after="0" w:line="360" w:lineRule="auto"/>
        <w:ind w:left="284"/>
        <w:jc w:val="both"/>
        <w:rPr>
          <w:rFonts w:ascii="Times New Roman" w:eastAsia="Times New Roman" w:hAnsi="Times New Roman" w:cs="Times New Roman"/>
          <w:sz w:val="24"/>
          <w:szCs w:val="24"/>
          <w:lang w:eastAsia="ar-SA"/>
        </w:rPr>
      </w:pPr>
      <w:r w:rsidRPr="00F56356">
        <w:rPr>
          <w:rFonts w:ascii="Times New Roman" w:eastAsia="Times New Roman" w:hAnsi="Times New Roman" w:cs="Times New Roman"/>
          <w:sz w:val="24"/>
          <w:szCs w:val="24"/>
          <w:lang w:eastAsia="ar-SA"/>
        </w:rPr>
        <w:t xml:space="preserve">Il Centro di responsabilità 14 “Politiche antidroga” provvede a promuovere, indirizzare e coordinare le azioni atte a contrastare il diffondersi dell’uso di sostanze stupefacenti, delle tossicodipendenze e delle </w:t>
      </w:r>
      <w:proofErr w:type="spellStart"/>
      <w:r w:rsidRPr="00F56356">
        <w:rPr>
          <w:rFonts w:ascii="Times New Roman" w:eastAsia="Times New Roman" w:hAnsi="Times New Roman" w:cs="Times New Roman"/>
          <w:sz w:val="24"/>
          <w:szCs w:val="24"/>
          <w:lang w:eastAsia="ar-SA"/>
        </w:rPr>
        <w:t>alcoldipendenze</w:t>
      </w:r>
      <w:proofErr w:type="spellEnd"/>
      <w:r w:rsidRPr="00F56356">
        <w:rPr>
          <w:rFonts w:ascii="Times New Roman" w:eastAsia="Times New Roman" w:hAnsi="Times New Roman" w:cs="Times New Roman"/>
          <w:sz w:val="24"/>
          <w:szCs w:val="24"/>
          <w:lang w:eastAsia="ar-SA"/>
        </w:rPr>
        <w:t xml:space="preserve"> correlate, nonché a promuovere e realizzare attività in collaborazione con le pubbliche amministrazioni competenti nello specifico settore, le associazioni, le comunità terapeutiche, i centri di accoglienza operanti nel campo della prevenzione, della cura, della riabilitazione e reinserimento, provvedendo alla raccolta della documentazione sulle tossicodipendenze, alla definizione e all’aggiornamento delle metodologie per la rilevazione, all’archiviazione ed elaborazione, alla valutazione e al trasferimento all’esterno dei dati e delle informazioni sulle tossicodipendenze. Cura, altresì, la definizione e il monitoraggio del piano di azione nazionale antidroga, coerentemente con gli indirizzi europei in materia, definendo e concertando le forme di coordinamento e le strategie di intervento con le regioni, le province autonome e le organizzazioni del privato sociale accreditato, anche promuovendo intese in sede di Conferenza unificata. Provvede, mediante sistemi di allerta precoce, all’evidenziazione dei rischi e all’attivazione delle attività di prevenzione delle possibili conseguenze per la salute e della mortalità della popolazione derivanti dalla circolazione delle sostanze stupefacenti, provvedendo alla sorveglianza e al controllo dell’andamento del fenomeno e assicurando il regolare flusso dei dati richiesto dalle strutture e dalle amministrazioni europee competenti nel settore e dalle regioni e dalle amministrazioni centrali nonché dagli altri organismi internazionali. Promuove, finanzia e coordina attività di studio, ricerca e prevenzione nel campo dell’incidentalità correlata all’uso di droga e alcool. Assicura il supporto per garantire la presenza del Governo nelle istituzioni internazionali competenti in materia di politiche antidroga, promuovendo il coordinamento interministeriale, le attività internazionali in materia di politiche antidroga e gli accordi di collaborazione con Stati esteri, anche mediante la promozione di progettualità europee e internazionali comuni, d’intesa con il Ministero degli affari esteri. </w:t>
      </w:r>
    </w:p>
    <w:p w14:paraId="46130F5A" w14:textId="77777777" w:rsidR="00F56356" w:rsidRPr="00F56356" w:rsidRDefault="00F56356" w:rsidP="00F56356">
      <w:pPr>
        <w:suppressAutoHyphens/>
        <w:spacing w:after="0" w:line="360" w:lineRule="auto"/>
        <w:ind w:left="284"/>
        <w:jc w:val="both"/>
        <w:rPr>
          <w:rFonts w:ascii="Times New Roman" w:eastAsia="Times New Roman" w:hAnsi="Times New Roman" w:cs="Times New Roman"/>
          <w:sz w:val="24"/>
          <w:szCs w:val="24"/>
          <w:lang w:eastAsia="ar-SA"/>
        </w:rPr>
      </w:pPr>
      <w:r w:rsidRPr="00F56356">
        <w:rPr>
          <w:rFonts w:ascii="Times New Roman" w:eastAsia="Times New Roman" w:hAnsi="Times New Roman" w:cs="Times New Roman"/>
          <w:sz w:val="24"/>
          <w:szCs w:val="24"/>
          <w:lang w:eastAsia="ar-SA"/>
        </w:rPr>
        <w:t xml:space="preserve">Nell’ambito del Dipartimento per le politiche antidroga opera l’Osservatorio nazionale permanente sulle droghe e sulle tossicodipendenze, che cura e coordina la raccolta centralizzata dei dati, i flussi </w:t>
      </w:r>
      <w:r w:rsidRPr="00F56356">
        <w:rPr>
          <w:rFonts w:ascii="Times New Roman" w:eastAsia="Times New Roman" w:hAnsi="Times New Roman" w:cs="Times New Roman"/>
          <w:sz w:val="24"/>
          <w:szCs w:val="24"/>
          <w:lang w:eastAsia="ar-SA"/>
        </w:rPr>
        <w:lastRenderedPageBreak/>
        <w:t xml:space="preserve">dei dati provenienti dalle amministrazioni centrali competenti e provvede all’archiviazione, all’elaborazione e all’interpretazione di dati statistico-epidemiologici, farmacologico-clinici, </w:t>
      </w:r>
      <w:proofErr w:type="spellStart"/>
      <w:r w:rsidRPr="00F56356">
        <w:rPr>
          <w:rFonts w:ascii="Times New Roman" w:eastAsia="Times New Roman" w:hAnsi="Times New Roman" w:cs="Times New Roman"/>
          <w:sz w:val="24"/>
          <w:szCs w:val="24"/>
          <w:lang w:eastAsia="ar-SA"/>
        </w:rPr>
        <w:t>psico</w:t>
      </w:r>
      <w:proofErr w:type="spellEnd"/>
      <w:r w:rsidRPr="00F56356">
        <w:rPr>
          <w:rFonts w:ascii="Times New Roman" w:eastAsia="Times New Roman" w:hAnsi="Times New Roman" w:cs="Times New Roman"/>
          <w:sz w:val="24"/>
          <w:szCs w:val="24"/>
          <w:lang w:eastAsia="ar-SA"/>
        </w:rPr>
        <w:t xml:space="preserve">-sociali e di documentazione sul consumo, lo spaccio e il traffico di sostanze stupefacenti e psicotrope e le azioni di prevenzione e contrasto. </w:t>
      </w:r>
    </w:p>
    <w:p w14:paraId="6440D78B" w14:textId="77777777" w:rsidR="00F56356" w:rsidRPr="00F56356" w:rsidRDefault="00F56356" w:rsidP="00F56356">
      <w:pPr>
        <w:spacing w:after="0" w:line="360" w:lineRule="auto"/>
        <w:ind w:left="284"/>
        <w:jc w:val="both"/>
        <w:rPr>
          <w:rFonts w:ascii="Times New Roman" w:eastAsia="Times New Roman" w:hAnsi="Times New Roman" w:cs="Times New Roman"/>
          <w:sz w:val="16"/>
          <w:szCs w:val="24"/>
          <w:lang w:eastAsia="it-IT"/>
        </w:rPr>
      </w:pPr>
    </w:p>
    <w:p w14:paraId="2699E642"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2. Ricostruzione flussi finanziari e aspetti rilevanti della gestione </w:t>
      </w:r>
    </w:p>
    <w:p w14:paraId="792347FE"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2.1 </w:t>
      </w:r>
      <w:r w:rsidRPr="00F56356">
        <w:rPr>
          <w:rFonts w:ascii="Times New Roman" w:eastAsia="Times New Roman" w:hAnsi="Times New Roman" w:cs="Times New Roman"/>
          <w:sz w:val="24"/>
          <w:szCs w:val="24"/>
          <w:lang w:eastAsia="it-IT"/>
        </w:rPr>
        <w:t xml:space="preserve">Le risorse complessivamente assegnate sono pari a euro 24.680.556,45, di cui euro 2.596.247,34 riferiti alla reiscrizione di residui passivi perenti ed euro 14.004.310,78 riferiti a </w:t>
      </w:r>
      <w:r w:rsidRPr="00F56356">
        <w:rPr>
          <w:rFonts w:ascii="Times New Roman" w:eastAsia="Times New Roman" w:hAnsi="Times New Roman" w:cs="Times New Roman"/>
          <w:color w:val="000000" w:themeColor="text1"/>
          <w:sz w:val="24"/>
          <w:szCs w:val="24"/>
          <w:lang w:eastAsia="it-IT"/>
        </w:rPr>
        <w:t>riassegnazioni dall’avanzo di esercizio 2021.</w:t>
      </w:r>
    </w:p>
    <w:p w14:paraId="598DC931" w14:textId="77777777" w:rsidR="00F56356" w:rsidRPr="00F56356" w:rsidRDefault="00F56356" w:rsidP="00F56356">
      <w:pPr>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Gli impegni assunti ammontano a euro 9.919.871,16, con un’economia di bilancio pari a euro 14.760.685,29.</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Il totale dei pagamenti riferiti alla competenza è stato pari a euro 2.658.910,48,</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 xml:space="preserve">con un indice di capacità di pagamento (rapporto pagato/impegnato) che si attesta al 26,80 per cento. </w:t>
      </w:r>
    </w:p>
    <w:p w14:paraId="2F6C48A0"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32EF281A" wp14:editId="1BE23D2C">
            <wp:extent cx="3770122" cy="635654"/>
            <wp:effectExtent l="0" t="0" r="1905"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42677" cy="647887"/>
                    </a:xfrm>
                    <a:prstGeom prst="rect">
                      <a:avLst/>
                    </a:prstGeom>
                    <a:noFill/>
                    <a:ln>
                      <a:noFill/>
                    </a:ln>
                  </pic:spPr>
                </pic:pic>
              </a:graphicData>
            </a:graphic>
          </wp:inline>
        </w:drawing>
      </w:r>
    </w:p>
    <w:p w14:paraId="682AE436"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51517EA6" wp14:editId="3E7492F3">
            <wp:extent cx="3822700" cy="1954045"/>
            <wp:effectExtent l="0" t="0" r="6350" b="825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53588" cy="1969834"/>
                    </a:xfrm>
                    <a:prstGeom prst="rect">
                      <a:avLst/>
                    </a:prstGeom>
                    <a:noFill/>
                  </pic:spPr>
                </pic:pic>
              </a:graphicData>
            </a:graphic>
          </wp:inline>
        </w:drawing>
      </w:r>
    </w:p>
    <w:p w14:paraId="5081CD66"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10"/>
          <w:szCs w:val="24"/>
          <w:lang w:eastAsia="it-IT"/>
        </w:rPr>
      </w:pPr>
    </w:p>
    <w:p w14:paraId="1EB19D78"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sz w:val="24"/>
          <w:szCs w:val="24"/>
          <w:lang w:eastAsia="it-IT"/>
        </w:rPr>
        <w:t xml:space="preserve">I residui </w:t>
      </w:r>
      <w:r w:rsidRPr="00F56356">
        <w:rPr>
          <w:rFonts w:ascii="Times New Roman" w:eastAsia="Times New Roman" w:hAnsi="Times New Roman" w:cs="Times New Roman"/>
          <w:color w:val="000000" w:themeColor="text1"/>
          <w:sz w:val="24"/>
          <w:szCs w:val="24"/>
          <w:lang w:eastAsia="it-IT"/>
        </w:rPr>
        <w:t>passivi</w:t>
      </w:r>
      <w:r w:rsidRPr="00F56356">
        <w:rPr>
          <w:rFonts w:ascii="Times New Roman" w:eastAsia="Times New Roman" w:hAnsi="Times New Roman" w:cs="Times New Roman"/>
          <w:sz w:val="24"/>
          <w:szCs w:val="24"/>
          <w:lang w:eastAsia="it-IT"/>
        </w:rPr>
        <w:t xml:space="preserve"> al 1° gennaio 2022 erano pari a euro 20.713.813,05.</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Su questi sono stati effettuati pagamenti per euro 5.692.103,25 e realizzate economie per euro 63.432,94</w:t>
      </w:r>
      <w:r w:rsidRPr="00F56356">
        <w:rPr>
          <w:rFonts w:ascii="Times New Roman" w:eastAsia="Times New Roman" w:hAnsi="Times New Roman" w:cs="Times New Roman"/>
          <w:color w:val="000000" w:themeColor="text1"/>
          <w:sz w:val="24"/>
          <w:szCs w:val="24"/>
          <w:lang w:eastAsia="it-IT"/>
        </w:rPr>
        <w:t>.</w:t>
      </w:r>
    </w:p>
    <w:p w14:paraId="1EF2CF26"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4"/>
          <w:szCs w:val="24"/>
          <w:lang w:eastAsia="it-IT"/>
        </w:rPr>
      </w:pPr>
      <w:r w:rsidRPr="00F56356">
        <w:rPr>
          <w:rFonts w:ascii="Times New Roman" w:eastAsia="Times New Roman" w:hAnsi="Times New Roman" w:cs="Times New Roman"/>
          <w:color w:val="000000" w:themeColor="text1"/>
          <w:sz w:val="24"/>
          <w:szCs w:val="24"/>
          <w:lang w:eastAsia="it-IT"/>
        </w:rPr>
        <w:t xml:space="preserve">                                                            </w:t>
      </w:r>
    </w:p>
    <w:p w14:paraId="6401B460"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p w14:paraId="3071C355" w14:textId="77777777" w:rsidR="00F56356" w:rsidRPr="00F56356" w:rsidRDefault="00F56356" w:rsidP="00F56356">
      <w:pPr>
        <w:spacing w:after="0" w:line="360" w:lineRule="auto"/>
        <w:jc w:val="both"/>
        <w:rPr>
          <w:rFonts w:ascii="Times New Roman" w:eastAsia="Times New Roman" w:hAnsi="Times New Roman" w:cs="Times New Roman"/>
          <w:sz w:val="6"/>
          <w:szCs w:val="24"/>
          <w:lang w:eastAsia="it-IT"/>
        </w:rPr>
      </w:pP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414EF10B"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6268"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04A4E7E5"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214D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7566D19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0482E134"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2C06317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55D4ED3A"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4560F61C"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33CE79A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131E8BBC"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15E37361"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51CE200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6BAFE444"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0A878E5"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649DB2E5"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781</w:t>
            </w:r>
          </w:p>
        </w:tc>
        <w:tc>
          <w:tcPr>
            <w:tcW w:w="1574" w:type="dxa"/>
            <w:tcBorders>
              <w:top w:val="nil"/>
              <w:left w:val="nil"/>
              <w:bottom w:val="single" w:sz="4" w:space="0" w:color="auto"/>
              <w:right w:val="single" w:sz="4" w:space="0" w:color="auto"/>
            </w:tcBorders>
            <w:shd w:val="clear" w:color="auto" w:fill="auto"/>
            <w:noWrap/>
            <w:vAlign w:val="center"/>
            <w:hideMark/>
          </w:tcPr>
          <w:p w14:paraId="10E4D97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530,67</w:t>
            </w:r>
          </w:p>
        </w:tc>
        <w:tc>
          <w:tcPr>
            <w:tcW w:w="1440" w:type="dxa"/>
            <w:tcBorders>
              <w:top w:val="nil"/>
              <w:left w:val="nil"/>
              <w:bottom w:val="single" w:sz="4" w:space="0" w:color="auto"/>
              <w:right w:val="single" w:sz="4" w:space="0" w:color="auto"/>
            </w:tcBorders>
            <w:shd w:val="clear" w:color="auto" w:fill="auto"/>
            <w:noWrap/>
            <w:vAlign w:val="center"/>
            <w:hideMark/>
          </w:tcPr>
          <w:p w14:paraId="3676FDF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DF91FB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single" w:sz="4" w:space="0" w:color="auto"/>
            </w:tcBorders>
            <w:shd w:val="clear" w:color="auto" w:fill="auto"/>
            <w:noWrap/>
            <w:vAlign w:val="center"/>
            <w:hideMark/>
          </w:tcPr>
          <w:p w14:paraId="294220B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auto" w:fill="auto"/>
            <w:noWrap/>
            <w:vAlign w:val="center"/>
            <w:hideMark/>
          </w:tcPr>
          <w:p w14:paraId="68EE14F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72BAA72"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A329F24"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730FF986"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530,67</w:t>
            </w:r>
          </w:p>
        </w:tc>
        <w:tc>
          <w:tcPr>
            <w:tcW w:w="1440" w:type="dxa"/>
            <w:tcBorders>
              <w:top w:val="nil"/>
              <w:left w:val="nil"/>
              <w:bottom w:val="single" w:sz="4" w:space="0" w:color="auto"/>
              <w:right w:val="single" w:sz="4" w:space="0" w:color="auto"/>
            </w:tcBorders>
            <w:shd w:val="clear" w:color="auto" w:fill="auto"/>
            <w:noWrap/>
            <w:vAlign w:val="center"/>
            <w:hideMark/>
          </w:tcPr>
          <w:p w14:paraId="46E4748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96" w:type="dxa"/>
            <w:tcBorders>
              <w:top w:val="nil"/>
              <w:left w:val="nil"/>
              <w:bottom w:val="nil"/>
              <w:right w:val="nil"/>
            </w:tcBorders>
            <w:shd w:val="clear" w:color="auto" w:fill="auto"/>
            <w:noWrap/>
            <w:vAlign w:val="center"/>
            <w:hideMark/>
          </w:tcPr>
          <w:p w14:paraId="455739C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3E50863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323A070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6136C5A2" w14:textId="56BBEF03" w:rsid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02CD3536" w14:textId="157F1A68" w:rsidR="0043213C" w:rsidRDefault="0043213C"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4824CDB1" w14:textId="77777777" w:rsidR="0043213C" w:rsidRPr="00F56356" w:rsidRDefault="0043213C"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0D48B930"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tbl>
      <w:tblPr>
        <w:tblW w:w="6861" w:type="dxa"/>
        <w:jc w:val="center"/>
        <w:tblCellMar>
          <w:left w:w="70" w:type="dxa"/>
          <w:right w:w="70" w:type="dxa"/>
        </w:tblCellMar>
        <w:tblLook w:val="04A0" w:firstRow="1" w:lastRow="0" w:firstColumn="1" w:lastColumn="0" w:noHBand="0" w:noVBand="1"/>
      </w:tblPr>
      <w:tblGrid>
        <w:gridCol w:w="469"/>
        <w:gridCol w:w="1566"/>
        <w:gridCol w:w="1566"/>
        <w:gridCol w:w="964"/>
        <w:gridCol w:w="1180"/>
        <w:gridCol w:w="1121"/>
      </w:tblGrid>
      <w:tr w:rsidR="00F56356" w:rsidRPr="00F56356" w14:paraId="0AA81AEB" w14:textId="77777777" w:rsidTr="00F56356">
        <w:trPr>
          <w:trHeight w:val="420"/>
          <w:jc w:val="center"/>
        </w:trPr>
        <w:tc>
          <w:tcPr>
            <w:tcW w:w="6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5180A"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lastRenderedPageBreak/>
              <w:t>SPESE PER INTERVENTI</w:t>
            </w:r>
          </w:p>
        </w:tc>
      </w:tr>
      <w:tr w:rsidR="00F56356" w:rsidRPr="00F56356" w14:paraId="51A535FF" w14:textId="77777777" w:rsidTr="00F56356">
        <w:trPr>
          <w:trHeight w:val="465"/>
          <w:jc w:val="center"/>
        </w:trPr>
        <w:tc>
          <w:tcPr>
            <w:tcW w:w="4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D5055"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759FB819"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0B66949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65" w:type="dxa"/>
            <w:gridSpan w:val="3"/>
            <w:tcBorders>
              <w:top w:val="single" w:sz="4" w:space="0" w:color="auto"/>
              <w:left w:val="nil"/>
              <w:bottom w:val="single" w:sz="4" w:space="0" w:color="auto"/>
              <w:right w:val="single" w:sz="4" w:space="0" w:color="000000"/>
            </w:tcBorders>
            <w:shd w:val="clear" w:color="auto" w:fill="auto"/>
            <w:vAlign w:val="center"/>
            <w:hideMark/>
          </w:tcPr>
          <w:p w14:paraId="795F21EB"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648A304F" w14:textId="77777777" w:rsidTr="00F56356">
        <w:trPr>
          <w:trHeight w:val="300"/>
          <w:jc w:val="center"/>
        </w:trPr>
        <w:tc>
          <w:tcPr>
            <w:tcW w:w="464" w:type="dxa"/>
            <w:vMerge/>
            <w:tcBorders>
              <w:top w:val="nil"/>
              <w:left w:val="single" w:sz="4" w:space="0" w:color="auto"/>
              <w:bottom w:val="single" w:sz="4" w:space="0" w:color="auto"/>
              <w:right w:val="single" w:sz="4" w:space="0" w:color="auto"/>
            </w:tcBorders>
            <w:vAlign w:val="center"/>
            <w:hideMark/>
          </w:tcPr>
          <w:p w14:paraId="4A155AC4"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66" w:type="dxa"/>
            <w:vMerge/>
            <w:tcBorders>
              <w:top w:val="nil"/>
              <w:left w:val="single" w:sz="4" w:space="0" w:color="auto"/>
              <w:bottom w:val="single" w:sz="4" w:space="0" w:color="auto"/>
              <w:right w:val="single" w:sz="4" w:space="0" w:color="auto"/>
            </w:tcBorders>
            <w:vAlign w:val="center"/>
            <w:hideMark/>
          </w:tcPr>
          <w:p w14:paraId="3047F6F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66" w:type="dxa"/>
            <w:vMerge/>
            <w:tcBorders>
              <w:top w:val="nil"/>
              <w:left w:val="single" w:sz="4" w:space="0" w:color="auto"/>
              <w:bottom w:val="single" w:sz="4" w:space="0" w:color="auto"/>
              <w:right w:val="single" w:sz="4" w:space="0" w:color="auto"/>
            </w:tcBorders>
            <w:vAlign w:val="center"/>
            <w:hideMark/>
          </w:tcPr>
          <w:p w14:paraId="53D9E21B"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64" w:type="dxa"/>
            <w:tcBorders>
              <w:top w:val="nil"/>
              <w:left w:val="nil"/>
              <w:bottom w:val="single" w:sz="4" w:space="0" w:color="auto"/>
              <w:right w:val="single" w:sz="4" w:space="0" w:color="auto"/>
            </w:tcBorders>
            <w:shd w:val="clear" w:color="auto" w:fill="auto"/>
            <w:vAlign w:val="center"/>
            <w:hideMark/>
          </w:tcPr>
          <w:p w14:paraId="68C3FC2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80" w:type="dxa"/>
            <w:tcBorders>
              <w:top w:val="nil"/>
              <w:left w:val="nil"/>
              <w:bottom w:val="single" w:sz="4" w:space="0" w:color="auto"/>
              <w:right w:val="single" w:sz="4" w:space="0" w:color="auto"/>
            </w:tcBorders>
            <w:shd w:val="clear" w:color="auto" w:fill="auto"/>
            <w:vAlign w:val="center"/>
            <w:hideMark/>
          </w:tcPr>
          <w:p w14:paraId="41AC3B0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21" w:type="dxa"/>
            <w:tcBorders>
              <w:top w:val="nil"/>
              <w:left w:val="nil"/>
              <w:bottom w:val="single" w:sz="4" w:space="0" w:color="auto"/>
              <w:right w:val="single" w:sz="4" w:space="0" w:color="auto"/>
            </w:tcBorders>
            <w:shd w:val="clear" w:color="auto" w:fill="auto"/>
            <w:vAlign w:val="center"/>
            <w:hideMark/>
          </w:tcPr>
          <w:p w14:paraId="0762635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2D460A3"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46C44E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771</w:t>
            </w:r>
          </w:p>
        </w:tc>
        <w:tc>
          <w:tcPr>
            <w:tcW w:w="1566" w:type="dxa"/>
            <w:tcBorders>
              <w:top w:val="nil"/>
              <w:left w:val="nil"/>
              <w:bottom w:val="single" w:sz="4" w:space="0" w:color="auto"/>
              <w:right w:val="single" w:sz="4" w:space="0" w:color="auto"/>
            </w:tcBorders>
            <w:shd w:val="clear" w:color="auto" w:fill="auto"/>
            <w:noWrap/>
            <w:vAlign w:val="center"/>
            <w:hideMark/>
          </w:tcPr>
          <w:p w14:paraId="689B411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244.999,51</w:t>
            </w:r>
          </w:p>
        </w:tc>
        <w:tc>
          <w:tcPr>
            <w:tcW w:w="1566" w:type="dxa"/>
            <w:tcBorders>
              <w:top w:val="nil"/>
              <w:left w:val="nil"/>
              <w:bottom w:val="single" w:sz="4" w:space="0" w:color="auto"/>
              <w:right w:val="single" w:sz="4" w:space="0" w:color="auto"/>
            </w:tcBorders>
            <w:shd w:val="clear" w:color="auto" w:fill="auto"/>
            <w:noWrap/>
            <w:vAlign w:val="center"/>
            <w:hideMark/>
          </w:tcPr>
          <w:p w14:paraId="271C983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233.000,00</w:t>
            </w:r>
          </w:p>
        </w:tc>
        <w:tc>
          <w:tcPr>
            <w:tcW w:w="964" w:type="dxa"/>
            <w:tcBorders>
              <w:top w:val="nil"/>
              <w:left w:val="nil"/>
              <w:bottom w:val="single" w:sz="4" w:space="0" w:color="auto"/>
              <w:right w:val="single" w:sz="4" w:space="0" w:color="auto"/>
            </w:tcBorders>
            <w:shd w:val="clear" w:color="auto" w:fill="auto"/>
            <w:noWrap/>
            <w:vAlign w:val="center"/>
            <w:hideMark/>
          </w:tcPr>
          <w:p w14:paraId="0F07A0A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c>
          <w:tcPr>
            <w:tcW w:w="1180" w:type="dxa"/>
            <w:tcBorders>
              <w:top w:val="nil"/>
              <w:left w:val="nil"/>
              <w:bottom w:val="single" w:sz="4" w:space="0" w:color="auto"/>
              <w:right w:val="single" w:sz="4" w:space="0" w:color="auto"/>
            </w:tcBorders>
            <w:shd w:val="clear" w:color="auto" w:fill="auto"/>
            <w:noWrap/>
            <w:vAlign w:val="center"/>
            <w:hideMark/>
          </w:tcPr>
          <w:p w14:paraId="32AA6B5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4,90</w:t>
            </w:r>
          </w:p>
        </w:tc>
        <w:tc>
          <w:tcPr>
            <w:tcW w:w="1121" w:type="dxa"/>
            <w:tcBorders>
              <w:top w:val="nil"/>
              <w:left w:val="nil"/>
              <w:bottom w:val="single" w:sz="4" w:space="0" w:color="auto"/>
              <w:right w:val="single" w:sz="4" w:space="0" w:color="auto"/>
            </w:tcBorders>
            <w:shd w:val="clear" w:color="auto" w:fill="auto"/>
            <w:noWrap/>
            <w:vAlign w:val="center"/>
            <w:hideMark/>
          </w:tcPr>
          <w:p w14:paraId="4EE42E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-15,10</w:t>
            </w:r>
          </w:p>
        </w:tc>
      </w:tr>
      <w:tr w:rsidR="00F56356" w:rsidRPr="00F56356" w14:paraId="6A8D7D9C"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488C0A6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772</w:t>
            </w:r>
          </w:p>
        </w:tc>
        <w:tc>
          <w:tcPr>
            <w:tcW w:w="1566" w:type="dxa"/>
            <w:tcBorders>
              <w:top w:val="nil"/>
              <w:left w:val="nil"/>
              <w:bottom w:val="single" w:sz="4" w:space="0" w:color="auto"/>
              <w:right w:val="single" w:sz="4" w:space="0" w:color="auto"/>
            </w:tcBorders>
            <w:shd w:val="clear" w:color="auto" w:fill="auto"/>
            <w:noWrap/>
            <w:vAlign w:val="center"/>
            <w:hideMark/>
          </w:tcPr>
          <w:p w14:paraId="3F79072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12.136.605,21</w:t>
            </w:r>
          </w:p>
        </w:tc>
        <w:tc>
          <w:tcPr>
            <w:tcW w:w="1566" w:type="dxa"/>
            <w:tcBorders>
              <w:top w:val="nil"/>
              <w:left w:val="nil"/>
              <w:bottom w:val="single" w:sz="4" w:space="0" w:color="auto"/>
              <w:right w:val="single" w:sz="4" w:space="0" w:color="auto"/>
            </w:tcBorders>
            <w:shd w:val="clear" w:color="auto" w:fill="auto"/>
            <w:noWrap/>
            <w:vAlign w:val="center"/>
            <w:hideMark/>
          </w:tcPr>
          <w:p w14:paraId="21148AA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9.480.992,84</w:t>
            </w:r>
          </w:p>
        </w:tc>
        <w:tc>
          <w:tcPr>
            <w:tcW w:w="964" w:type="dxa"/>
            <w:tcBorders>
              <w:top w:val="nil"/>
              <w:left w:val="nil"/>
              <w:bottom w:val="single" w:sz="4" w:space="0" w:color="auto"/>
              <w:right w:val="single" w:sz="4" w:space="0" w:color="auto"/>
            </w:tcBorders>
            <w:shd w:val="clear" w:color="auto" w:fill="auto"/>
            <w:noWrap/>
            <w:vAlign w:val="center"/>
            <w:hideMark/>
          </w:tcPr>
          <w:p w14:paraId="2C17416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335742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21,88</w:t>
            </w:r>
          </w:p>
        </w:tc>
        <w:tc>
          <w:tcPr>
            <w:tcW w:w="1121" w:type="dxa"/>
            <w:tcBorders>
              <w:top w:val="nil"/>
              <w:left w:val="nil"/>
              <w:bottom w:val="single" w:sz="4" w:space="0" w:color="auto"/>
              <w:right w:val="single" w:sz="4" w:space="0" w:color="auto"/>
            </w:tcBorders>
            <w:shd w:val="clear" w:color="auto" w:fill="auto"/>
            <w:noWrap/>
            <w:vAlign w:val="center"/>
            <w:hideMark/>
          </w:tcPr>
          <w:p w14:paraId="04B68EB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0C2ABF55"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5118AAEE"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774</w:t>
            </w:r>
          </w:p>
        </w:tc>
        <w:tc>
          <w:tcPr>
            <w:tcW w:w="1566" w:type="dxa"/>
            <w:tcBorders>
              <w:top w:val="nil"/>
              <w:left w:val="nil"/>
              <w:bottom w:val="single" w:sz="4" w:space="0" w:color="auto"/>
              <w:right w:val="single" w:sz="4" w:space="0" w:color="auto"/>
            </w:tcBorders>
            <w:shd w:val="clear" w:color="auto" w:fill="auto"/>
            <w:noWrap/>
            <w:vAlign w:val="center"/>
            <w:hideMark/>
          </w:tcPr>
          <w:p w14:paraId="3A623D7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3.981.624,44</w:t>
            </w:r>
          </w:p>
        </w:tc>
        <w:tc>
          <w:tcPr>
            <w:tcW w:w="1566" w:type="dxa"/>
            <w:tcBorders>
              <w:top w:val="nil"/>
              <w:left w:val="nil"/>
              <w:bottom w:val="single" w:sz="4" w:space="0" w:color="auto"/>
              <w:right w:val="single" w:sz="4" w:space="0" w:color="auto"/>
            </w:tcBorders>
            <w:shd w:val="clear" w:color="auto" w:fill="auto"/>
            <w:noWrap/>
            <w:vAlign w:val="center"/>
            <w:hideMark/>
          </w:tcPr>
          <w:p w14:paraId="65DC98E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2.893.247,43</w:t>
            </w:r>
          </w:p>
        </w:tc>
        <w:tc>
          <w:tcPr>
            <w:tcW w:w="964" w:type="dxa"/>
            <w:tcBorders>
              <w:top w:val="nil"/>
              <w:left w:val="nil"/>
              <w:bottom w:val="single" w:sz="4" w:space="0" w:color="auto"/>
              <w:right w:val="single" w:sz="4" w:space="0" w:color="auto"/>
            </w:tcBorders>
            <w:shd w:val="clear" w:color="auto" w:fill="auto"/>
            <w:noWrap/>
            <w:vAlign w:val="center"/>
            <w:hideMark/>
          </w:tcPr>
          <w:p w14:paraId="5AE2C93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94ECB2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27,33</w:t>
            </w:r>
          </w:p>
        </w:tc>
        <w:tc>
          <w:tcPr>
            <w:tcW w:w="1121" w:type="dxa"/>
            <w:tcBorders>
              <w:top w:val="nil"/>
              <w:left w:val="nil"/>
              <w:bottom w:val="single" w:sz="4" w:space="0" w:color="auto"/>
              <w:right w:val="single" w:sz="4" w:space="0" w:color="auto"/>
            </w:tcBorders>
            <w:shd w:val="clear" w:color="auto" w:fill="auto"/>
            <w:noWrap/>
            <w:vAlign w:val="center"/>
            <w:hideMark/>
          </w:tcPr>
          <w:p w14:paraId="6ED5690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9D4BD7E"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5EFAE38A"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786</w:t>
            </w:r>
          </w:p>
        </w:tc>
        <w:tc>
          <w:tcPr>
            <w:tcW w:w="1566" w:type="dxa"/>
            <w:tcBorders>
              <w:top w:val="nil"/>
              <w:left w:val="nil"/>
              <w:bottom w:val="single" w:sz="4" w:space="0" w:color="auto"/>
              <w:right w:val="single" w:sz="4" w:space="0" w:color="auto"/>
            </w:tcBorders>
            <w:shd w:val="clear" w:color="auto" w:fill="auto"/>
            <w:noWrap/>
            <w:vAlign w:val="center"/>
            <w:hideMark/>
          </w:tcPr>
          <w:p w14:paraId="59F7FFC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3.155.814,20</w:t>
            </w:r>
          </w:p>
        </w:tc>
        <w:tc>
          <w:tcPr>
            <w:tcW w:w="1566" w:type="dxa"/>
            <w:tcBorders>
              <w:top w:val="nil"/>
              <w:left w:val="nil"/>
              <w:bottom w:val="single" w:sz="4" w:space="0" w:color="auto"/>
              <w:right w:val="single" w:sz="4" w:space="0" w:color="auto"/>
            </w:tcBorders>
            <w:shd w:val="clear" w:color="auto" w:fill="auto"/>
            <w:noWrap/>
            <w:vAlign w:val="center"/>
            <w:hideMark/>
          </w:tcPr>
          <w:p w14:paraId="1A1D06B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2.307.511,88</w:t>
            </w:r>
          </w:p>
        </w:tc>
        <w:tc>
          <w:tcPr>
            <w:tcW w:w="964" w:type="dxa"/>
            <w:tcBorders>
              <w:top w:val="nil"/>
              <w:left w:val="nil"/>
              <w:bottom w:val="single" w:sz="4" w:space="0" w:color="auto"/>
              <w:right w:val="single" w:sz="4" w:space="0" w:color="auto"/>
            </w:tcBorders>
            <w:shd w:val="clear" w:color="auto" w:fill="auto"/>
            <w:noWrap/>
            <w:vAlign w:val="center"/>
            <w:hideMark/>
          </w:tcPr>
          <w:p w14:paraId="6697202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w:t>
            </w:r>
          </w:p>
        </w:tc>
        <w:tc>
          <w:tcPr>
            <w:tcW w:w="1180" w:type="dxa"/>
            <w:tcBorders>
              <w:top w:val="nil"/>
              <w:left w:val="nil"/>
              <w:bottom w:val="single" w:sz="4" w:space="0" w:color="auto"/>
              <w:right w:val="single" w:sz="4" w:space="0" w:color="auto"/>
            </w:tcBorders>
            <w:shd w:val="clear" w:color="auto" w:fill="auto"/>
            <w:noWrap/>
            <w:vAlign w:val="center"/>
            <w:hideMark/>
          </w:tcPr>
          <w:p w14:paraId="4EBA30B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26,88</w:t>
            </w:r>
          </w:p>
        </w:tc>
        <w:tc>
          <w:tcPr>
            <w:tcW w:w="1121" w:type="dxa"/>
            <w:tcBorders>
              <w:top w:val="nil"/>
              <w:left w:val="nil"/>
              <w:bottom w:val="single" w:sz="4" w:space="0" w:color="auto"/>
              <w:right w:val="single" w:sz="4" w:space="0" w:color="auto"/>
            </w:tcBorders>
            <w:shd w:val="clear" w:color="auto" w:fill="auto"/>
            <w:noWrap/>
            <w:vAlign w:val="center"/>
            <w:hideMark/>
          </w:tcPr>
          <w:p w14:paraId="57EAE80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-3,12</w:t>
            </w:r>
          </w:p>
        </w:tc>
      </w:tr>
      <w:tr w:rsidR="00F56356" w:rsidRPr="00F56356" w14:paraId="6C9C6492"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2176804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787</w:t>
            </w:r>
          </w:p>
        </w:tc>
        <w:tc>
          <w:tcPr>
            <w:tcW w:w="1566" w:type="dxa"/>
            <w:tcBorders>
              <w:top w:val="nil"/>
              <w:left w:val="nil"/>
              <w:bottom w:val="single" w:sz="4" w:space="0" w:color="auto"/>
              <w:right w:val="single" w:sz="4" w:space="0" w:color="auto"/>
            </w:tcBorders>
            <w:shd w:val="clear" w:color="auto" w:fill="auto"/>
            <w:noWrap/>
            <w:vAlign w:val="center"/>
            <w:hideMark/>
          </w:tcPr>
          <w:p w14:paraId="5A235CF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952.732,35</w:t>
            </w:r>
          </w:p>
        </w:tc>
        <w:tc>
          <w:tcPr>
            <w:tcW w:w="1566" w:type="dxa"/>
            <w:tcBorders>
              <w:top w:val="nil"/>
              <w:left w:val="nil"/>
              <w:bottom w:val="single" w:sz="4" w:space="0" w:color="auto"/>
              <w:right w:val="single" w:sz="4" w:space="0" w:color="auto"/>
            </w:tcBorders>
            <w:shd w:val="clear" w:color="auto" w:fill="auto"/>
            <w:noWrap/>
            <w:vAlign w:val="center"/>
            <w:hideMark/>
          </w:tcPr>
          <w:p w14:paraId="19B316C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43.524,71</w:t>
            </w:r>
          </w:p>
        </w:tc>
        <w:tc>
          <w:tcPr>
            <w:tcW w:w="964" w:type="dxa"/>
            <w:tcBorders>
              <w:top w:val="nil"/>
              <w:left w:val="nil"/>
              <w:bottom w:val="single" w:sz="4" w:space="0" w:color="auto"/>
              <w:right w:val="single" w:sz="4" w:space="0" w:color="auto"/>
            </w:tcBorders>
            <w:shd w:val="clear" w:color="auto" w:fill="auto"/>
            <w:noWrap/>
            <w:vAlign w:val="center"/>
            <w:hideMark/>
          </w:tcPr>
          <w:p w14:paraId="067E757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30</w:t>
            </w:r>
          </w:p>
        </w:tc>
        <w:tc>
          <w:tcPr>
            <w:tcW w:w="1180" w:type="dxa"/>
            <w:tcBorders>
              <w:top w:val="nil"/>
              <w:left w:val="nil"/>
              <w:bottom w:val="single" w:sz="4" w:space="0" w:color="auto"/>
              <w:right w:val="single" w:sz="4" w:space="0" w:color="auto"/>
            </w:tcBorders>
            <w:shd w:val="clear" w:color="auto" w:fill="auto"/>
            <w:noWrap/>
            <w:vAlign w:val="center"/>
            <w:hideMark/>
          </w:tcPr>
          <w:p w14:paraId="3C6E0D0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95,43</w:t>
            </w:r>
          </w:p>
        </w:tc>
        <w:tc>
          <w:tcPr>
            <w:tcW w:w="1121" w:type="dxa"/>
            <w:tcBorders>
              <w:top w:val="nil"/>
              <w:left w:val="nil"/>
              <w:bottom w:val="single" w:sz="4" w:space="0" w:color="auto"/>
              <w:right w:val="single" w:sz="4" w:space="0" w:color="auto"/>
            </w:tcBorders>
            <w:shd w:val="clear" w:color="auto" w:fill="auto"/>
            <w:noWrap/>
            <w:vAlign w:val="center"/>
            <w:hideMark/>
          </w:tcPr>
          <w:p w14:paraId="64F6D6D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65,43</w:t>
            </w:r>
          </w:p>
        </w:tc>
      </w:tr>
      <w:tr w:rsidR="00F56356" w:rsidRPr="00F56356" w14:paraId="7FA0365A" w14:textId="77777777" w:rsidTr="00F56356">
        <w:trPr>
          <w:trHeight w:val="240"/>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46CB21E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788</w:t>
            </w:r>
          </w:p>
        </w:tc>
        <w:tc>
          <w:tcPr>
            <w:tcW w:w="1566" w:type="dxa"/>
            <w:tcBorders>
              <w:top w:val="nil"/>
              <w:left w:val="nil"/>
              <w:bottom w:val="single" w:sz="4" w:space="0" w:color="auto"/>
              <w:right w:val="single" w:sz="4" w:space="0" w:color="auto"/>
            </w:tcBorders>
            <w:shd w:val="clear" w:color="auto" w:fill="auto"/>
            <w:noWrap/>
            <w:vAlign w:val="center"/>
            <w:hideMark/>
          </w:tcPr>
          <w:p w14:paraId="79E0BEA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241.506,67</w:t>
            </w:r>
          </w:p>
        </w:tc>
        <w:tc>
          <w:tcPr>
            <w:tcW w:w="1566" w:type="dxa"/>
            <w:tcBorders>
              <w:top w:val="nil"/>
              <w:left w:val="nil"/>
              <w:bottom w:val="single" w:sz="4" w:space="0" w:color="auto"/>
              <w:right w:val="single" w:sz="4" w:space="0" w:color="auto"/>
            </w:tcBorders>
            <w:shd w:val="clear" w:color="auto" w:fill="auto"/>
            <w:noWrap/>
            <w:vAlign w:val="center"/>
            <w:hideMark/>
          </w:tcPr>
          <w:p w14:paraId="3DFE48A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4" w:type="dxa"/>
            <w:tcBorders>
              <w:top w:val="nil"/>
              <w:left w:val="nil"/>
              <w:bottom w:val="single" w:sz="4" w:space="0" w:color="auto"/>
              <w:right w:val="single" w:sz="4" w:space="0" w:color="auto"/>
            </w:tcBorders>
            <w:shd w:val="clear" w:color="auto" w:fill="auto"/>
            <w:noWrap/>
            <w:vAlign w:val="center"/>
            <w:hideMark/>
          </w:tcPr>
          <w:p w14:paraId="5F354B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1A99FB5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21" w:type="dxa"/>
            <w:tcBorders>
              <w:top w:val="nil"/>
              <w:left w:val="nil"/>
              <w:bottom w:val="single" w:sz="4" w:space="0" w:color="auto"/>
              <w:right w:val="single" w:sz="4" w:space="0" w:color="auto"/>
            </w:tcBorders>
            <w:shd w:val="clear" w:color="auto" w:fill="auto"/>
            <w:noWrap/>
            <w:vAlign w:val="center"/>
            <w:hideMark/>
          </w:tcPr>
          <w:p w14:paraId="204B30E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934E58F" w14:textId="77777777" w:rsidTr="00F56356">
        <w:trPr>
          <w:trHeight w:val="315"/>
          <w:jc w:val="center"/>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14:paraId="4052277C"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66" w:type="dxa"/>
            <w:tcBorders>
              <w:top w:val="nil"/>
              <w:left w:val="nil"/>
              <w:bottom w:val="single" w:sz="4" w:space="0" w:color="auto"/>
              <w:right w:val="single" w:sz="4" w:space="0" w:color="auto"/>
            </w:tcBorders>
            <w:shd w:val="clear" w:color="auto" w:fill="auto"/>
            <w:noWrap/>
            <w:vAlign w:val="center"/>
            <w:hideMark/>
          </w:tcPr>
          <w:p w14:paraId="2AC1A594"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20.713.282,38</w:t>
            </w:r>
          </w:p>
        </w:tc>
        <w:tc>
          <w:tcPr>
            <w:tcW w:w="1566" w:type="dxa"/>
            <w:tcBorders>
              <w:top w:val="nil"/>
              <w:left w:val="nil"/>
              <w:bottom w:val="single" w:sz="4" w:space="0" w:color="auto"/>
              <w:right w:val="single" w:sz="4" w:space="0" w:color="auto"/>
            </w:tcBorders>
            <w:shd w:val="clear" w:color="auto" w:fill="auto"/>
            <w:noWrap/>
            <w:vAlign w:val="center"/>
            <w:hideMark/>
          </w:tcPr>
          <w:p w14:paraId="61F9D6F6"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14.958.276,86</w:t>
            </w:r>
          </w:p>
        </w:tc>
        <w:tc>
          <w:tcPr>
            <w:tcW w:w="964" w:type="dxa"/>
            <w:tcBorders>
              <w:top w:val="nil"/>
              <w:left w:val="nil"/>
              <w:bottom w:val="nil"/>
              <w:right w:val="nil"/>
            </w:tcBorders>
            <w:shd w:val="clear" w:color="auto" w:fill="auto"/>
            <w:noWrap/>
            <w:vAlign w:val="center"/>
            <w:hideMark/>
          </w:tcPr>
          <w:p w14:paraId="48B87E0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80" w:type="dxa"/>
            <w:tcBorders>
              <w:top w:val="nil"/>
              <w:left w:val="nil"/>
              <w:bottom w:val="nil"/>
              <w:right w:val="nil"/>
            </w:tcBorders>
            <w:shd w:val="clear" w:color="auto" w:fill="auto"/>
            <w:noWrap/>
            <w:vAlign w:val="center"/>
            <w:hideMark/>
          </w:tcPr>
          <w:p w14:paraId="68C874A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21" w:type="dxa"/>
            <w:tcBorders>
              <w:top w:val="nil"/>
              <w:left w:val="nil"/>
              <w:bottom w:val="nil"/>
              <w:right w:val="nil"/>
            </w:tcBorders>
            <w:shd w:val="clear" w:color="auto" w:fill="auto"/>
            <w:noWrap/>
            <w:vAlign w:val="center"/>
            <w:hideMark/>
          </w:tcPr>
          <w:p w14:paraId="6D30839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D5797A8"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p>
    <w:p w14:paraId="2461F9D9"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00"/>
          <w:szCs w:val="100"/>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di euro 9.919.871,16 sono state destinate per euro 12.929,14 al funzionamento e per euro 9.906.942,02</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agli interventi.</w:t>
      </w:r>
    </w:p>
    <w:p w14:paraId="5DBAD05F" w14:textId="77777777" w:rsidR="00F56356" w:rsidRPr="00F56356" w:rsidRDefault="00F56356" w:rsidP="00F56356">
      <w:pPr>
        <w:spacing w:after="0" w:line="360" w:lineRule="auto"/>
        <w:ind w:left="284"/>
        <w:jc w:val="both"/>
        <w:rPr>
          <w:rFonts w:ascii="Times New Roman" w:eastAsia="Times New Roman" w:hAnsi="Times New Roman" w:cs="Times New Roman"/>
          <w:sz w:val="10"/>
          <w:szCs w:val="24"/>
          <w:lang w:eastAsia="it-IT"/>
        </w:rPr>
      </w:pPr>
    </w:p>
    <w:p w14:paraId="62D8C4D8" w14:textId="77777777" w:rsidR="00F56356" w:rsidRPr="00F56356" w:rsidRDefault="00F56356" w:rsidP="00F56356">
      <w:pPr>
        <w:spacing w:after="0" w:line="360" w:lineRule="auto"/>
        <w:ind w:left="284"/>
        <w:jc w:val="both"/>
        <w:rPr>
          <w:rFonts w:ascii="Times New Roman" w:eastAsia="Times New Roman" w:hAnsi="Times New Roman" w:cs="Times New Roman"/>
          <w:sz w:val="10"/>
          <w:szCs w:val="24"/>
          <w:lang w:eastAsia="it-IT"/>
        </w:rPr>
      </w:pPr>
    </w:p>
    <w:p w14:paraId="310487B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 xml:space="preserve">Le risorse impegnate per il funzionamento di euro 12.929,14 si riferiscono a rimborsi per </w:t>
      </w:r>
      <w:r w:rsidRPr="00F56356">
        <w:rPr>
          <w:rFonts w:ascii="Times New Roman" w:eastAsia="Times New Roman" w:hAnsi="Times New Roman" w:cs="Times New Roman"/>
          <w:color w:val="000000" w:themeColor="text1"/>
          <w:sz w:val="24"/>
          <w:szCs w:val="24"/>
          <w:lang w:eastAsia="it-IT"/>
        </w:rPr>
        <w:t>spese di missioni nel territorio nazionale e all’estero (cap. 781). Dopo la pandemia gli incontri istituzionali sono stati principalmente organizzati in Italia e on-line.</w:t>
      </w:r>
    </w:p>
    <w:p w14:paraId="15D7F50A" w14:textId="77777777" w:rsidR="00F56356" w:rsidRPr="00F56356" w:rsidRDefault="00F56356" w:rsidP="00F56356">
      <w:pPr>
        <w:spacing w:after="0" w:line="360" w:lineRule="auto"/>
        <w:ind w:left="284"/>
        <w:jc w:val="both"/>
        <w:rPr>
          <w:rFonts w:eastAsia="Times New Roman" w:cstheme="minorHAnsi"/>
          <w:bCs/>
          <w:sz w:val="24"/>
          <w:szCs w:val="24"/>
          <w:lang w:eastAsia="it-IT"/>
        </w:rPr>
      </w:pPr>
    </w:p>
    <w:p w14:paraId="18E04DE3" w14:textId="77777777" w:rsidR="00F56356" w:rsidRPr="00F56356" w:rsidRDefault="00F56356" w:rsidP="00F56356">
      <w:pPr>
        <w:spacing w:after="0" w:line="360" w:lineRule="auto"/>
        <w:ind w:left="284"/>
        <w:jc w:val="both"/>
        <w:rPr>
          <w:rFonts w:ascii="Times New Roman" w:eastAsia="Times New Roman" w:hAnsi="Times New Roman" w:cs="Times New Roman"/>
          <w:bCs/>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11488" behindDoc="1" locked="0" layoutInCell="1" allowOverlap="1" wp14:anchorId="19365CA8" wp14:editId="558D4D7B">
            <wp:simplePos x="0" y="0"/>
            <wp:positionH relativeFrom="column">
              <wp:posOffset>184785</wp:posOffset>
            </wp:positionH>
            <wp:positionV relativeFrom="paragraph">
              <wp:posOffset>259080</wp:posOffset>
            </wp:positionV>
            <wp:extent cx="5924550" cy="1144270"/>
            <wp:effectExtent l="0" t="0" r="0" b="0"/>
            <wp:wrapTight wrapText="bothSides">
              <wp:wrapPolygon edited="0">
                <wp:start x="0" y="0"/>
                <wp:lineTo x="0" y="21216"/>
                <wp:lineTo x="11668" y="21216"/>
                <wp:lineTo x="21531" y="17980"/>
                <wp:lineTo x="21531" y="0"/>
                <wp:lineTo x="0" y="0"/>
              </wp:wrapPolygon>
            </wp:wrapTight>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24550" cy="1144270"/>
                    </a:xfrm>
                    <a:prstGeom prst="rect">
                      <a:avLst/>
                    </a:prstGeom>
                    <a:noFill/>
                    <a:ln>
                      <a:noFill/>
                    </a:ln>
                  </pic:spPr>
                </pic:pic>
              </a:graphicData>
            </a:graphic>
            <wp14:sizeRelH relativeFrom="margin">
              <wp14:pctWidth>0</wp14:pctWidth>
            </wp14:sizeRelH>
          </wp:anchor>
        </w:drawing>
      </w:r>
      <w:r w:rsidRPr="00F56356">
        <w:rPr>
          <w:rFonts w:eastAsia="Times New Roman" w:cstheme="minorHAnsi"/>
          <w:bCs/>
          <w:sz w:val="24"/>
          <w:szCs w:val="24"/>
          <w:lang w:eastAsia="it-IT"/>
        </w:rPr>
        <w:t xml:space="preserve">                                                                      </w:t>
      </w:r>
      <w:r w:rsidRPr="00F56356">
        <w:rPr>
          <w:rFonts w:ascii="Times New Roman" w:eastAsia="Times New Roman" w:hAnsi="Times New Roman" w:cs="Times New Roman"/>
          <w:bCs/>
          <w:sz w:val="24"/>
          <w:szCs w:val="24"/>
          <w:lang w:eastAsia="it-IT"/>
        </w:rPr>
        <w:t>Indicatori di bilancio</w:t>
      </w:r>
    </w:p>
    <w:p w14:paraId="7018BB5A" w14:textId="77777777" w:rsidR="00F56356" w:rsidRPr="00F56356" w:rsidRDefault="00F56356" w:rsidP="00F56356">
      <w:pPr>
        <w:spacing w:after="0" w:line="360" w:lineRule="auto"/>
        <w:ind w:left="284"/>
        <w:jc w:val="center"/>
        <w:rPr>
          <w:rFonts w:ascii="Times New Roman" w:eastAsia="Times New Roman" w:hAnsi="Times New Roman" w:cs="Times New Roman"/>
          <w:b/>
          <w:bCs/>
          <w:sz w:val="24"/>
          <w:szCs w:val="24"/>
          <w:lang w:eastAsia="it-IT"/>
        </w:rPr>
      </w:pPr>
    </w:p>
    <w:p w14:paraId="7FD86D3E" w14:textId="77777777" w:rsidR="00F56356" w:rsidRPr="00F56356" w:rsidRDefault="00F56356" w:rsidP="00F56356">
      <w:pPr>
        <w:spacing w:after="0" w:line="360" w:lineRule="auto"/>
        <w:ind w:left="284"/>
        <w:jc w:val="both"/>
        <w:rPr>
          <w:rFonts w:ascii="Times New Roman" w:eastAsia="Times New Roman" w:hAnsi="Times New Roman" w:cs="Times New Roman"/>
          <w:b/>
          <w:bCs/>
          <w:sz w:val="24"/>
          <w:szCs w:val="24"/>
          <w:lang w:eastAsia="it-IT"/>
        </w:rPr>
      </w:pPr>
    </w:p>
    <w:p w14:paraId="2CE3E5FA" w14:textId="77777777" w:rsidR="00F56356" w:rsidRPr="00F56356" w:rsidRDefault="00F56356" w:rsidP="00F56356">
      <w:pPr>
        <w:spacing w:after="0" w:line="360" w:lineRule="auto"/>
        <w:ind w:left="284"/>
        <w:jc w:val="both"/>
        <w:rPr>
          <w:rFonts w:ascii="Times New Roman" w:eastAsia="Times New Roman" w:hAnsi="Times New Roman" w:cs="Times New Roman"/>
          <w:b/>
          <w:bCs/>
          <w:sz w:val="24"/>
          <w:szCs w:val="24"/>
          <w:lang w:eastAsia="it-IT"/>
        </w:rPr>
      </w:pPr>
    </w:p>
    <w:p w14:paraId="3DFA6470"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
          <w:bCs/>
          <w:sz w:val="24"/>
          <w:szCs w:val="24"/>
          <w:lang w:eastAsia="it-IT"/>
        </w:rPr>
        <w:t xml:space="preserve">2.2.2 </w:t>
      </w:r>
      <w:r w:rsidRPr="00F56356">
        <w:rPr>
          <w:rFonts w:ascii="Times New Roman" w:eastAsia="Times New Roman" w:hAnsi="Times New Roman" w:cs="Times New Roman"/>
          <w:bCs/>
          <w:sz w:val="24"/>
          <w:szCs w:val="24"/>
          <w:lang w:eastAsia="it-IT"/>
        </w:rPr>
        <w:t xml:space="preserve">Le somme impegnate per gli interventi pari a euro </w:t>
      </w:r>
      <w:r w:rsidRPr="00F56356">
        <w:rPr>
          <w:rFonts w:ascii="Times New Roman" w:eastAsia="Times New Roman" w:hAnsi="Times New Roman" w:cs="Times New Roman"/>
          <w:sz w:val="24"/>
          <w:szCs w:val="24"/>
          <w:lang w:eastAsia="it-IT"/>
        </w:rPr>
        <w:t>9.906.942,02,</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bCs/>
          <w:color w:val="000000" w:themeColor="text1"/>
          <w:sz w:val="24"/>
          <w:szCs w:val="24"/>
          <w:lang w:eastAsia="it-IT"/>
        </w:rPr>
        <w:t xml:space="preserve">di cui euro 2.596.207,34 </w:t>
      </w:r>
      <w:r w:rsidRPr="00F56356">
        <w:rPr>
          <w:rFonts w:ascii="Times New Roman" w:eastAsia="Times New Roman" w:hAnsi="Times New Roman" w:cs="Times New Roman"/>
          <w:bCs/>
          <w:sz w:val="24"/>
          <w:szCs w:val="24"/>
          <w:lang w:eastAsia="it-IT"/>
        </w:rPr>
        <w:t xml:space="preserve">riferiti a </w:t>
      </w:r>
      <w:r w:rsidRPr="00F56356">
        <w:rPr>
          <w:rFonts w:ascii="Times New Roman" w:eastAsia="Times New Roman" w:hAnsi="Times New Roman" w:cs="Times New Roman"/>
          <w:sz w:val="24"/>
          <w:szCs w:val="24"/>
          <w:lang w:eastAsia="it-IT"/>
        </w:rPr>
        <w:t xml:space="preserve">reiscrizione in bilancio di residui passivi perenti, sono state </w:t>
      </w:r>
      <w:r w:rsidRPr="00F56356">
        <w:rPr>
          <w:rFonts w:ascii="Times New Roman" w:eastAsia="Times New Roman" w:hAnsi="Times New Roman" w:cs="Times New Roman"/>
          <w:bCs/>
          <w:sz w:val="24"/>
          <w:szCs w:val="24"/>
          <w:lang w:eastAsia="it-IT"/>
        </w:rPr>
        <w:t>destinate</w:t>
      </w:r>
      <w:r w:rsidRPr="00F56356">
        <w:rPr>
          <w:rFonts w:ascii="Times New Roman" w:eastAsia="Times New Roman" w:hAnsi="Times New Roman" w:cs="Times New Roman"/>
          <w:bCs/>
          <w:color w:val="000000" w:themeColor="text1"/>
          <w:sz w:val="24"/>
          <w:szCs w:val="24"/>
          <w:lang w:eastAsia="it-IT"/>
        </w:rPr>
        <w:t xml:space="preserve">: </w:t>
      </w:r>
    </w:p>
    <w:p w14:paraId="49EBF481" w14:textId="77777777" w:rsidR="00F56356" w:rsidRPr="00F56356" w:rsidRDefault="00F56356" w:rsidP="00F56356">
      <w:pPr>
        <w:spacing w:after="0" w:line="360" w:lineRule="auto"/>
        <w:ind w:left="284"/>
        <w:jc w:val="both"/>
        <w:rPr>
          <w:rFonts w:ascii="Times New Roman" w:eastAsia="Times New Roman" w:hAnsi="Times New Roman" w:cs="Times New Roman"/>
          <w:bCs/>
          <w:i/>
          <w:color w:val="FF0000"/>
          <w:sz w:val="24"/>
          <w:szCs w:val="24"/>
          <w:lang w:eastAsia="it-IT"/>
        </w:rPr>
      </w:pPr>
      <w:r w:rsidRPr="00F56356">
        <w:rPr>
          <w:rFonts w:ascii="Times New Roman" w:eastAsia="Times New Roman" w:hAnsi="Times New Roman" w:cs="Times New Roman"/>
          <w:bCs/>
          <w:color w:val="000000" w:themeColor="text1"/>
          <w:sz w:val="24"/>
          <w:szCs w:val="24"/>
          <w:lang w:eastAsia="it-IT"/>
        </w:rPr>
        <w:t>a) “</w:t>
      </w:r>
      <w:r w:rsidRPr="00F56356">
        <w:rPr>
          <w:rFonts w:ascii="Times New Roman" w:eastAsia="Times New Roman" w:hAnsi="Times New Roman" w:cs="Times New Roman"/>
          <w:bCs/>
          <w:i/>
          <w:color w:val="000000" w:themeColor="text1"/>
          <w:sz w:val="24"/>
          <w:szCs w:val="24"/>
          <w:lang w:eastAsia="it-IT"/>
        </w:rPr>
        <w:t xml:space="preserve">Spese per interventi specifici per l’implementazione del sistema di allerta precoce, sistemi di comunicazione e attività di monitoraggio” </w:t>
      </w:r>
      <w:r w:rsidRPr="00F56356">
        <w:rPr>
          <w:rFonts w:ascii="Times New Roman" w:eastAsia="Times New Roman" w:hAnsi="Times New Roman" w:cs="Times New Roman"/>
          <w:bCs/>
          <w:color w:val="000000" w:themeColor="text1"/>
          <w:sz w:val="24"/>
          <w:szCs w:val="24"/>
          <w:lang w:eastAsia="it-IT"/>
        </w:rPr>
        <w:t>(cap. 771)</w:t>
      </w:r>
    </w:p>
    <w:p w14:paraId="7C0FCE34"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867.783,64, di cui:</w:t>
      </w:r>
    </w:p>
    <w:p w14:paraId="05669CD3"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277.848,64 riferiti a reiscrizioni di residui passivi perenti;</w:t>
      </w:r>
    </w:p>
    <w:p w14:paraId="4C9B0EE9"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167.935,00 a due Accordi di collaborazione interistituzionale con il Comando Generale dell’Arma dei Carabinieri per il progetto “</w:t>
      </w:r>
      <w:proofErr w:type="spellStart"/>
      <w:r w:rsidRPr="00F56356">
        <w:rPr>
          <w:rFonts w:ascii="Times New Roman" w:eastAsia="Times New Roman" w:hAnsi="Times New Roman" w:cs="Times New Roman"/>
          <w:bCs/>
          <w:color w:val="000000" w:themeColor="text1"/>
          <w:sz w:val="24"/>
          <w:szCs w:val="24"/>
          <w:lang w:eastAsia="it-IT"/>
        </w:rPr>
        <w:t>Predisction</w:t>
      </w:r>
      <w:proofErr w:type="spellEnd"/>
      <w:r w:rsidRPr="00F56356">
        <w:rPr>
          <w:rFonts w:ascii="Times New Roman" w:eastAsia="Times New Roman" w:hAnsi="Times New Roman" w:cs="Times New Roman"/>
          <w:bCs/>
          <w:color w:val="000000" w:themeColor="text1"/>
          <w:sz w:val="24"/>
          <w:szCs w:val="24"/>
          <w:lang w:eastAsia="it-IT"/>
        </w:rPr>
        <w:t xml:space="preserve">” e con l’Istituto Superiore di Sanità per il progetto “Help </w:t>
      </w:r>
      <w:proofErr w:type="spellStart"/>
      <w:r w:rsidRPr="00F56356">
        <w:rPr>
          <w:rFonts w:ascii="Times New Roman" w:eastAsia="Times New Roman" w:hAnsi="Times New Roman" w:cs="Times New Roman"/>
          <w:bCs/>
          <w:color w:val="000000" w:themeColor="text1"/>
          <w:sz w:val="24"/>
          <w:szCs w:val="24"/>
          <w:lang w:eastAsia="it-IT"/>
        </w:rPr>
        <w:t>Snap</w:t>
      </w:r>
      <w:proofErr w:type="spellEnd"/>
      <w:r w:rsidRPr="00F56356">
        <w:rPr>
          <w:rFonts w:ascii="Times New Roman" w:eastAsia="Times New Roman" w:hAnsi="Times New Roman" w:cs="Times New Roman"/>
          <w:bCs/>
          <w:color w:val="000000" w:themeColor="text1"/>
          <w:sz w:val="24"/>
          <w:szCs w:val="24"/>
          <w:lang w:eastAsia="it-IT"/>
        </w:rPr>
        <w:t xml:space="preserve"> 2”</w:t>
      </w:r>
    </w:p>
    <w:p w14:paraId="7397ECB0"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422.000,00 a un accordo stipulato negli esercizi precedenti, ma con IPE su più esercizi finanziari;</w:t>
      </w:r>
    </w:p>
    <w:p w14:paraId="2660194B"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b) “</w:t>
      </w:r>
      <w:r w:rsidRPr="00F56356">
        <w:rPr>
          <w:rFonts w:ascii="Times New Roman" w:eastAsia="Times New Roman" w:hAnsi="Times New Roman" w:cs="Times New Roman"/>
          <w:bCs/>
          <w:i/>
          <w:color w:val="000000" w:themeColor="text1"/>
          <w:sz w:val="24"/>
          <w:szCs w:val="24"/>
          <w:lang w:eastAsia="it-IT"/>
        </w:rPr>
        <w:t xml:space="preserve">Fondo per l’incidentalità notturna” </w:t>
      </w:r>
      <w:r w:rsidRPr="00F56356">
        <w:rPr>
          <w:rFonts w:ascii="Times New Roman" w:eastAsia="Times New Roman" w:hAnsi="Times New Roman" w:cs="Times New Roman"/>
          <w:bCs/>
          <w:color w:val="000000" w:themeColor="text1"/>
          <w:sz w:val="24"/>
          <w:szCs w:val="24"/>
          <w:lang w:eastAsia="it-IT"/>
        </w:rPr>
        <w:t>(cap. 772)</w:t>
      </w:r>
    </w:p>
    <w:p w14:paraId="4FB727BD"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lastRenderedPageBreak/>
        <w:t>- euro 5.410.344,10, di cui:</w:t>
      </w:r>
    </w:p>
    <w:p w14:paraId="407C612A"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386.272,89 riferiti a reiscrizioni di residui passivi perenti;</w:t>
      </w:r>
    </w:p>
    <w:p w14:paraId="7EA86A7C"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5.024.071,21 allo scorrimento della graduatoria relativa all’Avviso pubblico “per la selezione di progetti per la promozione, il coordinamento e il monitoraggio sul territorio nazionale di attività di prevenzione, sperimentazione e contrasto all’incidentalità stradale alcool e droga correlata”;</w:t>
      </w:r>
    </w:p>
    <w:p w14:paraId="1E0A1C46"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c)</w:t>
      </w:r>
      <w:r w:rsidRPr="00F56356">
        <w:rPr>
          <w:rFonts w:ascii="Times New Roman" w:eastAsia="Times New Roman" w:hAnsi="Times New Roman" w:cs="Times New Roman"/>
          <w:bCs/>
          <w:i/>
          <w:color w:val="000000" w:themeColor="text1"/>
          <w:sz w:val="24"/>
          <w:szCs w:val="24"/>
          <w:lang w:eastAsia="it-IT"/>
        </w:rPr>
        <w:t xml:space="preserve"> “Spese per la realizzazione di attività, contributi obbligatori e volontari per partecipazione italiana a organismi europei e internazionali” </w:t>
      </w:r>
      <w:r w:rsidRPr="00F56356">
        <w:rPr>
          <w:rFonts w:ascii="Times New Roman" w:eastAsia="Times New Roman" w:hAnsi="Times New Roman" w:cs="Times New Roman"/>
          <w:bCs/>
          <w:color w:val="000000" w:themeColor="text1"/>
          <w:sz w:val="24"/>
          <w:szCs w:val="24"/>
          <w:lang w:eastAsia="it-IT"/>
        </w:rPr>
        <w:t>(cap. 773)</w:t>
      </w:r>
    </w:p>
    <w:p w14:paraId="04EB5B69"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euro 351.984,73, di cui: </w:t>
      </w:r>
    </w:p>
    <w:p w14:paraId="541E848A"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euro 202.838,86 all’erogazione del contributo obbligatorio relativo all’adesione dell’Italia al Gruppo Pompidou del Consiglio d’Europa in materia di prevenzione sulle tossicodipendenze; </w:t>
      </w:r>
    </w:p>
    <w:p w14:paraId="31CF8138"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euro 120.000,00 all’erogazione del contributo volontario della rete </w:t>
      </w:r>
      <w:proofErr w:type="spellStart"/>
      <w:r w:rsidRPr="00F56356">
        <w:rPr>
          <w:rFonts w:ascii="Times New Roman" w:eastAsia="Times New Roman" w:hAnsi="Times New Roman" w:cs="Times New Roman"/>
          <w:bCs/>
          <w:color w:val="000000" w:themeColor="text1"/>
          <w:sz w:val="24"/>
          <w:szCs w:val="24"/>
          <w:lang w:eastAsia="it-IT"/>
        </w:rPr>
        <w:t>Mednet</w:t>
      </w:r>
      <w:proofErr w:type="spellEnd"/>
      <w:r w:rsidRPr="00F56356">
        <w:rPr>
          <w:rFonts w:ascii="Times New Roman" w:eastAsia="Times New Roman" w:hAnsi="Times New Roman" w:cs="Times New Roman"/>
          <w:bCs/>
          <w:color w:val="000000" w:themeColor="text1"/>
          <w:sz w:val="24"/>
          <w:szCs w:val="24"/>
          <w:lang w:eastAsia="it-IT"/>
        </w:rPr>
        <w:t xml:space="preserve"> del Consiglio d’Europa;</w:t>
      </w:r>
    </w:p>
    <w:p w14:paraId="009D0815"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euro 24.329,87 al contributo addizionale a quello obbligatorio al Gruppo Pompidou del Consiglio d’Europa a seguito dell’espulsione della Federazione Russa dal Consiglio e del conseguente venir meno del contributo obbligatorio da essa versato per l’anno 2022;</w:t>
      </w:r>
    </w:p>
    <w:p w14:paraId="234BACBA"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 euro 4.816,00 alle spese per la realizzazione di un evento on-line, voluto dal Ministro per le Politiche Giovanili </w:t>
      </w:r>
      <w:r w:rsidRPr="00F56356">
        <w:rPr>
          <w:rFonts w:ascii="Times New Roman" w:eastAsia="Times New Roman" w:hAnsi="Times New Roman" w:cs="Times New Roman"/>
          <w:bCs/>
          <w:i/>
          <w:color w:val="000000" w:themeColor="text1"/>
          <w:sz w:val="24"/>
          <w:szCs w:val="24"/>
          <w:lang w:eastAsia="it-IT"/>
        </w:rPr>
        <w:t>pro-tempore</w:t>
      </w:r>
      <w:r w:rsidRPr="00F56356">
        <w:rPr>
          <w:rFonts w:ascii="Times New Roman" w:eastAsia="Times New Roman" w:hAnsi="Times New Roman" w:cs="Times New Roman"/>
          <w:bCs/>
          <w:color w:val="000000" w:themeColor="text1"/>
          <w:sz w:val="24"/>
          <w:szCs w:val="24"/>
          <w:lang w:eastAsia="it-IT"/>
        </w:rPr>
        <w:t xml:space="preserve"> con delega alle funzioni in materia di politiche antidroga, in occasione della 65^ Commissione stupefacenti delle Nazioni Unite e alle spese per la realizzazione di un incontro istituzionale che il DPA ha organizzato alla presenza di tutti i referenti internazionali del Gruppo Pompidou del Consiglio d’Europa, in occasione del 90^ meeting dei corrispondenti permanenti;</w:t>
      </w:r>
    </w:p>
    <w:p w14:paraId="292E1DA9" w14:textId="77777777" w:rsidR="00F56356" w:rsidRPr="00F56356" w:rsidRDefault="00F56356" w:rsidP="00F56356">
      <w:pPr>
        <w:spacing w:after="0" w:line="360" w:lineRule="auto"/>
        <w:ind w:left="284"/>
        <w:jc w:val="both"/>
        <w:rPr>
          <w:rFonts w:ascii="Times New Roman" w:eastAsia="Times New Roman" w:hAnsi="Times New Roman" w:cs="Times New Roman"/>
          <w:bCs/>
          <w:i/>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d) </w:t>
      </w:r>
      <w:r w:rsidRPr="00F56356">
        <w:rPr>
          <w:rFonts w:ascii="Times New Roman" w:eastAsia="Times New Roman" w:hAnsi="Times New Roman" w:cs="Times New Roman"/>
          <w:bCs/>
          <w:i/>
          <w:color w:val="000000" w:themeColor="text1"/>
          <w:sz w:val="24"/>
          <w:szCs w:val="24"/>
          <w:lang w:eastAsia="it-IT"/>
        </w:rPr>
        <w:t>“Spese per interventi e progetti finalizzati alla prevenzione e al recupero dalle tossicodipendenze e dall’</w:t>
      </w:r>
      <w:proofErr w:type="spellStart"/>
      <w:r w:rsidRPr="00F56356">
        <w:rPr>
          <w:rFonts w:ascii="Times New Roman" w:eastAsia="Times New Roman" w:hAnsi="Times New Roman" w:cs="Times New Roman"/>
          <w:bCs/>
          <w:i/>
          <w:color w:val="000000" w:themeColor="text1"/>
          <w:sz w:val="24"/>
          <w:szCs w:val="24"/>
          <w:lang w:eastAsia="it-IT"/>
        </w:rPr>
        <w:t>alcoldipendenza</w:t>
      </w:r>
      <w:proofErr w:type="spellEnd"/>
      <w:r w:rsidRPr="00F56356">
        <w:rPr>
          <w:rFonts w:ascii="Times New Roman" w:eastAsia="Times New Roman" w:hAnsi="Times New Roman" w:cs="Times New Roman"/>
          <w:bCs/>
          <w:i/>
          <w:color w:val="000000" w:themeColor="text1"/>
          <w:sz w:val="24"/>
          <w:szCs w:val="24"/>
          <w:lang w:eastAsia="it-IT"/>
        </w:rPr>
        <w:t xml:space="preserve"> correlata nonché spese relative ad attività di documentazione e studio e ricerca per le politiche antidroga e per le convenzioni istituzionali anche con organismi internazionali” </w:t>
      </w:r>
      <w:r w:rsidRPr="00F56356">
        <w:rPr>
          <w:rFonts w:ascii="Times New Roman" w:eastAsia="Times New Roman" w:hAnsi="Times New Roman" w:cs="Times New Roman"/>
          <w:bCs/>
          <w:color w:val="000000" w:themeColor="text1"/>
          <w:sz w:val="24"/>
          <w:szCs w:val="24"/>
          <w:lang w:eastAsia="it-IT"/>
        </w:rPr>
        <w:t>(cap. 786)</w:t>
      </w:r>
    </w:p>
    <w:p w14:paraId="6934A35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3.082.646,08, di cui:</w:t>
      </w:r>
    </w:p>
    <w:p w14:paraId="236A1E2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1.808.228,28 riferiti a reiscrizioni di residui passivi perenti;</w:t>
      </w:r>
    </w:p>
    <w:p w14:paraId="39127C8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174.680,00 all’Accordo di collaborazione interistituzionale con il Consiglio Nazionale delle Ricerche – Istituto di Fisiologia Clinica per il progetto “Osservatorio dipendenze LAB”;</w:t>
      </w:r>
    </w:p>
    <w:p w14:paraId="15411FA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1.099.737,80 complessivi per cinque accordi stipulati negli esercizi precedenti, ma con IPE su più esercizi finanziari;</w:t>
      </w:r>
    </w:p>
    <w:p w14:paraId="7E67981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 xml:space="preserve">Spese per l’implementazione e la gestione dell’Osservatorio nazionale sulle tossicodipendenze, monitoraggio e flusso dati nonché per la relazione annuale al Parlamento e reportistica istituzionale” </w:t>
      </w:r>
      <w:r w:rsidRPr="00F56356">
        <w:rPr>
          <w:rFonts w:ascii="Times New Roman" w:eastAsia="Times New Roman" w:hAnsi="Times New Roman" w:cs="Times New Roman"/>
          <w:color w:val="000000" w:themeColor="text1"/>
          <w:sz w:val="24"/>
          <w:szCs w:val="24"/>
          <w:lang w:eastAsia="it-IT"/>
        </w:rPr>
        <w:t>(cap. 787)</w:t>
      </w:r>
    </w:p>
    <w:p w14:paraId="6741949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192.279,53 di cui:</w:t>
      </w:r>
    </w:p>
    <w:p w14:paraId="59EDA17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123.857,53 riferiti a reiscrizioni di residui passivi perenti;</w:t>
      </w:r>
    </w:p>
    <w:p w14:paraId="0C5953A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68.422,00 all’Accordo di collaborazione interistituzionale con l’Università Politecnica delle Marche -</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Dipartimento di eccellenza di scienze biometriche e sanità pubblica per il progetto “Implementazione dell’identificazione e studio degli effetti delle NPS: Sviluppo di una multicentrica di ricerca per potenziare la base dati dell’Osservatorio Nazionale Tossicodipendenze e del Sistema di Allerta Precoce”;</w:t>
      </w:r>
    </w:p>
    <w:p w14:paraId="59EB620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f) </w:t>
      </w:r>
      <w:r w:rsidRPr="00F56356">
        <w:rPr>
          <w:rFonts w:ascii="Times New Roman" w:eastAsia="Times New Roman" w:hAnsi="Times New Roman" w:cs="Times New Roman"/>
          <w:i/>
          <w:color w:val="000000" w:themeColor="text1"/>
          <w:sz w:val="24"/>
          <w:szCs w:val="24"/>
          <w:lang w:eastAsia="it-IT"/>
        </w:rPr>
        <w:t>“Spese per la conferenza triennale sui problemi connessi alla tossicodipendenza ivi compresi gli eventi preparatori”</w:t>
      </w:r>
      <w:r w:rsidRPr="00F56356">
        <w:rPr>
          <w:rFonts w:ascii="Times New Roman" w:eastAsia="Times New Roman" w:hAnsi="Times New Roman" w:cs="Times New Roman"/>
          <w:color w:val="000000" w:themeColor="text1"/>
          <w:sz w:val="24"/>
          <w:szCs w:val="24"/>
          <w:lang w:eastAsia="it-IT"/>
        </w:rPr>
        <w:t xml:space="preserve"> (cap. 788) </w:t>
      </w:r>
    </w:p>
    <w:p w14:paraId="361C3BA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1.903,94 alla realizzazione di attività ed eventi ad esito delle risultanze della VI Conferenza nazionale sui problemi connessi con la diffusione delle sostanze stupefacenti e psicotrope.</w:t>
      </w:r>
    </w:p>
    <w:p w14:paraId="742A17D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DE26616"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41730394"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4"/>
          <w:szCs w:val="24"/>
          <w:lang w:eastAsia="it-IT"/>
        </w:rPr>
      </w:pPr>
    </w:p>
    <w:p w14:paraId="745D1755"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4"/>
          <w:szCs w:val="24"/>
          <w:lang w:eastAsia="it-IT"/>
        </w:rPr>
      </w:pPr>
    </w:p>
    <w:p w14:paraId="32551E87"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12512" behindDoc="1" locked="0" layoutInCell="1" allowOverlap="1" wp14:anchorId="28E24738" wp14:editId="0BD2F987">
            <wp:simplePos x="0" y="0"/>
            <wp:positionH relativeFrom="column">
              <wp:posOffset>165735</wp:posOffset>
            </wp:positionH>
            <wp:positionV relativeFrom="paragraph">
              <wp:posOffset>20955</wp:posOffset>
            </wp:positionV>
            <wp:extent cx="5956300" cy="2178050"/>
            <wp:effectExtent l="0" t="0" r="6350" b="0"/>
            <wp:wrapTight wrapText="bothSides">
              <wp:wrapPolygon edited="0">
                <wp:start x="0" y="0"/>
                <wp:lineTo x="0" y="21348"/>
                <wp:lineTo x="11675" y="21348"/>
                <wp:lineTo x="15751" y="21159"/>
                <wp:lineTo x="21554" y="19459"/>
                <wp:lineTo x="21554" y="0"/>
                <wp:lineTo x="0" y="0"/>
              </wp:wrapPolygon>
            </wp:wrapTight>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56300" cy="2178050"/>
                    </a:xfrm>
                    <a:prstGeom prst="rect">
                      <a:avLst/>
                    </a:prstGeom>
                    <a:noFill/>
                    <a:ln>
                      <a:noFill/>
                    </a:ln>
                  </pic:spPr>
                </pic:pic>
              </a:graphicData>
            </a:graphic>
            <wp14:sizeRelH relativeFrom="margin">
              <wp14:pctWidth>0</wp14:pctWidth>
            </wp14:sizeRelH>
          </wp:anchor>
        </w:drawing>
      </w:r>
    </w:p>
    <w:p w14:paraId="0680E442"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2"/>
          <w:szCs w:val="24"/>
          <w:lang w:eastAsia="it-IT"/>
        </w:rPr>
      </w:pPr>
    </w:p>
    <w:p w14:paraId="19C168D5"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2"/>
          <w:szCs w:val="24"/>
          <w:lang w:eastAsia="it-IT"/>
        </w:rPr>
      </w:pPr>
    </w:p>
    <w:p w14:paraId="2BDF7757"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2"/>
          <w:szCs w:val="24"/>
          <w:lang w:eastAsia="it-IT"/>
        </w:rPr>
      </w:pPr>
    </w:p>
    <w:p w14:paraId="36F214C8"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FF0000"/>
          <w:sz w:val="6"/>
          <w:szCs w:val="24"/>
          <w:lang w:eastAsia="it-IT"/>
        </w:rPr>
      </w:pPr>
    </w:p>
    <w:p w14:paraId="0013FDC6" w14:textId="77777777" w:rsidR="00F56356" w:rsidRPr="00F56356" w:rsidRDefault="00F56356" w:rsidP="00F56356">
      <w:pPr>
        <w:tabs>
          <w:tab w:val="left" w:pos="567"/>
        </w:tabs>
        <w:spacing w:after="0" w:line="360" w:lineRule="auto"/>
        <w:ind w:left="284"/>
        <w:contextualSpacing/>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19FB427D"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a) per il capitolo 787 - </w:t>
      </w:r>
      <w:r w:rsidRPr="00F56356">
        <w:rPr>
          <w:rFonts w:ascii="Times New Roman" w:eastAsia="Times New Roman" w:hAnsi="Times New Roman" w:cs="Times New Roman"/>
          <w:bCs/>
          <w:i/>
          <w:color w:val="000000" w:themeColor="text1"/>
          <w:sz w:val="24"/>
          <w:szCs w:val="24"/>
          <w:lang w:eastAsia="it-IT"/>
        </w:rPr>
        <w:t>Spese per l’implementazione e la gestione dell’Osservatorio nazionale sulle tossicodipendenze, monitoraggio e flusso dati nonché per la relazione annuale al Parlamento e reportistica istituzionale,</w:t>
      </w:r>
      <w:r w:rsidRPr="00F56356">
        <w:rPr>
          <w:rFonts w:ascii="Times New Roman" w:eastAsia="Times New Roman" w:hAnsi="Times New Roman" w:cs="Times New Roman"/>
          <w:bCs/>
          <w:color w:val="000000" w:themeColor="text1"/>
          <w:sz w:val="24"/>
          <w:szCs w:val="24"/>
          <w:lang w:eastAsia="it-IT"/>
        </w:rPr>
        <w:t xml:space="preserve"> dalla circostanza che non sono state intraprese altre attività riguardanti l’Osservatorio.</w:t>
      </w:r>
    </w:p>
    <w:p w14:paraId="573279A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46728ED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774 - </w:t>
      </w:r>
      <w:r w:rsidRPr="00F56356">
        <w:rPr>
          <w:rFonts w:ascii="Times New Roman" w:eastAsia="Times New Roman" w:hAnsi="Times New Roman" w:cs="Times New Roman"/>
          <w:i/>
          <w:color w:val="000000" w:themeColor="text1"/>
          <w:sz w:val="24"/>
          <w:szCs w:val="24"/>
          <w:lang w:eastAsia="it-IT"/>
        </w:rPr>
        <w:t>Fondo per la prevenzione della dipendenza da stupefacenti</w:t>
      </w:r>
      <w:r w:rsidRPr="00F56356">
        <w:rPr>
          <w:rFonts w:ascii="Times New Roman" w:eastAsia="Times New Roman" w:hAnsi="Times New Roman" w:cs="Times New Roman"/>
          <w:color w:val="000000" w:themeColor="text1"/>
          <w:sz w:val="24"/>
          <w:szCs w:val="24"/>
          <w:lang w:eastAsia="it-IT"/>
        </w:rPr>
        <w:t>, in fase di bilancio di previsione 2022, non essendo presente lo stanziamento iniziale delle risorse, non sono stati previsti indicatori di realizzazione finanziaria, che sono in ogni caso connessi alle determinazioni di esclusiva competenza dell’Autorità politica. Tuttavia si rappresenta che le risorse finanziarie allocate sul capitolo non sono state impegnate poiché è stato previsto un Avviso pubblico che determina un complesso iter procedurale;</w:t>
      </w:r>
    </w:p>
    <w:p w14:paraId="33DE060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c) per il capitolo 775 - </w:t>
      </w:r>
      <w:r w:rsidRPr="00F56356">
        <w:rPr>
          <w:rFonts w:ascii="Times New Roman" w:eastAsia="Times New Roman" w:hAnsi="Times New Roman" w:cs="Times New Roman"/>
          <w:i/>
          <w:color w:val="000000" w:themeColor="text1"/>
          <w:sz w:val="24"/>
          <w:szCs w:val="24"/>
          <w:lang w:eastAsia="it-IT"/>
        </w:rPr>
        <w:t xml:space="preserve">Fondo per la prevenzione ed il contrasto delle dipendenze tra le giovani generazioni, </w:t>
      </w:r>
      <w:r w:rsidRPr="00F56356">
        <w:rPr>
          <w:rFonts w:ascii="Times New Roman" w:eastAsia="Times New Roman" w:hAnsi="Times New Roman" w:cs="Times New Roman"/>
          <w:color w:val="000000" w:themeColor="text1"/>
          <w:sz w:val="24"/>
          <w:szCs w:val="24"/>
          <w:lang w:eastAsia="it-IT"/>
        </w:rPr>
        <w:t>in fase di nota integrativa al bilancio di previsione 2022, non sono stati previsti indicatori di realizzazione finanziaria perché connessi alle determinazioni di esclusiva competenza dell’Autorità politica. Il complesso iter procedurale di esame delle proposte e il successivo cambiamento della compagine governativa hanno comportato l’assunzione dell’impegno di spesa nell’esercizio finanziario successivo.</w:t>
      </w:r>
    </w:p>
    <w:p w14:paraId="6799F80F" w14:textId="77777777" w:rsidR="00F56356" w:rsidRPr="00F56356" w:rsidRDefault="00F56356" w:rsidP="00F56356">
      <w:pPr>
        <w:spacing w:after="0" w:line="360" w:lineRule="auto"/>
        <w:ind w:left="426"/>
        <w:jc w:val="both"/>
        <w:rPr>
          <w:rFonts w:ascii="Times New Roman" w:eastAsia="Times New Roman" w:hAnsi="Times New Roman" w:cs="Times New Roman"/>
          <w:color w:val="000000" w:themeColor="text1"/>
          <w:sz w:val="24"/>
          <w:szCs w:val="24"/>
          <w:lang w:eastAsia="it-IT"/>
        </w:rPr>
      </w:pPr>
    </w:p>
    <w:p w14:paraId="18CE362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2020-2022:</w:t>
      </w:r>
    </w:p>
    <w:p w14:paraId="3A008D26"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37BB5CC7" wp14:editId="29E302A1">
            <wp:extent cx="3373247" cy="329548"/>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46387" cy="336693"/>
                    </a:xfrm>
                    <a:prstGeom prst="rect">
                      <a:avLst/>
                    </a:prstGeom>
                    <a:noFill/>
                    <a:ln>
                      <a:noFill/>
                    </a:ln>
                  </pic:spPr>
                </pic:pic>
              </a:graphicData>
            </a:graphic>
          </wp:inline>
        </w:drawing>
      </w:r>
    </w:p>
    <w:p w14:paraId="4233C4DE"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04E8A725" wp14:editId="6C60E2F2">
            <wp:extent cx="3436747" cy="2053817"/>
            <wp:effectExtent l="0" t="0" r="0" b="381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456409" cy="2065567"/>
                    </a:xfrm>
                    <a:prstGeom prst="rect">
                      <a:avLst/>
                    </a:prstGeom>
                    <a:noFill/>
                  </pic:spPr>
                </pic:pic>
              </a:graphicData>
            </a:graphic>
          </wp:inline>
        </w:drawing>
      </w:r>
    </w:p>
    <w:p w14:paraId="57145F39" w14:textId="77777777" w:rsidR="00F56356" w:rsidRPr="00F56356" w:rsidRDefault="00F56356" w:rsidP="00F56356">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43960119" w14:textId="77777777" w:rsidR="00F56356" w:rsidRPr="00F56356" w:rsidRDefault="00F56356" w:rsidP="00F56356">
      <w:pPr>
        <w:spacing w:after="0" w:line="360" w:lineRule="auto"/>
        <w:ind w:left="284"/>
        <w:jc w:val="both"/>
        <w:rPr>
          <w:rFonts w:ascii="Times New Roman" w:eastAsia="Times New Roman" w:hAnsi="Times New Roman" w:cs="Times New Roman"/>
          <w:noProof/>
          <w:color w:val="000000" w:themeColor="text1"/>
          <w:sz w:val="24"/>
          <w:szCs w:val="24"/>
          <w:lang w:eastAsia="it-IT"/>
        </w:rPr>
      </w:pPr>
    </w:p>
    <w:p w14:paraId="6CB4EB6E"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73B8C282"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120AF6A1"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49A44CA3"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3F1CF45D"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54D763E2" w14:textId="46F3DBD6" w:rsid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14458719" w14:textId="4A5C8234" w:rsidR="0043213C" w:rsidRDefault="0043213C" w:rsidP="00F56356">
      <w:pPr>
        <w:spacing w:after="0" w:line="360" w:lineRule="auto"/>
        <w:jc w:val="both"/>
        <w:rPr>
          <w:rFonts w:ascii="Times New Roman" w:eastAsia="Times New Roman" w:hAnsi="Times New Roman" w:cs="Times New Roman"/>
          <w:color w:val="000000" w:themeColor="text1"/>
          <w:sz w:val="24"/>
          <w:szCs w:val="24"/>
          <w:lang w:eastAsia="it-IT"/>
        </w:rPr>
      </w:pPr>
    </w:p>
    <w:p w14:paraId="59FBE09A" w14:textId="2EE45A60" w:rsidR="0043213C" w:rsidRDefault="0043213C" w:rsidP="00F56356">
      <w:pPr>
        <w:spacing w:after="0" w:line="360" w:lineRule="auto"/>
        <w:jc w:val="both"/>
        <w:rPr>
          <w:rFonts w:ascii="Times New Roman" w:eastAsia="Times New Roman" w:hAnsi="Times New Roman" w:cs="Times New Roman"/>
          <w:color w:val="000000" w:themeColor="text1"/>
          <w:sz w:val="24"/>
          <w:szCs w:val="24"/>
          <w:lang w:eastAsia="it-IT"/>
        </w:rPr>
      </w:pPr>
    </w:p>
    <w:p w14:paraId="096BD3F8" w14:textId="08AF8253" w:rsidR="0043213C" w:rsidRDefault="0043213C" w:rsidP="00F56356">
      <w:pPr>
        <w:spacing w:after="0" w:line="360" w:lineRule="auto"/>
        <w:jc w:val="both"/>
        <w:rPr>
          <w:rFonts w:ascii="Times New Roman" w:eastAsia="Times New Roman" w:hAnsi="Times New Roman" w:cs="Times New Roman"/>
          <w:color w:val="000000" w:themeColor="text1"/>
          <w:sz w:val="24"/>
          <w:szCs w:val="24"/>
          <w:lang w:eastAsia="it-IT"/>
        </w:rPr>
      </w:pPr>
    </w:p>
    <w:p w14:paraId="50276A97" w14:textId="77777777" w:rsidR="0043213C" w:rsidRPr="00F56356" w:rsidRDefault="0043213C" w:rsidP="00F56356">
      <w:pPr>
        <w:spacing w:after="0" w:line="360" w:lineRule="auto"/>
        <w:jc w:val="both"/>
        <w:rPr>
          <w:rFonts w:ascii="Times New Roman" w:eastAsia="Times New Roman" w:hAnsi="Times New Roman" w:cs="Times New Roman"/>
          <w:color w:val="000000" w:themeColor="text1"/>
          <w:sz w:val="24"/>
          <w:szCs w:val="24"/>
          <w:lang w:eastAsia="it-IT"/>
        </w:rPr>
      </w:pPr>
    </w:p>
    <w:p w14:paraId="661FB59B"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6986F9B6"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7A26A55D" w14:textId="77777777" w:rsidR="00F56356" w:rsidRPr="00F56356" w:rsidRDefault="00F56356" w:rsidP="00F56356">
      <w:pPr>
        <w:spacing w:after="0" w:line="360" w:lineRule="auto"/>
        <w:jc w:val="both"/>
        <w:rPr>
          <w:rFonts w:ascii="Times New Roman" w:eastAsia="Times New Roman" w:hAnsi="Times New Roman" w:cs="Times New Roman"/>
          <w:color w:val="000000" w:themeColor="text1"/>
          <w:sz w:val="24"/>
          <w:szCs w:val="24"/>
          <w:lang w:eastAsia="it-IT"/>
        </w:rPr>
      </w:pPr>
    </w:p>
    <w:p w14:paraId="37A2D05B" w14:textId="77777777" w:rsidR="00F56356" w:rsidRPr="00F56356" w:rsidRDefault="00F56356" w:rsidP="00F56356">
      <w:pPr>
        <w:spacing w:after="0" w:line="360" w:lineRule="auto"/>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Nella Tabella sottostante è indicata la ripartizione delle risorse relative a interventi per destinatari finali, comprensive delle risorse relative ai residui passivi perenti </w:t>
      </w:r>
      <w:proofErr w:type="spellStart"/>
      <w:r w:rsidRPr="00F56356">
        <w:rPr>
          <w:rFonts w:ascii="Times New Roman" w:eastAsia="Times New Roman" w:hAnsi="Times New Roman" w:cs="Times New Roman"/>
          <w:sz w:val="24"/>
          <w:szCs w:val="24"/>
          <w:lang w:eastAsia="it-IT"/>
        </w:rPr>
        <w:t>reiscritti</w:t>
      </w:r>
      <w:proofErr w:type="spellEnd"/>
      <w:r w:rsidRPr="00F56356">
        <w:rPr>
          <w:rFonts w:ascii="Times New Roman" w:eastAsia="Times New Roman" w:hAnsi="Times New Roman" w:cs="Times New Roman"/>
          <w:sz w:val="24"/>
          <w:szCs w:val="24"/>
          <w:lang w:eastAsia="it-IT"/>
        </w:rPr>
        <w:t>:</w:t>
      </w:r>
    </w:p>
    <w:p w14:paraId="7C1FF85D"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13536" behindDoc="1" locked="0" layoutInCell="1" allowOverlap="1" wp14:anchorId="5BEF5A12" wp14:editId="085F3DA2">
            <wp:simplePos x="0" y="0"/>
            <wp:positionH relativeFrom="column">
              <wp:posOffset>3810</wp:posOffset>
            </wp:positionH>
            <wp:positionV relativeFrom="paragraph">
              <wp:posOffset>3175</wp:posOffset>
            </wp:positionV>
            <wp:extent cx="6120130" cy="5242137"/>
            <wp:effectExtent l="0" t="0" r="0" b="0"/>
            <wp:wrapTight wrapText="bothSides">
              <wp:wrapPolygon edited="0">
                <wp:start x="0" y="0"/>
                <wp:lineTo x="0" y="20880"/>
                <wp:lineTo x="605" y="21351"/>
                <wp:lineTo x="605" y="21508"/>
                <wp:lineTo x="19632" y="21508"/>
                <wp:lineTo x="21515" y="21273"/>
                <wp:lineTo x="21515" y="20723"/>
                <wp:lineTo x="19632" y="20095"/>
                <wp:lineTo x="19632" y="18839"/>
                <wp:lineTo x="21515" y="18447"/>
                <wp:lineTo x="21515" y="18290"/>
                <wp:lineTo x="19632" y="17584"/>
                <wp:lineTo x="19632" y="15072"/>
                <wp:lineTo x="21515" y="15072"/>
                <wp:lineTo x="21515" y="14993"/>
                <wp:lineTo x="19632" y="13816"/>
                <wp:lineTo x="19632" y="10048"/>
                <wp:lineTo x="21515" y="9734"/>
                <wp:lineTo x="21515" y="9577"/>
                <wp:lineTo x="19632" y="8792"/>
                <wp:lineTo x="21448" y="8478"/>
                <wp:lineTo x="21448" y="8242"/>
                <wp:lineTo x="19632" y="7536"/>
                <wp:lineTo x="21515" y="7222"/>
                <wp:lineTo x="21515" y="7065"/>
                <wp:lineTo x="19632" y="6280"/>
                <wp:lineTo x="21515" y="6280"/>
                <wp:lineTo x="21515" y="6201"/>
                <wp:lineTo x="19632" y="5024"/>
                <wp:lineTo x="19968" y="5024"/>
                <wp:lineTo x="21515" y="4003"/>
                <wp:lineTo x="21515" y="0"/>
                <wp:lineTo x="0" y="0"/>
              </wp:wrapPolygon>
            </wp:wrapTight>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20130" cy="5242137"/>
                    </a:xfrm>
                    <a:prstGeom prst="rect">
                      <a:avLst/>
                    </a:prstGeom>
                    <a:noFill/>
                    <a:ln>
                      <a:noFill/>
                    </a:ln>
                  </pic:spPr>
                </pic:pic>
              </a:graphicData>
            </a:graphic>
          </wp:anchor>
        </w:drawing>
      </w:r>
    </w:p>
    <w:p w14:paraId="718808A9"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0AC1256C"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2EC5549C"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634BBD3C"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6BA79B75"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1803D097"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6565F8B6"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14033F61"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5BA316DF"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1AB1506A"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1F66BF76"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43CBDA3F"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7E808E8E"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24E9DE77"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3B083EE4"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46618B7E"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2731325F"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256638EF"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tbl>
      <w:tblPr>
        <w:tblW w:w="9660" w:type="dxa"/>
        <w:tblInd w:w="7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6F1DC948" w14:textId="77777777" w:rsidTr="00F56356">
        <w:trPr>
          <w:trHeight w:val="510"/>
        </w:trPr>
        <w:tc>
          <w:tcPr>
            <w:tcW w:w="340" w:type="dxa"/>
            <w:tcBorders>
              <w:top w:val="nil"/>
              <w:left w:val="nil"/>
              <w:bottom w:val="nil"/>
              <w:right w:val="nil"/>
            </w:tcBorders>
            <w:shd w:val="clear" w:color="auto" w:fill="auto"/>
            <w:noWrap/>
            <w:vAlign w:val="bottom"/>
            <w:hideMark/>
          </w:tcPr>
          <w:p w14:paraId="5DA2FB2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A925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091F5B68" w14:textId="77777777" w:rsidTr="00F56356">
        <w:trPr>
          <w:trHeight w:val="465"/>
        </w:trPr>
        <w:tc>
          <w:tcPr>
            <w:tcW w:w="340" w:type="dxa"/>
            <w:tcBorders>
              <w:top w:val="nil"/>
              <w:left w:val="nil"/>
              <w:bottom w:val="nil"/>
              <w:right w:val="nil"/>
            </w:tcBorders>
            <w:shd w:val="clear" w:color="auto" w:fill="auto"/>
            <w:noWrap/>
            <w:vAlign w:val="center"/>
            <w:hideMark/>
          </w:tcPr>
          <w:p w14:paraId="64BFC4A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BE7C09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4D421B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4E344C27" w14:textId="77777777" w:rsidTr="00F56356">
        <w:trPr>
          <w:trHeight w:val="465"/>
        </w:trPr>
        <w:tc>
          <w:tcPr>
            <w:tcW w:w="340" w:type="dxa"/>
            <w:tcBorders>
              <w:top w:val="nil"/>
              <w:left w:val="nil"/>
              <w:bottom w:val="nil"/>
              <w:right w:val="nil"/>
            </w:tcBorders>
            <w:shd w:val="clear" w:color="auto" w:fill="auto"/>
            <w:noWrap/>
            <w:vAlign w:val="center"/>
            <w:hideMark/>
          </w:tcPr>
          <w:p w14:paraId="13024F1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AA1FD6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3841C0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0FE56048" w14:textId="77777777" w:rsidTr="00F56356">
        <w:trPr>
          <w:trHeight w:val="465"/>
        </w:trPr>
        <w:tc>
          <w:tcPr>
            <w:tcW w:w="340" w:type="dxa"/>
            <w:tcBorders>
              <w:top w:val="nil"/>
              <w:left w:val="nil"/>
              <w:bottom w:val="nil"/>
              <w:right w:val="nil"/>
            </w:tcBorders>
            <w:shd w:val="clear" w:color="auto" w:fill="auto"/>
            <w:noWrap/>
            <w:vAlign w:val="center"/>
            <w:hideMark/>
          </w:tcPr>
          <w:p w14:paraId="475A479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D783F8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929B3D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14 - Politiche antidroga</w:t>
            </w:r>
          </w:p>
        </w:tc>
      </w:tr>
      <w:tr w:rsidR="00F56356" w:rsidRPr="00F56356" w14:paraId="34CAD16C" w14:textId="77777777" w:rsidTr="00F56356">
        <w:trPr>
          <w:trHeight w:val="930"/>
        </w:trPr>
        <w:tc>
          <w:tcPr>
            <w:tcW w:w="340" w:type="dxa"/>
            <w:tcBorders>
              <w:top w:val="nil"/>
              <w:left w:val="nil"/>
              <w:bottom w:val="nil"/>
              <w:right w:val="nil"/>
            </w:tcBorders>
            <w:shd w:val="clear" w:color="auto" w:fill="auto"/>
            <w:noWrap/>
            <w:vAlign w:val="center"/>
            <w:hideMark/>
          </w:tcPr>
          <w:p w14:paraId="6DAB527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08794C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C64096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Potenziare l’efficacia e l’efficienza operativa del sistema nazionale di allerta tramite apposita proposta di accordo di collaborazione/convenzione/protocollo di intesa.</w:t>
            </w:r>
          </w:p>
        </w:tc>
      </w:tr>
      <w:tr w:rsidR="00F56356" w:rsidRPr="00F56356" w14:paraId="162A7710" w14:textId="77777777" w:rsidTr="00F56356">
        <w:trPr>
          <w:trHeight w:val="2085"/>
        </w:trPr>
        <w:tc>
          <w:tcPr>
            <w:tcW w:w="340" w:type="dxa"/>
            <w:tcBorders>
              <w:top w:val="nil"/>
              <w:left w:val="nil"/>
              <w:bottom w:val="nil"/>
              <w:right w:val="nil"/>
            </w:tcBorders>
            <w:shd w:val="clear" w:color="auto" w:fill="auto"/>
            <w:noWrap/>
            <w:vAlign w:val="center"/>
            <w:hideMark/>
          </w:tcPr>
          <w:p w14:paraId="63D0FDD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3A7FB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E59CD6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Predisposizione di accordi di collaborazioni/convenzioni/protocolli d’intesa, anche ad esito di avvisi pubblici con amministrazioni centrali, amministrazioni periferiche, forze di polizia, centri di ricerca pubblici, strutture sanitarie e università pubbliche dotate di comprovata esperienza nel settore specifico per rafforzare l’operatività del sistema di allerta nazionale sulle droghe anche ad esito di procedure di bandi pubblici.  Si intende predisporre almeno una proposta di accordo di collaborazione/convenzione/protocollo d’intesa.  </w:t>
            </w:r>
          </w:p>
        </w:tc>
      </w:tr>
      <w:tr w:rsidR="00F56356" w:rsidRPr="00F56356" w14:paraId="18E839B6" w14:textId="77777777" w:rsidTr="00F56356">
        <w:trPr>
          <w:trHeight w:val="405"/>
        </w:trPr>
        <w:tc>
          <w:tcPr>
            <w:tcW w:w="340" w:type="dxa"/>
            <w:tcBorders>
              <w:top w:val="nil"/>
              <w:left w:val="nil"/>
              <w:bottom w:val="nil"/>
              <w:right w:val="nil"/>
            </w:tcBorders>
            <w:shd w:val="clear" w:color="auto" w:fill="auto"/>
            <w:noWrap/>
            <w:vAlign w:val="center"/>
            <w:hideMark/>
          </w:tcPr>
          <w:p w14:paraId="7626579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7FAE6D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F77905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5962BFB" w14:textId="77777777" w:rsidTr="00F56356">
        <w:trPr>
          <w:trHeight w:val="405"/>
        </w:trPr>
        <w:tc>
          <w:tcPr>
            <w:tcW w:w="340" w:type="dxa"/>
            <w:tcBorders>
              <w:top w:val="nil"/>
              <w:left w:val="nil"/>
              <w:bottom w:val="nil"/>
              <w:right w:val="nil"/>
            </w:tcBorders>
            <w:shd w:val="clear" w:color="auto" w:fill="auto"/>
            <w:noWrap/>
            <w:vAlign w:val="center"/>
            <w:hideMark/>
          </w:tcPr>
          <w:p w14:paraId="1FFABD2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3675C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152190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8A9D97C" w14:textId="77777777" w:rsidTr="00F56356">
        <w:trPr>
          <w:trHeight w:val="435"/>
        </w:trPr>
        <w:tc>
          <w:tcPr>
            <w:tcW w:w="340" w:type="dxa"/>
            <w:tcBorders>
              <w:top w:val="nil"/>
              <w:left w:val="nil"/>
              <w:bottom w:val="nil"/>
              <w:right w:val="nil"/>
            </w:tcBorders>
            <w:shd w:val="clear" w:color="auto" w:fill="auto"/>
            <w:noWrap/>
            <w:vAlign w:val="bottom"/>
            <w:hideMark/>
          </w:tcPr>
          <w:p w14:paraId="7D22163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BC557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727835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771</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E62A3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5EDA39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658AE908" w14:textId="77777777" w:rsidTr="00F56356">
        <w:trPr>
          <w:trHeight w:val="1305"/>
        </w:trPr>
        <w:tc>
          <w:tcPr>
            <w:tcW w:w="340" w:type="dxa"/>
            <w:tcBorders>
              <w:top w:val="nil"/>
              <w:left w:val="nil"/>
              <w:bottom w:val="nil"/>
              <w:right w:val="nil"/>
            </w:tcBorders>
            <w:shd w:val="clear" w:color="auto" w:fill="auto"/>
            <w:noWrap/>
            <w:vAlign w:val="bottom"/>
            <w:hideMark/>
          </w:tcPr>
          <w:p w14:paraId="470926A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51D1F9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9511FC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83BB7F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60CF61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6A4A94A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A355D2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7C445C0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2C7024A" w14:textId="77777777" w:rsidTr="00F56356">
        <w:trPr>
          <w:trHeight w:val="555"/>
        </w:trPr>
        <w:tc>
          <w:tcPr>
            <w:tcW w:w="340" w:type="dxa"/>
            <w:tcBorders>
              <w:top w:val="nil"/>
              <w:left w:val="nil"/>
              <w:bottom w:val="nil"/>
              <w:right w:val="nil"/>
            </w:tcBorders>
            <w:shd w:val="clear" w:color="auto" w:fill="auto"/>
            <w:noWrap/>
            <w:vAlign w:val="bottom"/>
            <w:hideMark/>
          </w:tcPr>
          <w:p w14:paraId="1D1AC12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2671E3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A2E545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E65761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1.200.000,00</w:t>
            </w:r>
          </w:p>
        </w:tc>
        <w:tc>
          <w:tcPr>
            <w:tcW w:w="1140" w:type="dxa"/>
            <w:tcBorders>
              <w:top w:val="nil"/>
              <w:left w:val="nil"/>
              <w:bottom w:val="single" w:sz="4" w:space="0" w:color="auto"/>
              <w:right w:val="single" w:sz="4" w:space="0" w:color="auto"/>
            </w:tcBorders>
            <w:shd w:val="clear" w:color="auto" w:fill="auto"/>
            <w:noWrap/>
            <w:vAlign w:val="center"/>
            <w:hideMark/>
          </w:tcPr>
          <w:p w14:paraId="757092C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2.360.068,64</w:t>
            </w:r>
          </w:p>
        </w:tc>
        <w:tc>
          <w:tcPr>
            <w:tcW w:w="1180" w:type="dxa"/>
            <w:tcBorders>
              <w:top w:val="nil"/>
              <w:left w:val="nil"/>
              <w:bottom w:val="single" w:sz="4" w:space="0" w:color="auto"/>
              <w:right w:val="single" w:sz="4" w:space="0" w:color="auto"/>
            </w:tcBorders>
            <w:shd w:val="clear" w:color="auto" w:fill="auto"/>
            <w:noWrap/>
            <w:vAlign w:val="center"/>
            <w:hideMark/>
          </w:tcPr>
          <w:p w14:paraId="7ABC5D4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294.830,77</w:t>
            </w:r>
          </w:p>
        </w:tc>
        <w:tc>
          <w:tcPr>
            <w:tcW w:w="1340" w:type="dxa"/>
            <w:tcBorders>
              <w:top w:val="nil"/>
              <w:left w:val="nil"/>
              <w:bottom w:val="single" w:sz="4" w:space="0" w:color="auto"/>
              <w:right w:val="single" w:sz="4" w:space="0" w:color="auto"/>
            </w:tcBorders>
            <w:shd w:val="clear" w:color="auto" w:fill="auto"/>
            <w:noWrap/>
            <w:vAlign w:val="center"/>
            <w:hideMark/>
          </w:tcPr>
          <w:p w14:paraId="275407A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572.952,87</w:t>
            </w:r>
          </w:p>
        </w:tc>
        <w:tc>
          <w:tcPr>
            <w:tcW w:w="1140" w:type="dxa"/>
            <w:tcBorders>
              <w:top w:val="nil"/>
              <w:left w:val="nil"/>
              <w:bottom w:val="single" w:sz="4" w:space="0" w:color="auto"/>
              <w:right w:val="single" w:sz="4" w:space="0" w:color="auto"/>
            </w:tcBorders>
            <w:shd w:val="clear" w:color="auto" w:fill="auto"/>
            <w:noWrap/>
            <w:vAlign w:val="center"/>
            <w:hideMark/>
          </w:tcPr>
          <w:p w14:paraId="5DB6397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867.783,64</w:t>
            </w:r>
          </w:p>
        </w:tc>
      </w:tr>
      <w:tr w:rsidR="00F56356" w:rsidRPr="00F56356" w14:paraId="6DB5890D" w14:textId="77777777" w:rsidTr="00F56356">
        <w:trPr>
          <w:trHeight w:val="255"/>
        </w:trPr>
        <w:tc>
          <w:tcPr>
            <w:tcW w:w="340" w:type="dxa"/>
            <w:tcBorders>
              <w:top w:val="nil"/>
              <w:left w:val="nil"/>
              <w:bottom w:val="nil"/>
              <w:right w:val="nil"/>
            </w:tcBorders>
            <w:shd w:val="clear" w:color="auto" w:fill="auto"/>
            <w:noWrap/>
            <w:vAlign w:val="bottom"/>
            <w:hideMark/>
          </w:tcPr>
          <w:p w14:paraId="17AFA0F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7BF9DB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D11675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FB65ED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5261C0C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0B2CE47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5444703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6092759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CFCDFD8" w14:textId="77777777" w:rsidTr="00F56356">
        <w:trPr>
          <w:trHeight w:val="315"/>
        </w:trPr>
        <w:tc>
          <w:tcPr>
            <w:tcW w:w="340" w:type="dxa"/>
            <w:tcBorders>
              <w:top w:val="nil"/>
              <w:left w:val="nil"/>
              <w:bottom w:val="nil"/>
              <w:right w:val="nil"/>
            </w:tcBorders>
            <w:shd w:val="clear" w:color="auto" w:fill="auto"/>
            <w:noWrap/>
            <w:vAlign w:val="bottom"/>
            <w:hideMark/>
          </w:tcPr>
          <w:p w14:paraId="6857B33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0782B8EC"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08ED04F" w14:textId="77777777" w:rsidTr="00F56356">
        <w:trPr>
          <w:trHeight w:val="315"/>
        </w:trPr>
        <w:tc>
          <w:tcPr>
            <w:tcW w:w="340" w:type="dxa"/>
            <w:tcBorders>
              <w:top w:val="nil"/>
              <w:left w:val="nil"/>
              <w:bottom w:val="nil"/>
              <w:right w:val="nil"/>
            </w:tcBorders>
            <w:shd w:val="clear" w:color="auto" w:fill="auto"/>
            <w:noWrap/>
            <w:vAlign w:val="bottom"/>
            <w:hideMark/>
          </w:tcPr>
          <w:p w14:paraId="4C243E7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257CD1F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35EDDB36" w14:textId="77777777" w:rsidTr="00F56356">
        <w:trPr>
          <w:trHeight w:val="315"/>
        </w:trPr>
        <w:tc>
          <w:tcPr>
            <w:tcW w:w="340" w:type="dxa"/>
            <w:tcBorders>
              <w:top w:val="nil"/>
              <w:left w:val="nil"/>
              <w:bottom w:val="nil"/>
              <w:right w:val="nil"/>
            </w:tcBorders>
            <w:shd w:val="clear" w:color="auto" w:fill="auto"/>
            <w:noWrap/>
            <w:vAlign w:val="bottom"/>
            <w:hideMark/>
          </w:tcPr>
          <w:p w14:paraId="41DA44A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6D88D8B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11936C9F" w14:textId="77777777" w:rsidTr="00F56356">
        <w:trPr>
          <w:trHeight w:val="390"/>
        </w:trPr>
        <w:tc>
          <w:tcPr>
            <w:tcW w:w="340" w:type="dxa"/>
            <w:tcBorders>
              <w:top w:val="nil"/>
              <w:left w:val="nil"/>
              <w:bottom w:val="nil"/>
              <w:right w:val="nil"/>
            </w:tcBorders>
            <w:shd w:val="clear" w:color="auto" w:fill="auto"/>
            <w:noWrap/>
            <w:vAlign w:val="bottom"/>
            <w:hideMark/>
          </w:tcPr>
          <w:p w14:paraId="00FF8974"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48CAA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0044A53C" w14:textId="77777777" w:rsidTr="00F56356">
        <w:trPr>
          <w:trHeight w:val="840"/>
        </w:trPr>
        <w:tc>
          <w:tcPr>
            <w:tcW w:w="340" w:type="dxa"/>
            <w:tcBorders>
              <w:top w:val="nil"/>
              <w:left w:val="nil"/>
              <w:bottom w:val="nil"/>
              <w:right w:val="nil"/>
            </w:tcBorders>
            <w:shd w:val="clear" w:color="auto" w:fill="auto"/>
            <w:noWrap/>
            <w:vAlign w:val="center"/>
            <w:hideMark/>
          </w:tcPr>
          <w:p w14:paraId="5FBAC9A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BD801B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C6735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predisposizione, con il concorso di altre amministrazioni/soggetti, di almeno una proposta di accordo di collaborazione/convenzione/protocollo d’intesa.</w:t>
            </w:r>
          </w:p>
        </w:tc>
      </w:tr>
      <w:tr w:rsidR="00F56356" w:rsidRPr="00F56356" w14:paraId="736E02F7" w14:textId="77777777" w:rsidTr="00F56356">
        <w:trPr>
          <w:trHeight w:val="690"/>
        </w:trPr>
        <w:tc>
          <w:tcPr>
            <w:tcW w:w="340" w:type="dxa"/>
            <w:tcBorders>
              <w:top w:val="nil"/>
              <w:left w:val="nil"/>
              <w:bottom w:val="nil"/>
              <w:right w:val="nil"/>
            </w:tcBorders>
            <w:shd w:val="clear" w:color="auto" w:fill="auto"/>
            <w:noWrap/>
            <w:vAlign w:val="center"/>
            <w:hideMark/>
          </w:tcPr>
          <w:p w14:paraId="6483983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73FA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75B44E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Cronoprogramma assentito dall’Organo di vertice politico-amministrativo; Protocollo informatico e/o PEC; posta elettronica, SICOGE.  </w:t>
            </w:r>
          </w:p>
        </w:tc>
      </w:tr>
      <w:tr w:rsidR="00F56356" w:rsidRPr="00F56356" w14:paraId="766B5C50" w14:textId="77777777" w:rsidTr="00F56356">
        <w:trPr>
          <w:trHeight w:val="1305"/>
        </w:trPr>
        <w:tc>
          <w:tcPr>
            <w:tcW w:w="340" w:type="dxa"/>
            <w:tcBorders>
              <w:top w:val="nil"/>
              <w:left w:val="nil"/>
              <w:bottom w:val="nil"/>
              <w:right w:val="nil"/>
            </w:tcBorders>
            <w:shd w:val="clear" w:color="auto" w:fill="auto"/>
            <w:noWrap/>
            <w:vAlign w:val="center"/>
            <w:hideMark/>
          </w:tcPr>
          <w:p w14:paraId="5E74A36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BADB95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12AC931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Rispetto delle scadenze previste nello specifico cronoprogramma assentito dall’Organo di vertice politico-amministrativo. </w:t>
            </w:r>
          </w:p>
        </w:tc>
        <w:tc>
          <w:tcPr>
            <w:tcW w:w="1180" w:type="dxa"/>
            <w:tcBorders>
              <w:top w:val="nil"/>
              <w:left w:val="nil"/>
              <w:bottom w:val="single" w:sz="4" w:space="0" w:color="auto"/>
              <w:right w:val="nil"/>
            </w:tcBorders>
            <w:shd w:val="clear" w:color="auto" w:fill="auto"/>
            <w:vAlign w:val="center"/>
            <w:hideMark/>
          </w:tcPr>
          <w:p w14:paraId="01942B6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2C51076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95A1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66E8335" w14:textId="77777777" w:rsidTr="00F56356">
        <w:trPr>
          <w:trHeight w:val="525"/>
        </w:trPr>
        <w:tc>
          <w:tcPr>
            <w:tcW w:w="340" w:type="dxa"/>
            <w:tcBorders>
              <w:top w:val="nil"/>
              <w:left w:val="nil"/>
              <w:bottom w:val="nil"/>
              <w:right w:val="nil"/>
            </w:tcBorders>
            <w:shd w:val="clear" w:color="auto" w:fill="auto"/>
            <w:noWrap/>
            <w:vAlign w:val="bottom"/>
            <w:hideMark/>
          </w:tcPr>
          <w:p w14:paraId="0FC1608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089FD6A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540" w:type="dxa"/>
            <w:tcBorders>
              <w:top w:val="nil"/>
              <w:left w:val="nil"/>
              <w:bottom w:val="single" w:sz="4" w:space="0" w:color="auto"/>
              <w:right w:val="nil"/>
            </w:tcBorders>
            <w:shd w:val="clear" w:color="auto" w:fill="auto"/>
            <w:noWrap/>
            <w:vAlign w:val="center"/>
            <w:hideMark/>
          </w:tcPr>
          <w:p w14:paraId="76FAC1C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240" w:type="dxa"/>
            <w:tcBorders>
              <w:top w:val="nil"/>
              <w:left w:val="nil"/>
              <w:bottom w:val="single" w:sz="4" w:space="0" w:color="auto"/>
              <w:right w:val="nil"/>
            </w:tcBorders>
            <w:shd w:val="clear" w:color="auto" w:fill="auto"/>
            <w:noWrap/>
            <w:vAlign w:val="center"/>
            <w:hideMark/>
          </w:tcPr>
          <w:p w14:paraId="0CE995FD" w14:textId="77777777" w:rsidR="00F56356" w:rsidRPr="00F56356" w:rsidRDefault="00F56356" w:rsidP="00F56356">
            <w:pPr>
              <w:spacing w:after="0" w:line="240" w:lineRule="auto"/>
              <w:jc w:val="right"/>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40" w:type="dxa"/>
            <w:tcBorders>
              <w:top w:val="nil"/>
              <w:left w:val="nil"/>
              <w:bottom w:val="single" w:sz="4" w:space="0" w:color="auto"/>
              <w:right w:val="single" w:sz="4" w:space="0" w:color="auto"/>
            </w:tcBorders>
            <w:shd w:val="clear" w:color="auto" w:fill="auto"/>
            <w:noWrap/>
            <w:vAlign w:val="center"/>
            <w:hideMark/>
          </w:tcPr>
          <w:p w14:paraId="782BCD8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1180" w:type="dxa"/>
            <w:tcBorders>
              <w:top w:val="nil"/>
              <w:left w:val="nil"/>
              <w:bottom w:val="single" w:sz="4" w:space="0" w:color="auto"/>
              <w:right w:val="single" w:sz="4" w:space="0" w:color="auto"/>
            </w:tcBorders>
            <w:shd w:val="clear" w:color="auto" w:fill="auto"/>
            <w:noWrap/>
            <w:vAlign w:val="center"/>
            <w:hideMark/>
          </w:tcPr>
          <w:p w14:paraId="4378538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7A28AD8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95947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68AC757F" w14:textId="77777777" w:rsidR="00F56356" w:rsidRPr="00F56356" w:rsidRDefault="00F56356" w:rsidP="00F56356">
      <w:pPr>
        <w:spacing w:after="0" w:line="360" w:lineRule="auto"/>
        <w:jc w:val="both"/>
        <w:rPr>
          <w:rFonts w:ascii="Times New Roman" w:eastAsia="Times New Roman" w:hAnsi="Times New Roman" w:cs="Times New Roman"/>
          <w:color w:val="FF0000"/>
          <w:sz w:val="24"/>
          <w:szCs w:val="24"/>
          <w:lang w:eastAsia="it-IT"/>
        </w:rPr>
      </w:pPr>
    </w:p>
    <w:p w14:paraId="3B2482E5" w14:textId="133104CA" w:rsid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5A917C5E" w14:textId="77777777" w:rsidR="0043213C" w:rsidRPr="00F56356" w:rsidRDefault="0043213C" w:rsidP="00F56356">
      <w:pPr>
        <w:spacing w:after="0" w:line="240" w:lineRule="auto"/>
        <w:rPr>
          <w:rFonts w:ascii="Times New Roman" w:eastAsia="Times New Roman" w:hAnsi="Times New Roman" w:cs="Times New Roman"/>
          <w:b/>
          <w:color w:val="000000" w:themeColor="text1"/>
          <w:sz w:val="24"/>
          <w:szCs w:val="24"/>
          <w:lang w:eastAsia="it-IT"/>
        </w:rPr>
      </w:pPr>
    </w:p>
    <w:tbl>
      <w:tblPr>
        <w:tblW w:w="9660" w:type="dxa"/>
        <w:tblInd w:w="7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3441F0DD" w14:textId="77777777" w:rsidTr="00F56356">
        <w:trPr>
          <w:trHeight w:val="510"/>
        </w:trPr>
        <w:tc>
          <w:tcPr>
            <w:tcW w:w="340" w:type="dxa"/>
            <w:tcBorders>
              <w:top w:val="nil"/>
              <w:left w:val="nil"/>
              <w:bottom w:val="nil"/>
              <w:right w:val="nil"/>
            </w:tcBorders>
            <w:shd w:val="clear" w:color="auto" w:fill="auto"/>
            <w:noWrap/>
            <w:vAlign w:val="bottom"/>
            <w:hideMark/>
          </w:tcPr>
          <w:p w14:paraId="02BE6B6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B0A9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2116167" w14:textId="77777777" w:rsidTr="00F56356">
        <w:trPr>
          <w:trHeight w:val="420"/>
        </w:trPr>
        <w:tc>
          <w:tcPr>
            <w:tcW w:w="340" w:type="dxa"/>
            <w:tcBorders>
              <w:top w:val="nil"/>
              <w:left w:val="nil"/>
              <w:bottom w:val="nil"/>
              <w:right w:val="nil"/>
            </w:tcBorders>
            <w:shd w:val="clear" w:color="auto" w:fill="auto"/>
            <w:noWrap/>
            <w:vAlign w:val="center"/>
            <w:hideMark/>
          </w:tcPr>
          <w:p w14:paraId="60C22CF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444FCE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5A690E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733D1FE7" w14:textId="77777777" w:rsidTr="00F56356">
        <w:trPr>
          <w:trHeight w:val="420"/>
        </w:trPr>
        <w:tc>
          <w:tcPr>
            <w:tcW w:w="340" w:type="dxa"/>
            <w:tcBorders>
              <w:top w:val="nil"/>
              <w:left w:val="nil"/>
              <w:bottom w:val="nil"/>
              <w:right w:val="nil"/>
            </w:tcBorders>
            <w:shd w:val="clear" w:color="auto" w:fill="auto"/>
            <w:noWrap/>
            <w:vAlign w:val="center"/>
            <w:hideMark/>
          </w:tcPr>
          <w:p w14:paraId="7FD29FC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E49978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847BD7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39CA32CD" w14:textId="77777777" w:rsidTr="00F56356">
        <w:trPr>
          <w:trHeight w:val="420"/>
        </w:trPr>
        <w:tc>
          <w:tcPr>
            <w:tcW w:w="340" w:type="dxa"/>
            <w:tcBorders>
              <w:top w:val="nil"/>
              <w:left w:val="nil"/>
              <w:bottom w:val="nil"/>
              <w:right w:val="nil"/>
            </w:tcBorders>
            <w:shd w:val="clear" w:color="auto" w:fill="auto"/>
            <w:noWrap/>
            <w:vAlign w:val="center"/>
            <w:hideMark/>
          </w:tcPr>
          <w:p w14:paraId="0AFDC37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43FE73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296446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14 - Politiche antidroga</w:t>
            </w:r>
          </w:p>
        </w:tc>
      </w:tr>
      <w:tr w:rsidR="00F56356" w:rsidRPr="00F56356" w14:paraId="7E91788D" w14:textId="77777777" w:rsidTr="00F56356">
        <w:trPr>
          <w:trHeight w:val="1620"/>
        </w:trPr>
        <w:tc>
          <w:tcPr>
            <w:tcW w:w="340" w:type="dxa"/>
            <w:tcBorders>
              <w:top w:val="nil"/>
              <w:left w:val="nil"/>
              <w:bottom w:val="nil"/>
              <w:right w:val="nil"/>
            </w:tcBorders>
            <w:shd w:val="clear" w:color="auto" w:fill="auto"/>
            <w:noWrap/>
            <w:vAlign w:val="center"/>
            <w:hideMark/>
          </w:tcPr>
          <w:p w14:paraId="1D0BBC1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63B7B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2EF3A0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Assicurare, in linea con gli impegni assunti in sede europea e internazionale, la partecipazione attiva del Dipartimento per la realizzazione di programmi, attività, meeting promossi da organismi europei e internazionali, garantendo anche l’erogazione di contributi obbligatori e volontari previsti in seno ad accordi già definiti ai sensi della normativa vigente (legge 28 dicembre 2015, n. 208 finanziaria 2016). </w:t>
            </w:r>
          </w:p>
        </w:tc>
      </w:tr>
      <w:tr w:rsidR="00F56356" w:rsidRPr="00F56356" w14:paraId="71D44932" w14:textId="77777777" w:rsidTr="00F56356">
        <w:trPr>
          <w:trHeight w:val="585"/>
        </w:trPr>
        <w:tc>
          <w:tcPr>
            <w:tcW w:w="340" w:type="dxa"/>
            <w:tcBorders>
              <w:top w:val="nil"/>
              <w:left w:val="nil"/>
              <w:bottom w:val="nil"/>
              <w:right w:val="nil"/>
            </w:tcBorders>
            <w:shd w:val="clear" w:color="auto" w:fill="auto"/>
            <w:noWrap/>
            <w:vAlign w:val="center"/>
            <w:hideMark/>
          </w:tcPr>
          <w:p w14:paraId="2DCAB5E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4B142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F4B2B9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Garantire la realizzazione delle procedure finalizzate alla erogazione di almeno 1 contributo annuo.</w:t>
            </w:r>
          </w:p>
        </w:tc>
      </w:tr>
      <w:tr w:rsidR="00F56356" w:rsidRPr="00F56356" w14:paraId="0E6C26D6" w14:textId="77777777" w:rsidTr="00F56356">
        <w:trPr>
          <w:trHeight w:val="405"/>
        </w:trPr>
        <w:tc>
          <w:tcPr>
            <w:tcW w:w="340" w:type="dxa"/>
            <w:tcBorders>
              <w:top w:val="nil"/>
              <w:left w:val="nil"/>
              <w:bottom w:val="nil"/>
              <w:right w:val="nil"/>
            </w:tcBorders>
            <w:shd w:val="clear" w:color="auto" w:fill="auto"/>
            <w:noWrap/>
            <w:vAlign w:val="center"/>
            <w:hideMark/>
          </w:tcPr>
          <w:p w14:paraId="7809015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C85625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4196CB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C0F1C82" w14:textId="77777777" w:rsidTr="00F56356">
        <w:trPr>
          <w:trHeight w:val="405"/>
        </w:trPr>
        <w:tc>
          <w:tcPr>
            <w:tcW w:w="340" w:type="dxa"/>
            <w:tcBorders>
              <w:top w:val="nil"/>
              <w:left w:val="nil"/>
              <w:bottom w:val="nil"/>
              <w:right w:val="nil"/>
            </w:tcBorders>
            <w:shd w:val="clear" w:color="auto" w:fill="auto"/>
            <w:noWrap/>
            <w:vAlign w:val="center"/>
            <w:hideMark/>
          </w:tcPr>
          <w:p w14:paraId="661A938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49A1C8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744236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558A8ED" w14:textId="77777777" w:rsidTr="00F56356">
        <w:trPr>
          <w:trHeight w:val="435"/>
        </w:trPr>
        <w:tc>
          <w:tcPr>
            <w:tcW w:w="340" w:type="dxa"/>
            <w:tcBorders>
              <w:top w:val="nil"/>
              <w:left w:val="nil"/>
              <w:bottom w:val="nil"/>
              <w:right w:val="nil"/>
            </w:tcBorders>
            <w:shd w:val="clear" w:color="auto" w:fill="auto"/>
            <w:noWrap/>
            <w:vAlign w:val="bottom"/>
            <w:hideMark/>
          </w:tcPr>
          <w:p w14:paraId="0AC564E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1BC6B7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473E95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773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CB3CB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8E431D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768F6075" w14:textId="77777777" w:rsidTr="00F56356">
        <w:trPr>
          <w:trHeight w:val="1305"/>
        </w:trPr>
        <w:tc>
          <w:tcPr>
            <w:tcW w:w="340" w:type="dxa"/>
            <w:tcBorders>
              <w:top w:val="nil"/>
              <w:left w:val="nil"/>
              <w:bottom w:val="nil"/>
              <w:right w:val="nil"/>
            </w:tcBorders>
            <w:shd w:val="clear" w:color="auto" w:fill="auto"/>
            <w:noWrap/>
            <w:vAlign w:val="bottom"/>
            <w:hideMark/>
          </w:tcPr>
          <w:p w14:paraId="055538D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317207B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E9EC42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BD71F3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6D5A3A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Stanziamento definitivo di 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CF3FE4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76DF3A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028569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4C23FD1C" w14:textId="77777777" w:rsidTr="00F56356">
        <w:trPr>
          <w:trHeight w:val="555"/>
        </w:trPr>
        <w:tc>
          <w:tcPr>
            <w:tcW w:w="340" w:type="dxa"/>
            <w:tcBorders>
              <w:top w:val="nil"/>
              <w:left w:val="nil"/>
              <w:bottom w:val="nil"/>
              <w:right w:val="nil"/>
            </w:tcBorders>
            <w:shd w:val="clear" w:color="auto" w:fill="auto"/>
            <w:noWrap/>
            <w:vAlign w:val="bottom"/>
            <w:hideMark/>
          </w:tcPr>
          <w:p w14:paraId="757454C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0AE51BE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26C3D0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5D6DA2F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380.000,00</w:t>
            </w:r>
          </w:p>
        </w:tc>
        <w:tc>
          <w:tcPr>
            <w:tcW w:w="1140" w:type="dxa"/>
            <w:tcBorders>
              <w:top w:val="nil"/>
              <w:left w:val="nil"/>
              <w:bottom w:val="single" w:sz="4" w:space="0" w:color="auto"/>
              <w:right w:val="single" w:sz="4" w:space="0" w:color="auto"/>
            </w:tcBorders>
            <w:shd w:val="clear" w:color="auto" w:fill="auto"/>
            <w:noWrap/>
            <w:vAlign w:val="center"/>
            <w:hideMark/>
          </w:tcPr>
          <w:p w14:paraId="52118F6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380.000,00</w:t>
            </w:r>
          </w:p>
        </w:tc>
        <w:tc>
          <w:tcPr>
            <w:tcW w:w="1180" w:type="dxa"/>
            <w:tcBorders>
              <w:top w:val="nil"/>
              <w:left w:val="nil"/>
              <w:bottom w:val="single" w:sz="4" w:space="0" w:color="auto"/>
              <w:right w:val="single" w:sz="4" w:space="0" w:color="auto"/>
            </w:tcBorders>
            <w:shd w:val="clear" w:color="auto" w:fill="auto"/>
            <w:noWrap/>
            <w:vAlign w:val="center"/>
            <w:hideMark/>
          </w:tcPr>
          <w:p w14:paraId="06B7730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351.984,73</w:t>
            </w:r>
          </w:p>
        </w:tc>
        <w:tc>
          <w:tcPr>
            <w:tcW w:w="1340" w:type="dxa"/>
            <w:tcBorders>
              <w:top w:val="nil"/>
              <w:left w:val="nil"/>
              <w:bottom w:val="single" w:sz="4" w:space="0" w:color="auto"/>
              <w:right w:val="single" w:sz="4" w:space="0" w:color="auto"/>
            </w:tcBorders>
            <w:shd w:val="clear" w:color="auto" w:fill="auto"/>
            <w:noWrap/>
            <w:vAlign w:val="center"/>
            <w:hideMark/>
          </w:tcPr>
          <w:p w14:paraId="46C4C31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057DF4C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351.984,73</w:t>
            </w:r>
          </w:p>
        </w:tc>
      </w:tr>
      <w:tr w:rsidR="00F56356" w:rsidRPr="00F56356" w14:paraId="5BAB4700" w14:textId="77777777" w:rsidTr="00F56356">
        <w:trPr>
          <w:trHeight w:val="255"/>
        </w:trPr>
        <w:tc>
          <w:tcPr>
            <w:tcW w:w="340" w:type="dxa"/>
            <w:tcBorders>
              <w:top w:val="nil"/>
              <w:left w:val="nil"/>
              <w:bottom w:val="nil"/>
              <w:right w:val="nil"/>
            </w:tcBorders>
            <w:shd w:val="clear" w:color="auto" w:fill="auto"/>
            <w:noWrap/>
            <w:vAlign w:val="bottom"/>
            <w:hideMark/>
          </w:tcPr>
          <w:p w14:paraId="1BB2095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181C42B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F383B9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B53439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455882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054D09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0D28F2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58CA159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C2AEB46" w14:textId="77777777" w:rsidTr="00F56356">
        <w:trPr>
          <w:trHeight w:val="315"/>
        </w:trPr>
        <w:tc>
          <w:tcPr>
            <w:tcW w:w="340" w:type="dxa"/>
            <w:tcBorders>
              <w:top w:val="nil"/>
              <w:left w:val="nil"/>
              <w:bottom w:val="nil"/>
              <w:right w:val="nil"/>
            </w:tcBorders>
            <w:shd w:val="clear" w:color="auto" w:fill="auto"/>
            <w:noWrap/>
            <w:vAlign w:val="bottom"/>
            <w:hideMark/>
          </w:tcPr>
          <w:p w14:paraId="54CFC29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168CA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66015C6" w14:textId="77777777" w:rsidTr="00F56356">
        <w:trPr>
          <w:trHeight w:val="315"/>
        </w:trPr>
        <w:tc>
          <w:tcPr>
            <w:tcW w:w="340" w:type="dxa"/>
            <w:tcBorders>
              <w:top w:val="nil"/>
              <w:left w:val="nil"/>
              <w:bottom w:val="nil"/>
              <w:right w:val="nil"/>
            </w:tcBorders>
            <w:shd w:val="clear" w:color="auto" w:fill="auto"/>
            <w:noWrap/>
            <w:vAlign w:val="bottom"/>
            <w:hideMark/>
          </w:tcPr>
          <w:p w14:paraId="4590CC4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5EFA60C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1E270CE6" w14:textId="77777777" w:rsidTr="00F56356">
        <w:trPr>
          <w:trHeight w:val="315"/>
        </w:trPr>
        <w:tc>
          <w:tcPr>
            <w:tcW w:w="340" w:type="dxa"/>
            <w:tcBorders>
              <w:top w:val="nil"/>
              <w:left w:val="nil"/>
              <w:bottom w:val="nil"/>
              <w:right w:val="nil"/>
            </w:tcBorders>
            <w:shd w:val="clear" w:color="auto" w:fill="auto"/>
            <w:noWrap/>
            <w:vAlign w:val="bottom"/>
            <w:hideMark/>
          </w:tcPr>
          <w:p w14:paraId="6F30387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27F286B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4D2CD3B5" w14:textId="77777777" w:rsidTr="00F56356">
        <w:trPr>
          <w:trHeight w:val="390"/>
        </w:trPr>
        <w:tc>
          <w:tcPr>
            <w:tcW w:w="340" w:type="dxa"/>
            <w:tcBorders>
              <w:top w:val="nil"/>
              <w:left w:val="nil"/>
              <w:bottom w:val="nil"/>
              <w:right w:val="nil"/>
            </w:tcBorders>
            <w:shd w:val="clear" w:color="auto" w:fill="auto"/>
            <w:noWrap/>
            <w:vAlign w:val="bottom"/>
            <w:hideMark/>
          </w:tcPr>
          <w:p w14:paraId="5B26950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30976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4F9D14E9" w14:textId="77777777" w:rsidTr="00F56356">
        <w:trPr>
          <w:trHeight w:val="840"/>
        </w:trPr>
        <w:tc>
          <w:tcPr>
            <w:tcW w:w="340" w:type="dxa"/>
            <w:tcBorders>
              <w:top w:val="nil"/>
              <w:left w:val="nil"/>
              <w:bottom w:val="nil"/>
              <w:right w:val="nil"/>
            </w:tcBorders>
            <w:shd w:val="clear" w:color="auto" w:fill="auto"/>
            <w:noWrap/>
            <w:vAlign w:val="center"/>
            <w:hideMark/>
          </w:tcPr>
          <w:p w14:paraId="4BC2B4A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79A163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D53B6E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Grado di attuazione finanziaria degli interventi.</w:t>
            </w:r>
          </w:p>
        </w:tc>
      </w:tr>
      <w:tr w:rsidR="00F56356" w:rsidRPr="00F56356" w14:paraId="58DF4957" w14:textId="77777777" w:rsidTr="00F56356">
        <w:trPr>
          <w:trHeight w:val="690"/>
        </w:trPr>
        <w:tc>
          <w:tcPr>
            <w:tcW w:w="340" w:type="dxa"/>
            <w:tcBorders>
              <w:top w:val="nil"/>
              <w:left w:val="nil"/>
              <w:bottom w:val="nil"/>
              <w:right w:val="nil"/>
            </w:tcBorders>
            <w:shd w:val="clear" w:color="auto" w:fill="auto"/>
            <w:noWrap/>
            <w:vAlign w:val="center"/>
            <w:hideMark/>
          </w:tcPr>
          <w:p w14:paraId="583809A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8D84CA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D01607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Protocollo informatico e/o PEC, posta elettronica, SICOGE.</w:t>
            </w:r>
          </w:p>
        </w:tc>
      </w:tr>
      <w:tr w:rsidR="00F56356" w:rsidRPr="00F56356" w14:paraId="2791B6CB" w14:textId="77777777" w:rsidTr="00F56356">
        <w:trPr>
          <w:trHeight w:val="1305"/>
        </w:trPr>
        <w:tc>
          <w:tcPr>
            <w:tcW w:w="340" w:type="dxa"/>
            <w:tcBorders>
              <w:top w:val="nil"/>
              <w:left w:val="nil"/>
              <w:bottom w:val="nil"/>
              <w:right w:val="nil"/>
            </w:tcBorders>
            <w:shd w:val="clear" w:color="auto" w:fill="auto"/>
            <w:noWrap/>
            <w:vAlign w:val="center"/>
            <w:hideMark/>
          </w:tcPr>
          <w:p w14:paraId="090D75B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469783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D34EF0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Livello di conformità alle previsioni di impegno e di pagamento contenute nella nota preliminare al bilancio per l’anno 2022.  </w:t>
            </w:r>
          </w:p>
        </w:tc>
        <w:tc>
          <w:tcPr>
            <w:tcW w:w="1180" w:type="dxa"/>
            <w:tcBorders>
              <w:top w:val="nil"/>
              <w:left w:val="nil"/>
              <w:bottom w:val="single" w:sz="4" w:space="0" w:color="auto"/>
              <w:right w:val="nil"/>
            </w:tcBorders>
            <w:shd w:val="clear" w:color="auto" w:fill="auto"/>
            <w:vAlign w:val="center"/>
            <w:hideMark/>
          </w:tcPr>
          <w:p w14:paraId="32C2C9B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5C15A1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5A9A0F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628F3658" w14:textId="77777777" w:rsidTr="00F56356">
        <w:trPr>
          <w:trHeight w:val="1755"/>
        </w:trPr>
        <w:tc>
          <w:tcPr>
            <w:tcW w:w="340" w:type="dxa"/>
            <w:tcBorders>
              <w:top w:val="nil"/>
              <w:left w:val="nil"/>
              <w:bottom w:val="nil"/>
              <w:right w:val="nil"/>
            </w:tcBorders>
            <w:shd w:val="clear" w:color="auto" w:fill="auto"/>
            <w:noWrap/>
            <w:vAlign w:val="bottom"/>
            <w:hideMark/>
          </w:tcPr>
          <w:p w14:paraId="1C1E5C0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53BCF03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540" w:type="dxa"/>
            <w:tcBorders>
              <w:top w:val="nil"/>
              <w:left w:val="nil"/>
              <w:bottom w:val="single" w:sz="4" w:space="0" w:color="auto"/>
              <w:right w:val="nil"/>
            </w:tcBorders>
            <w:shd w:val="clear" w:color="auto" w:fill="auto"/>
            <w:noWrap/>
            <w:vAlign w:val="center"/>
            <w:hideMark/>
          </w:tcPr>
          <w:p w14:paraId="1258B4B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240" w:type="dxa"/>
            <w:tcBorders>
              <w:top w:val="nil"/>
              <w:left w:val="nil"/>
              <w:bottom w:val="single" w:sz="4" w:space="0" w:color="auto"/>
              <w:right w:val="nil"/>
            </w:tcBorders>
            <w:shd w:val="clear" w:color="auto" w:fill="auto"/>
            <w:noWrap/>
            <w:vAlign w:val="center"/>
            <w:hideMark/>
          </w:tcPr>
          <w:p w14:paraId="7018B90C" w14:textId="77777777" w:rsidR="00F56356" w:rsidRPr="00F56356" w:rsidRDefault="00F56356" w:rsidP="00F56356">
            <w:pPr>
              <w:spacing w:after="0" w:line="240" w:lineRule="auto"/>
              <w:jc w:val="right"/>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40" w:type="dxa"/>
            <w:tcBorders>
              <w:top w:val="nil"/>
              <w:left w:val="nil"/>
              <w:bottom w:val="single" w:sz="4" w:space="0" w:color="auto"/>
              <w:right w:val="single" w:sz="4" w:space="0" w:color="auto"/>
            </w:tcBorders>
            <w:shd w:val="clear" w:color="auto" w:fill="auto"/>
            <w:noWrap/>
            <w:vAlign w:val="center"/>
            <w:hideMark/>
          </w:tcPr>
          <w:p w14:paraId="7F7FFDE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1180" w:type="dxa"/>
            <w:tcBorders>
              <w:top w:val="nil"/>
              <w:left w:val="nil"/>
              <w:bottom w:val="single" w:sz="4" w:space="0" w:color="auto"/>
              <w:right w:val="single" w:sz="4" w:space="0" w:color="auto"/>
            </w:tcBorders>
            <w:shd w:val="clear" w:color="auto" w:fill="auto"/>
            <w:vAlign w:val="center"/>
            <w:hideMark/>
          </w:tcPr>
          <w:p w14:paraId="6C3BE97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d’impegno: 60%</w:t>
            </w:r>
            <w:r w:rsidRPr="00F56356">
              <w:rPr>
                <w:rFonts w:ascii="Times New Roman" w:eastAsia="Times New Roman" w:hAnsi="Times New Roman" w:cs="Times New Roman"/>
                <w:color w:val="000000"/>
                <w:sz w:val="20"/>
                <w:szCs w:val="20"/>
                <w:lang w:eastAsia="it-IT"/>
              </w:rPr>
              <w:br/>
              <w:t xml:space="preserve">capacità di pagamento: 60% </w:t>
            </w:r>
          </w:p>
        </w:tc>
        <w:tc>
          <w:tcPr>
            <w:tcW w:w="1340" w:type="dxa"/>
            <w:tcBorders>
              <w:top w:val="nil"/>
              <w:left w:val="nil"/>
              <w:bottom w:val="single" w:sz="4" w:space="0" w:color="auto"/>
              <w:right w:val="single" w:sz="4" w:space="0" w:color="auto"/>
            </w:tcBorders>
            <w:shd w:val="clear" w:color="auto" w:fill="auto"/>
            <w:vAlign w:val="center"/>
            <w:hideMark/>
          </w:tcPr>
          <w:p w14:paraId="5178921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d’impegno: 92,63%</w:t>
            </w:r>
            <w:r w:rsidRPr="00F56356">
              <w:rPr>
                <w:rFonts w:ascii="Times New Roman" w:eastAsia="Times New Roman" w:hAnsi="Times New Roman" w:cs="Times New Roman"/>
                <w:color w:val="000000"/>
                <w:sz w:val="20"/>
                <w:szCs w:val="20"/>
                <w:lang w:eastAsia="it-IT"/>
              </w:rPr>
              <w:br/>
              <w:t xml:space="preserve">capacità di pagamento: 100% </w:t>
            </w:r>
          </w:p>
        </w:tc>
        <w:tc>
          <w:tcPr>
            <w:tcW w:w="1140" w:type="dxa"/>
            <w:tcBorders>
              <w:top w:val="nil"/>
              <w:left w:val="nil"/>
              <w:bottom w:val="single" w:sz="4" w:space="0" w:color="auto"/>
              <w:right w:val="single" w:sz="4" w:space="0" w:color="auto"/>
            </w:tcBorders>
            <w:shd w:val="clear" w:color="auto" w:fill="auto"/>
            <w:vAlign w:val="center"/>
            <w:hideMark/>
          </w:tcPr>
          <w:p w14:paraId="198A1D3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d’impegno: 32,63%</w:t>
            </w:r>
            <w:r w:rsidRPr="00F56356">
              <w:rPr>
                <w:rFonts w:ascii="Times New Roman" w:eastAsia="Times New Roman" w:hAnsi="Times New Roman" w:cs="Times New Roman"/>
                <w:color w:val="000000"/>
                <w:sz w:val="20"/>
                <w:szCs w:val="20"/>
                <w:lang w:eastAsia="it-IT"/>
              </w:rPr>
              <w:br/>
              <w:t xml:space="preserve">capacità di pagamento: 40% </w:t>
            </w:r>
          </w:p>
        </w:tc>
      </w:tr>
    </w:tbl>
    <w:p w14:paraId="2B24C1BC"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3C291520"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tbl>
      <w:tblPr>
        <w:tblW w:w="9660" w:type="dxa"/>
        <w:tblInd w:w="7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5788AD5E" w14:textId="77777777" w:rsidTr="00F56356">
        <w:trPr>
          <w:trHeight w:val="510"/>
        </w:trPr>
        <w:tc>
          <w:tcPr>
            <w:tcW w:w="340" w:type="dxa"/>
            <w:tcBorders>
              <w:top w:val="nil"/>
              <w:left w:val="nil"/>
              <w:bottom w:val="nil"/>
              <w:right w:val="nil"/>
            </w:tcBorders>
            <w:shd w:val="clear" w:color="auto" w:fill="auto"/>
            <w:noWrap/>
            <w:vAlign w:val="bottom"/>
            <w:hideMark/>
          </w:tcPr>
          <w:p w14:paraId="0F1C3F9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BFA0C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53348BA8" w14:textId="77777777" w:rsidTr="00F56356">
        <w:trPr>
          <w:trHeight w:val="450"/>
        </w:trPr>
        <w:tc>
          <w:tcPr>
            <w:tcW w:w="340" w:type="dxa"/>
            <w:tcBorders>
              <w:top w:val="nil"/>
              <w:left w:val="nil"/>
              <w:bottom w:val="nil"/>
              <w:right w:val="nil"/>
            </w:tcBorders>
            <w:shd w:val="clear" w:color="auto" w:fill="auto"/>
            <w:noWrap/>
            <w:vAlign w:val="center"/>
            <w:hideMark/>
          </w:tcPr>
          <w:p w14:paraId="316FC14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75650E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56A89C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37532A3B" w14:textId="77777777" w:rsidTr="00F56356">
        <w:trPr>
          <w:trHeight w:val="450"/>
        </w:trPr>
        <w:tc>
          <w:tcPr>
            <w:tcW w:w="340" w:type="dxa"/>
            <w:tcBorders>
              <w:top w:val="nil"/>
              <w:left w:val="nil"/>
              <w:bottom w:val="nil"/>
              <w:right w:val="nil"/>
            </w:tcBorders>
            <w:shd w:val="clear" w:color="auto" w:fill="auto"/>
            <w:noWrap/>
            <w:vAlign w:val="center"/>
            <w:hideMark/>
          </w:tcPr>
          <w:p w14:paraId="21DE893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143E7D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522E90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32040DFA" w14:textId="77777777" w:rsidTr="00F56356">
        <w:trPr>
          <w:trHeight w:val="450"/>
        </w:trPr>
        <w:tc>
          <w:tcPr>
            <w:tcW w:w="340" w:type="dxa"/>
            <w:tcBorders>
              <w:top w:val="nil"/>
              <w:left w:val="nil"/>
              <w:bottom w:val="nil"/>
              <w:right w:val="nil"/>
            </w:tcBorders>
            <w:shd w:val="clear" w:color="auto" w:fill="auto"/>
            <w:noWrap/>
            <w:vAlign w:val="center"/>
            <w:hideMark/>
          </w:tcPr>
          <w:p w14:paraId="0C87EE1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5C63F0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16CB26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14 - Politiche antidroga</w:t>
            </w:r>
          </w:p>
        </w:tc>
      </w:tr>
      <w:tr w:rsidR="00F56356" w:rsidRPr="00F56356" w14:paraId="72F02073" w14:textId="77777777" w:rsidTr="00F56356">
        <w:trPr>
          <w:trHeight w:val="1080"/>
        </w:trPr>
        <w:tc>
          <w:tcPr>
            <w:tcW w:w="340" w:type="dxa"/>
            <w:tcBorders>
              <w:top w:val="nil"/>
              <w:left w:val="nil"/>
              <w:bottom w:val="nil"/>
              <w:right w:val="nil"/>
            </w:tcBorders>
            <w:shd w:val="clear" w:color="auto" w:fill="auto"/>
            <w:noWrap/>
            <w:vAlign w:val="center"/>
            <w:hideMark/>
          </w:tcPr>
          <w:p w14:paraId="6099086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69E38C4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5988DF6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Avvio delle fasi procedurali per l’utilizzo delle risorse relative al "Fondo di intervento per la prevenzione e il contrasto delle dipendenze tra le giovani generazioni".</w:t>
            </w:r>
          </w:p>
        </w:tc>
      </w:tr>
      <w:tr w:rsidR="00F56356" w:rsidRPr="00F56356" w14:paraId="467B82D2" w14:textId="77777777" w:rsidTr="00F56356">
        <w:trPr>
          <w:trHeight w:val="981"/>
        </w:trPr>
        <w:tc>
          <w:tcPr>
            <w:tcW w:w="340" w:type="dxa"/>
            <w:tcBorders>
              <w:top w:val="nil"/>
              <w:left w:val="nil"/>
              <w:bottom w:val="nil"/>
              <w:right w:val="nil"/>
            </w:tcBorders>
            <w:shd w:val="clear" w:color="auto" w:fill="auto"/>
            <w:noWrap/>
            <w:vAlign w:val="center"/>
            <w:hideMark/>
          </w:tcPr>
          <w:p w14:paraId="0119E36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35913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71046D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Attivazione delle fasi procedurali successive al decreto del Ministro delle Politiche Giovanili per l’impiego delle risorse del fondo di intervento per la prevenzione e contrasto delle dipendenze nelle giovani generazioni.</w:t>
            </w:r>
          </w:p>
        </w:tc>
      </w:tr>
      <w:tr w:rsidR="00F56356" w:rsidRPr="00F56356" w14:paraId="1664658E" w14:textId="77777777" w:rsidTr="00F56356">
        <w:trPr>
          <w:trHeight w:val="405"/>
        </w:trPr>
        <w:tc>
          <w:tcPr>
            <w:tcW w:w="340" w:type="dxa"/>
            <w:tcBorders>
              <w:top w:val="nil"/>
              <w:left w:val="nil"/>
              <w:bottom w:val="nil"/>
              <w:right w:val="nil"/>
            </w:tcBorders>
            <w:shd w:val="clear" w:color="auto" w:fill="auto"/>
            <w:noWrap/>
            <w:vAlign w:val="center"/>
            <w:hideMark/>
          </w:tcPr>
          <w:p w14:paraId="0B5699E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45B87D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6780BA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A0C24F7" w14:textId="77777777" w:rsidTr="00F56356">
        <w:trPr>
          <w:trHeight w:val="405"/>
        </w:trPr>
        <w:tc>
          <w:tcPr>
            <w:tcW w:w="340" w:type="dxa"/>
            <w:tcBorders>
              <w:top w:val="nil"/>
              <w:left w:val="nil"/>
              <w:bottom w:val="nil"/>
              <w:right w:val="nil"/>
            </w:tcBorders>
            <w:shd w:val="clear" w:color="auto" w:fill="auto"/>
            <w:noWrap/>
            <w:vAlign w:val="center"/>
            <w:hideMark/>
          </w:tcPr>
          <w:p w14:paraId="2498C88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452025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930A3E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DC75D37" w14:textId="77777777" w:rsidTr="00F56356">
        <w:trPr>
          <w:trHeight w:val="435"/>
        </w:trPr>
        <w:tc>
          <w:tcPr>
            <w:tcW w:w="340" w:type="dxa"/>
            <w:tcBorders>
              <w:top w:val="nil"/>
              <w:left w:val="nil"/>
              <w:bottom w:val="nil"/>
              <w:right w:val="nil"/>
            </w:tcBorders>
            <w:shd w:val="clear" w:color="auto" w:fill="auto"/>
            <w:noWrap/>
            <w:vAlign w:val="bottom"/>
            <w:hideMark/>
          </w:tcPr>
          <w:p w14:paraId="4EF2E7F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BA504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1A6108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775</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D3E97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EB195A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53236BA6" w14:textId="77777777" w:rsidTr="00F56356">
        <w:trPr>
          <w:trHeight w:val="1305"/>
        </w:trPr>
        <w:tc>
          <w:tcPr>
            <w:tcW w:w="340" w:type="dxa"/>
            <w:tcBorders>
              <w:top w:val="nil"/>
              <w:left w:val="nil"/>
              <w:bottom w:val="nil"/>
              <w:right w:val="nil"/>
            </w:tcBorders>
            <w:shd w:val="clear" w:color="auto" w:fill="auto"/>
            <w:noWrap/>
            <w:vAlign w:val="bottom"/>
            <w:hideMark/>
          </w:tcPr>
          <w:p w14:paraId="14500B9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DDA004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F490B1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03A674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5B98583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E7E39B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4B79C92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1A26875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09DA20C1" w14:textId="77777777" w:rsidTr="00F56356">
        <w:trPr>
          <w:trHeight w:val="555"/>
        </w:trPr>
        <w:tc>
          <w:tcPr>
            <w:tcW w:w="340" w:type="dxa"/>
            <w:tcBorders>
              <w:top w:val="nil"/>
              <w:left w:val="nil"/>
              <w:bottom w:val="nil"/>
              <w:right w:val="nil"/>
            </w:tcBorders>
            <w:shd w:val="clear" w:color="auto" w:fill="auto"/>
            <w:noWrap/>
            <w:vAlign w:val="bottom"/>
            <w:hideMark/>
          </w:tcPr>
          <w:p w14:paraId="10E5A4F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54F71DA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73A76A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8E6A15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2.000.000,00</w:t>
            </w:r>
          </w:p>
        </w:tc>
        <w:tc>
          <w:tcPr>
            <w:tcW w:w="1140" w:type="dxa"/>
            <w:tcBorders>
              <w:top w:val="nil"/>
              <w:left w:val="nil"/>
              <w:bottom w:val="single" w:sz="4" w:space="0" w:color="auto"/>
              <w:right w:val="single" w:sz="4" w:space="0" w:color="auto"/>
            </w:tcBorders>
            <w:shd w:val="clear" w:color="auto" w:fill="auto"/>
            <w:noWrap/>
            <w:vAlign w:val="center"/>
            <w:hideMark/>
          </w:tcPr>
          <w:p w14:paraId="12C9253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2.000.000,00</w:t>
            </w:r>
          </w:p>
        </w:tc>
        <w:tc>
          <w:tcPr>
            <w:tcW w:w="1180" w:type="dxa"/>
            <w:tcBorders>
              <w:top w:val="nil"/>
              <w:left w:val="nil"/>
              <w:bottom w:val="single" w:sz="4" w:space="0" w:color="auto"/>
              <w:right w:val="single" w:sz="4" w:space="0" w:color="auto"/>
            </w:tcBorders>
            <w:shd w:val="clear" w:color="auto" w:fill="auto"/>
            <w:noWrap/>
            <w:vAlign w:val="center"/>
            <w:hideMark/>
          </w:tcPr>
          <w:p w14:paraId="49A5337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1B4A54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6A34E24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54133CC7" w14:textId="77777777" w:rsidTr="00F56356">
        <w:trPr>
          <w:trHeight w:val="255"/>
        </w:trPr>
        <w:tc>
          <w:tcPr>
            <w:tcW w:w="340" w:type="dxa"/>
            <w:tcBorders>
              <w:top w:val="nil"/>
              <w:left w:val="nil"/>
              <w:bottom w:val="nil"/>
              <w:right w:val="nil"/>
            </w:tcBorders>
            <w:shd w:val="clear" w:color="auto" w:fill="auto"/>
            <w:noWrap/>
            <w:vAlign w:val="bottom"/>
            <w:hideMark/>
          </w:tcPr>
          <w:p w14:paraId="102746D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DD628F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2BEF14D4"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DFED53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44694C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2C611B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23A2BCF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3538835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BD7D8F3" w14:textId="77777777" w:rsidTr="00F56356">
        <w:trPr>
          <w:trHeight w:val="315"/>
        </w:trPr>
        <w:tc>
          <w:tcPr>
            <w:tcW w:w="340" w:type="dxa"/>
            <w:tcBorders>
              <w:top w:val="nil"/>
              <w:left w:val="nil"/>
              <w:bottom w:val="nil"/>
              <w:right w:val="nil"/>
            </w:tcBorders>
            <w:shd w:val="clear" w:color="auto" w:fill="auto"/>
            <w:noWrap/>
            <w:vAlign w:val="bottom"/>
            <w:hideMark/>
          </w:tcPr>
          <w:p w14:paraId="010F838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B356E5E"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2D02788" w14:textId="77777777" w:rsidTr="00F56356">
        <w:trPr>
          <w:trHeight w:val="315"/>
        </w:trPr>
        <w:tc>
          <w:tcPr>
            <w:tcW w:w="340" w:type="dxa"/>
            <w:tcBorders>
              <w:top w:val="nil"/>
              <w:left w:val="nil"/>
              <w:bottom w:val="nil"/>
              <w:right w:val="nil"/>
            </w:tcBorders>
            <w:shd w:val="clear" w:color="auto" w:fill="auto"/>
            <w:noWrap/>
            <w:vAlign w:val="bottom"/>
            <w:hideMark/>
          </w:tcPr>
          <w:p w14:paraId="02AACE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DC2BC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02AB6C33" w14:textId="77777777" w:rsidTr="00F56356">
        <w:trPr>
          <w:trHeight w:val="315"/>
        </w:trPr>
        <w:tc>
          <w:tcPr>
            <w:tcW w:w="340" w:type="dxa"/>
            <w:tcBorders>
              <w:top w:val="nil"/>
              <w:left w:val="nil"/>
              <w:bottom w:val="nil"/>
              <w:right w:val="nil"/>
            </w:tcBorders>
            <w:shd w:val="clear" w:color="auto" w:fill="auto"/>
            <w:noWrap/>
            <w:vAlign w:val="bottom"/>
            <w:hideMark/>
          </w:tcPr>
          <w:p w14:paraId="6689811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4429624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6E7988D3" w14:textId="77777777" w:rsidTr="00F56356">
        <w:trPr>
          <w:trHeight w:val="390"/>
        </w:trPr>
        <w:tc>
          <w:tcPr>
            <w:tcW w:w="340" w:type="dxa"/>
            <w:tcBorders>
              <w:top w:val="nil"/>
              <w:left w:val="nil"/>
              <w:bottom w:val="nil"/>
              <w:right w:val="nil"/>
            </w:tcBorders>
            <w:shd w:val="clear" w:color="auto" w:fill="auto"/>
            <w:noWrap/>
            <w:vAlign w:val="bottom"/>
            <w:hideMark/>
          </w:tcPr>
          <w:p w14:paraId="05629B6D"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F14F3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C20EFDC" w14:textId="77777777" w:rsidTr="00F56356">
        <w:trPr>
          <w:trHeight w:val="1320"/>
        </w:trPr>
        <w:tc>
          <w:tcPr>
            <w:tcW w:w="340" w:type="dxa"/>
            <w:tcBorders>
              <w:top w:val="nil"/>
              <w:left w:val="nil"/>
              <w:bottom w:val="nil"/>
              <w:right w:val="nil"/>
            </w:tcBorders>
            <w:shd w:val="clear" w:color="auto" w:fill="auto"/>
            <w:noWrap/>
            <w:vAlign w:val="center"/>
            <w:hideMark/>
          </w:tcPr>
          <w:p w14:paraId="4783080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8D75F5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97156E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attivare e dare esecuzione alla procedura prodromica all’utilizzo delle risorse del "Fondo di intervento per la prevenzione e il contrasto delle dipendenze tra le giovani generazioni", secondo le indicazioni dell’Autorità politica-amministrativa.</w:t>
            </w:r>
          </w:p>
        </w:tc>
      </w:tr>
      <w:tr w:rsidR="00F56356" w:rsidRPr="00F56356" w14:paraId="2B5F6AE9" w14:textId="77777777" w:rsidTr="00F56356">
        <w:trPr>
          <w:trHeight w:val="885"/>
        </w:trPr>
        <w:tc>
          <w:tcPr>
            <w:tcW w:w="340" w:type="dxa"/>
            <w:tcBorders>
              <w:top w:val="nil"/>
              <w:left w:val="nil"/>
              <w:bottom w:val="nil"/>
              <w:right w:val="nil"/>
            </w:tcBorders>
            <w:shd w:val="clear" w:color="auto" w:fill="auto"/>
            <w:noWrap/>
            <w:vAlign w:val="center"/>
            <w:hideMark/>
          </w:tcPr>
          <w:p w14:paraId="369E870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7AAE71D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1152AA6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Cronoprogramma assentito dall’Organo di vertice politico-amministrativo; Protocollo informatico e/o PEC, posta elettronica, SICOGE.</w:t>
            </w:r>
          </w:p>
        </w:tc>
      </w:tr>
      <w:tr w:rsidR="00F56356" w:rsidRPr="00F56356" w14:paraId="4846B01F" w14:textId="77777777" w:rsidTr="00F56356">
        <w:trPr>
          <w:trHeight w:val="1128"/>
        </w:trPr>
        <w:tc>
          <w:tcPr>
            <w:tcW w:w="340" w:type="dxa"/>
            <w:tcBorders>
              <w:top w:val="nil"/>
              <w:left w:val="nil"/>
              <w:bottom w:val="nil"/>
              <w:right w:val="nil"/>
            </w:tcBorders>
            <w:shd w:val="clear" w:color="auto" w:fill="auto"/>
            <w:noWrap/>
            <w:vAlign w:val="center"/>
            <w:hideMark/>
          </w:tcPr>
          <w:p w14:paraId="0695496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82DEFA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55091F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Rispetto delle scadenze previste nello specifico cronoprogramma assentito dall’Organo di vertice politico-amministrativo.</w:t>
            </w:r>
          </w:p>
        </w:tc>
        <w:tc>
          <w:tcPr>
            <w:tcW w:w="1180" w:type="dxa"/>
            <w:tcBorders>
              <w:top w:val="nil"/>
              <w:left w:val="nil"/>
              <w:bottom w:val="single" w:sz="4" w:space="0" w:color="auto"/>
              <w:right w:val="nil"/>
            </w:tcBorders>
            <w:shd w:val="clear" w:color="auto" w:fill="auto"/>
            <w:vAlign w:val="center"/>
            <w:hideMark/>
          </w:tcPr>
          <w:p w14:paraId="7EFCB3E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F8F8D5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2D774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D893B4B" w14:textId="77777777" w:rsidTr="00F56356">
        <w:trPr>
          <w:trHeight w:val="495"/>
        </w:trPr>
        <w:tc>
          <w:tcPr>
            <w:tcW w:w="340" w:type="dxa"/>
            <w:tcBorders>
              <w:top w:val="nil"/>
              <w:left w:val="nil"/>
              <w:bottom w:val="nil"/>
              <w:right w:val="nil"/>
            </w:tcBorders>
            <w:shd w:val="clear" w:color="auto" w:fill="auto"/>
            <w:noWrap/>
            <w:vAlign w:val="bottom"/>
            <w:hideMark/>
          </w:tcPr>
          <w:p w14:paraId="5ADF655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4740666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540" w:type="dxa"/>
            <w:tcBorders>
              <w:top w:val="nil"/>
              <w:left w:val="nil"/>
              <w:bottom w:val="single" w:sz="4" w:space="0" w:color="auto"/>
              <w:right w:val="nil"/>
            </w:tcBorders>
            <w:shd w:val="clear" w:color="auto" w:fill="auto"/>
            <w:noWrap/>
            <w:vAlign w:val="center"/>
            <w:hideMark/>
          </w:tcPr>
          <w:p w14:paraId="0CA500B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240" w:type="dxa"/>
            <w:tcBorders>
              <w:top w:val="nil"/>
              <w:left w:val="nil"/>
              <w:bottom w:val="single" w:sz="4" w:space="0" w:color="auto"/>
              <w:right w:val="nil"/>
            </w:tcBorders>
            <w:shd w:val="clear" w:color="auto" w:fill="auto"/>
            <w:noWrap/>
            <w:vAlign w:val="center"/>
            <w:hideMark/>
          </w:tcPr>
          <w:p w14:paraId="3119460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31A009F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ABA5B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B006A6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nil"/>
              <w:bottom w:val="single" w:sz="4" w:space="0" w:color="auto"/>
              <w:right w:val="single" w:sz="4" w:space="0" w:color="auto"/>
            </w:tcBorders>
            <w:shd w:val="clear" w:color="auto" w:fill="auto"/>
            <w:noWrap/>
            <w:vAlign w:val="center"/>
            <w:hideMark/>
          </w:tcPr>
          <w:p w14:paraId="69FE582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74B485A2"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4C778C71"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215396CE"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1ECD28D1"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3FA39472"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47328" behindDoc="1" locked="0" layoutInCell="1" allowOverlap="1" wp14:anchorId="48CC2234" wp14:editId="5A490120">
            <wp:simplePos x="0" y="0"/>
            <wp:positionH relativeFrom="column">
              <wp:posOffset>271145</wp:posOffset>
            </wp:positionH>
            <wp:positionV relativeFrom="paragraph">
              <wp:posOffset>3175</wp:posOffset>
            </wp:positionV>
            <wp:extent cx="5820410" cy="8896350"/>
            <wp:effectExtent l="0" t="0" r="8890" b="0"/>
            <wp:wrapTight wrapText="bothSides">
              <wp:wrapPolygon edited="0">
                <wp:start x="0" y="0"/>
                <wp:lineTo x="0" y="21554"/>
                <wp:lineTo x="21562" y="21554"/>
                <wp:lineTo x="21562" y="0"/>
                <wp:lineTo x="0" y="0"/>
              </wp:wrapPolygon>
            </wp:wrapTight>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820410" cy="8896350"/>
                    </a:xfrm>
                    <a:prstGeom prst="rect">
                      <a:avLst/>
                    </a:prstGeom>
                    <a:noFill/>
                    <a:ln>
                      <a:noFill/>
                    </a:ln>
                  </pic:spPr>
                </pic:pic>
              </a:graphicData>
            </a:graphic>
            <wp14:sizeRelH relativeFrom="margin">
              <wp14:pctWidth>0</wp14:pctWidth>
            </wp14:sizeRelH>
          </wp:anchor>
        </w:drawing>
      </w:r>
    </w:p>
    <w:tbl>
      <w:tblPr>
        <w:tblW w:w="9660" w:type="dxa"/>
        <w:tblInd w:w="70" w:type="dxa"/>
        <w:tblCellMar>
          <w:left w:w="70" w:type="dxa"/>
          <w:right w:w="70" w:type="dxa"/>
        </w:tblCellMar>
        <w:tblLook w:val="04A0" w:firstRow="1" w:lastRow="0" w:firstColumn="1" w:lastColumn="0" w:noHBand="0" w:noVBand="1"/>
      </w:tblPr>
      <w:tblGrid>
        <w:gridCol w:w="340"/>
        <w:gridCol w:w="2740"/>
        <w:gridCol w:w="540"/>
        <w:gridCol w:w="1240"/>
        <w:gridCol w:w="1140"/>
        <w:gridCol w:w="1180"/>
        <w:gridCol w:w="1340"/>
        <w:gridCol w:w="1140"/>
      </w:tblGrid>
      <w:tr w:rsidR="00F56356" w:rsidRPr="00F56356" w14:paraId="70C1E9AC" w14:textId="77777777" w:rsidTr="00F56356">
        <w:trPr>
          <w:trHeight w:val="510"/>
        </w:trPr>
        <w:tc>
          <w:tcPr>
            <w:tcW w:w="340" w:type="dxa"/>
            <w:tcBorders>
              <w:top w:val="nil"/>
              <w:left w:val="nil"/>
              <w:bottom w:val="nil"/>
              <w:right w:val="nil"/>
            </w:tcBorders>
            <w:shd w:val="clear" w:color="auto" w:fill="auto"/>
            <w:noWrap/>
            <w:vAlign w:val="bottom"/>
            <w:hideMark/>
          </w:tcPr>
          <w:p w14:paraId="0182ADF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577F7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2CEAC497" w14:textId="77777777" w:rsidTr="00F56356">
        <w:trPr>
          <w:trHeight w:val="630"/>
        </w:trPr>
        <w:tc>
          <w:tcPr>
            <w:tcW w:w="340" w:type="dxa"/>
            <w:tcBorders>
              <w:top w:val="nil"/>
              <w:left w:val="nil"/>
              <w:bottom w:val="nil"/>
              <w:right w:val="nil"/>
            </w:tcBorders>
            <w:shd w:val="clear" w:color="auto" w:fill="auto"/>
            <w:noWrap/>
            <w:vAlign w:val="center"/>
            <w:hideMark/>
          </w:tcPr>
          <w:p w14:paraId="5A2E50F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DE54ED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10DE3D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0C4523FE" w14:textId="77777777" w:rsidTr="00F56356">
        <w:trPr>
          <w:trHeight w:val="541"/>
        </w:trPr>
        <w:tc>
          <w:tcPr>
            <w:tcW w:w="340" w:type="dxa"/>
            <w:tcBorders>
              <w:top w:val="nil"/>
              <w:left w:val="nil"/>
              <w:bottom w:val="nil"/>
              <w:right w:val="nil"/>
            </w:tcBorders>
            <w:shd w:val="clear" w:color="auto" w:fill="auto"/>
            <w:noWrap/>
            <w:vAlign w:val="center"/>
            <w:hideMark/>
          </w:tcPr>
          <w:p w14:paraId="458496A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A93FDD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A7E59B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3C139BB1" w14:textId="77777777" w:rsidTr="00F56356">
        <w:trPr>
          <w:trHeight w:val="464"/>
        </w:trPr>
        <w:tc>
          <w:tcPr>
            <w:tcW w:w="340" w:type="dxa"/>
            <w:tcBorders>
              <w:top w:val="nil"/>
              <w:left w:val="nil"/>
              <w:bottom w:val="nil"/>
              <w:right w:val="nil"/>
            </w:tcBorders>
            <w:shd w:val="clear" w:color="auto" w:fill="auto"/>
            <w:noWrap/>
            <w:vAlign w:val="center"/>
            <w:hideMark/>
          </w:tcPr>
          <w:p w14:paraId="53827E9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03E82D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92DC60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14 - Politiche antidroga</w:t>
            </w:r>
          </w:p>
        </w:tc>
      </w:tr>
      <w:tr w:rsidR="00F56356" w:rsidRPr="00F56356" w14:paraId="0BA4F23D" w14:textId="77777777" w:rsidTr="00F56356">
        <w:trPr>
          <w:trHeight w:val="630"/>
        </w:trPr>
        <w:tc>
          <w:tcPr>
            <w:tcW w:w="340" w:type="dxa"/>
            <w:tcBorders>
              <w:top w:val="nil"/>
              <w:left w:val="nil"/>
              <w:bottom w:val="nil"/>
              <w:right w:val="nil"/>
            </w:tcBorders>
            <w:shd w:val="clear" w:color="auto" w:fill="auto"/>
            <w:noWrap/>
            <w:vAlign w:val="center"/>
            <w:hideMark/>
          </w:tcPr>
          <w:p w14:paraId="5748AD4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1A2BECF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222F4CE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Potenziare la base dati dell’Osservatorio Nazionale Permanente sull’andamento del fenomeno delle tossicodipendenze. </w:t>
            </w:r>
          </w:p>
        </w:tc>
      </w:tr>
      <w:tr w:rsidR="00F56356" w:rsidRPr="00F56356" w14:paraId="726AC447" w14:textId="77777777" w:rsidTr="00F56356">
        <w:trPr>
          <w:trHeight w:val="2310"/>
        </w:trPr>
        <w:tc>
          <w:tcPr>
            <w:tcW w:w="340" w:type="dxa"/>
            <w:tcBorders>
              <w:top w:val="nil"/>
              <w:left w:val="nil"/>
              <w:bottom w:val="nil"/>
              <w:right w:val="nil"/>
            </w:tcBorders>
            <w:shd w:val="clear" w:color="auto" w:fill="auto"/>
            <w:noWrap/>
            <w:vAlign w:val="center"/>
            <w:hideMark/>
          </w:tcPr>
          <w:p w14:paraId="51EDBED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8C000A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8E69EE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Incrementare i flussi informativi dell’Osservatorio Nazionale Permanente sull’andamento del fenomeno delle dipendenze patologiche attraverso l’elaborazione di proposte di accordi collaborazione/convenzioni/protocolli di intesa in linea con quanto previsto dall’Autorità politico-amministrativa, anche ad esito di avvisi pubblici con amministrazioni centrali, enti in house, forze di polizia, amministrazioni periferiche, centri di ricerca, università, enti del privato sociale nel settore del monitoraggio degli interventi in materia di </w:t>
            </w:r>
            <w:proofErr w:type="spellStart"/>
            <w:r w:rsidRPr="00F56356">
              <w:rPr>
                <w:rFonts w:ascii="Times New Roman" w:eastAsia="Times New Roman" w:hAnsi="Times New Roman" w:cs="Times New Roman"/>
                <w:color w:val="000000"/>
                <w:sz w:val="20"/>
                <w:szCs w:val="20"/>
                <w:lang w:eastAsia="it-IT"/>
              </w:rPr>
              <w:t>tossicodipedenze</w:t>
            </w:r>
            <w:proofErr w:type="spellEnd"/>
            <w:r w:rsidRPr="00F56356">
              <w:rPr>
                <w:rFonts w:ascii="Times New Roman" w:eastAsia="Times New Roman" w:hAnsi="Times New Roman" w:cs="Times New Roman"/>
                <w:color w:val="000000"/>
                <w:sz w:val="20"/>
                <w:szCs w:val="20"/>
                <w:lang w:eastAsia="it-IT"/>
              </w:rPr>
              <w:t xml:space="preserve">. Si prevede la predisposizione di almeno una proposta di accordo di collaborazione/convezione/protocollo di intesa. </w:t>
            </w:r>
          </w:p>
        </w:tc>
      </w:tr>
      <w:tr w:rsidR="00F56356" w:rsidRPr="00F56356" w14:paraId="60FB3267" w14:textId="77777777" w:rsidTr="00F56356">
        <w:trPr>
          <w:trHeight w:val="360"/>
        </w:trPr>
        <w:tc>
          <w:tcPr>
            <w:tcW w:w="340" w:type="dxa"/>
            <w:tcBorders>
              <w:top w:val="nil"/>
              <w:left w:val="nil"/>
              <w:bottom w:val="nil"/>
              <w:right w:val="nil"/>
            </w:tcBorders>
            <w:shd w:val="clear" w:color="auto" w:fill="auto"/>
            <w:noWrap/>
            <w:vAlign w:val="center"/>
            <w:hideMark/>
          </w:tcPr>
          <w:p w14:paraId="04F8D92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9AE418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D145B3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F96387B" w14:textId="77777777" w:rsidTr="00F56356">
        <w:trPr>
          <w:trHeight w:val="360"/>
        </w:trPr>
        <w:tc>
          <w:tcPr>
            <w:tcW w:w="340" w:type="dxa"/>
            <w:tcBorders>
              <w:top w:val="nil"/>
              <w:left w:val="nil"/>
              <w:bottom w:val="nil"/>
              <w:right w:val="nil"/>
            </w:tcBorders>
            <w:shd w:val="clear" w:color="auto" w:fill="auto"/>
            <w:noWrap/>
            <w:vAlign w:val="center"/>
            <w:hideMark/>
          </w:tcPr>
          <w:p w14:paraId="1FC97DD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FECCA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A1E184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68A5916" w14:textId="77777777" w:rsidTr="00F56356">
        <w:trPr>
          <w:trHeight w:val="435"/>
        </w:trPr>
        <w:tc>
          <w:tcPr>
            <w:tcW w:w="340" w:type="dxa"/>
            <w:tcBorders>
              <w:top w:val="nil"/>
              <w:left w:val="nil"/>
              <w:bottom w:val="nil"/>
              <w:right w:val="nil"/>
            </w:tcBorders>
            <w:shd w:val="clear" w:color="auto" w:fill="auto"/>
            <w:noWrap/>
            <w:vAlign w:val="bottom"/>
            <w:hideMark/>
          </w:tcPr>
          <w:p w14:paraId="0101949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AEFAE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DCBF7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787</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AA497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D1BE9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10AF8BA" w14:textId="77777777" w:rsidTr="00F56356">
        <w:trPr>
          <w:trHeight w:val="989"/>
        </w:trPr>
        <w:tc>
          <w:tcPr>
            <w:tcW w:w="340" w:type="dxa"/>
            <w:tcBorders>
              <w:top w:val="nil"/>
              <w:left w:val="nil"/>
              <w:bottom w:val="nil"/>
              <w:right w:val="nil"/>
            </w:tcBorders>
            <w:shd w:val="clear" w:color="auto" w:fill="auto"/>
            <w:noWrap/>
            <w:vAlign w:val="bottom"/>
            <w:hideMark/>
          </w:tcPr>
          <w:p w14:paraId="448888D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44F696D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30698A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F1B9FA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11C99B9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Stanziamento definitivo di 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E62F7D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35CB33A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4F8A206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0FFD461" w14:textId="77777777" w:rsidTr="00F56356">
        <w:trPr>
          <w:trHeight w:val="555"/>
        </w:trPr>
        <w:tc>
          <w:tcPr>
            <w:tcW w:w="340" w:type="dxa"/>
            <w:tcBorders>
              <w:top w:val="nil"/>
              <w:left w:val="nil"/>
              <w:bottom w:val="nil"/>
              <w:right w:val="nil"/>
            </w:tcBorders>
            <w:shd w:val="clear" w:color="auto" w:fill="auto"/>
            <w:noWrap/>
            <w:vAlign w:val="bottom"/>
            <w:hideMark/>
          </w:tcPr>
          <w:p w14:paraId="1CF4A61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vMerge/>
            <w:tcBorders>
              <w:top w:val="nil"/>
              <w:left w:val="single" w:sz="4" w:space="0" w:color="auto"/>
              <w:bottom w:val="single" w:sz="4" w:space="0" w:color="000000"/>
              <w:right w:val="single" w:sz="4" w:space="0" w:color="auto"/>
            </w:tcBorders>
            <w:vAlign w:val="center"/>
            <w:hideMark/>
          </w:tcPr>
          <w:p w14:paraId="7095059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003740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F8681B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1.200.000,00</w:t>
            </w:r>
          </w:p>
        </w:tc>
        <w:tc>
          <w:tcPr>
            <w:tcW w:w="1140" w:type="dxa"/>
            <w:tcBorders>
              <w:top w:val="nil"/>
              <w:left w:val="nil"/>
              <w:bottom w:val="single" w:sz="4" w:space="0" w:color="auto"/>
              <w:right w:val="single" w:sz="4" w:space="0" w:color="auto"/>
            </w:tcBorders>
            <w:shd w:val="clear" w:color="auto" w:fill="auto"/>
            <w:noWrap/>
            <w:vAlign w:val="center"/>
            <w:hideMark/>
          </w:tcPr>
          <w:p w14:paraId="262B0F2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2.032.983,53</w:t>
            </w:r>
          </w:p>
        </w:tc>
        <w:tc>
          <w:tcPr>
            <w:tcW w:w="1180" w:type="dxa"/>
            <w:tcBorders>
              <w:top w:val="nil"/>
              <w:left w:val="nil"/>
              <w:bottom w:val="single" w:sz="4" w:space="0" w:color="auto"/>
              <w:right w:val="single" w:sz="4" w:space="0" w:color="auto"/>
            </w:tcBorders>
            <w:shd w:val="clear" w:color="auto" w:fill="auto"/>
            <w:noWrap/>
            <w:vAlign w:val="center"/>
            <w:hideMark/>
          </w:tcPr>
          <w:p w14:paraId="5CF1954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192.279,53</w:t>
            </w:r>
          </w:p>
        </w:tc>
        <w:tc>
          <w:tcPr>
            <w:tcW w:w="1340" w:type="dxa"/>
            <w:tcBorders>
              <w:top w:val="nil"/>
              <w:left w:val="nil"/>
              <w:bottom w:val="single" w:sz="4" w:space="0" w:color="auto"/>
              <w:right w:val="single" w:sz="4" w:space="0" w:color="auto"/>
            </w:tcBorders>
            <w:shd w:val="clear" w:color="auto" w:fill="auto"/>
            <w:noWrap/>
            <w:vAlign w:val="center"/>
            <w:hideMark/>
          </w:tcPr>
          <w:p w14:paraId="3AF78DA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4602B5A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192.279,53</w:t>
            </w:r>
          </w:p>
        </w:tc>
      </w:tr>
      <w:tr w:rsidR="00F56356" w:rsidRPr="00F56356" w14:paraId="0DF664F5" w14:textId="77777777" w:rsidTr="00F56356">
        <w:trPr>
          <w:trHeight w:val="255"/>
        </w:trPr>
        <w:tc>
          <w:tcPr>
            <w:tcW w:w="340" w:type="dxa"/>
            <w:tcBorders>
              <w:top w:val="nil"/>
              <w:left w:val="nil"/>
              <w:bottom w:val="nil"/>
              <w:right w:val="nil"/>
            </w:tcBorders>
            <w:shd w:val="clear" w:color="auto" w:fill="auto"/>
            <w:noWrap/>
            <w:vAlign w:val="bottom"/>
            <w:hideMark/>
          </w:tcPr>
          <w:p w14:paraId="2183921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nil"/>
              <w:right w:val="nil"/>
            </w:tcBorders>
            <w:shd w:val="clear" w:color="auto" w:fill="auto"/>
            <w:noWrap/>
            <w:vAlign w:val="center"/>
            <w:hideMark/>
          </w:tcPr>
          <w:p w14:paraId="4F8831C7"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36EA8CB0"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F241D4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783B80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337EE2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3B974C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2CC1481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8E1728F" w14:textId="77777777" w:rsidTr="00F56356">
        <w:trPr>
          <w:trHeight w:val="315"/>
        </w:trPr>
        <w:tc>
          <w:tcPr>
            <w:tcW w:w="340" w:type="dxa"/>
            <w:tcBorders>
              <w:top w:val="nil"/>
              <w:left w:val="nil"/>
              <w:bottom w:val="nil"/>
              <w:right w:val="nil"/>
            </w:tcBorders>
            <w:shd w:val="clear" w:color="auto" w:fill="auto"/>
            <w:noWrap/>
            <w:vAlign w:val="bottom"/>
            <w:hideMark/>
          </w:tcPr>
          <w:p w14:paraId="408BC7F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4D8455EE"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5BF2D1FE" w14:textId="77777777" w:rsidTr="00F56356">
        <w:trPr>
          <w:trHeight w:val="315"/>
        </w:trPr>
        <w:tc>
          <w:tcPr>
            <w:tcW w:w="340" w:type="dxa"/>
            <w:tcBorders>
              <w:top w:val="nil"/>
              <w:left w:val="nil"/>
              <w:bottom w:val="nil"/>
              <w:right w:val="nil"/>
            </w:tcBorders>
            <w:shd w:val="clear" w:color="auto" w:fill="auto"/>
            <w:noWrap/>
            <w:vAlign w:val="bottom"/>
            <w:hideMark/>
          </w:tcPr>
          <w:p w14:paraId="2BF4D5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nil"/>
              <w:right w:val="single" w:sz="4" w:space="0" w:color="000000"/>
            </w:tcBorders>
            <w:shd w:val="clear" w:color="auto" w:fill="auto"/>
            <w:vAlign w:val="center"/>
            <w:hideMark/>
          </w:tcPr>
          <w:p w14:paraId="6AB925F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227E581B" w14:textId="77777777" w:rsidTr="00F56356">
        <w:trPr>
          <w:trHeight w:val="315"/>
        </w:trPr>
        <w:tc>
          <w:tcPr>
            <w:tcW w:w="340" w:type="dxa"/>
            <w:tcBorders>
              <w:top w:val="nil"/>
              <w:left w:val="nil"/>
              <w:bottom w:val="nil"/>
              <w:right w:val="nil"/>
            </w:tcBorders>
            <w:shd w:val="clear" w:color="auto" w:fill="auto"/>
            <w:noWrap/>
            <w:vAlign w:val="bottom"/>
            <w:hideMark/>
          </w:tcPr>
          <w:p w14:paraId="0D6EE5E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20" w:type="dxa"/>
            <w:gridSpan w:val="7"/>
            <w:tcBorders>
              <w:top w:val="nil"/>
              <w:left w:val="single" w:sz="4" w:space="0" w:color="auto"/>
              <w:bottom w:val="single" w:sz="4" w:space="0" w:color="auto"/>
              <w:right w:val="single" w:sz="4" w:space="0" w:color="000000"/>
            </w:tcBorders>
            <w:shd w:val="clear" w:color="auto" w:fill="auto"/>
            <w:vAlign w:val="center"/>
            <w:hideMark/>
          </w:tcPr>
          <w:p w14:paraId="72758BB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58E6B734" w14:textId="77777777" w:rsidTr="00F56356">
        <w:trPr>
          <w:trHeight w:val="390"/>
        </w:trPr>
        <w:tc>
          <w:tcPr>
            <w:tcW w:w="340" w:type="dxa"/>
            <w:tcBorders>
              <w:top w:val="nil"/>
              <w:left w:val="nil"/>
              <w:bottom w:val="nil"/>
              <w:right w:val="nil"/>
            </w:tcBorders>
            <w:shd w:val="clear" w:color="auto" w:fill="auto"/>
            <w:noWrap/>
            <w:vAlign w:val="bottom"/>
            <w:hideMark/>
          </w:tcPr>
          <w:p w14:paraId="6406CF4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32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4A13C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278FC001" w14:textId="77777777" w:rsidTr="00F56356">
        <w:trPr>
          <w:trHeight w:val="840"/>
        </w:trPr>
        <w:tc>
          <w:tcPr>
            <w:tcW w:w="340" w:type="dxa"/>
            <w:tcBorders>
              <w:top w:val="nil"/>
              <w:left w:val="nil"/>
              <w:bottom w:val="nil"/>
              <w:right w:val="nil"/>
            </w:tcBorders>
            <w:shd w:val="clear" w:color="auto" w:fill="auto"/>
            <w:noWrap/>
            <w:vAlign w:val="center"/>
            <w:hideMark/>
          </w:tcPr>
          <w:p w14:paraId="260F18F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2C3E663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70E54B8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predisposizione, con il concorso di altre amministrazioni/soggetti, di almeno una proposta di accordo di collaborazione/convenzione/protocollo d’intesa.</w:t>
            </w:r>
          </w:p>
        </w:tc>
      </w:tr>
      <w:tr w:rsidR="00F56356" w:rsidRPr="00F56356" w14:paraId="178E5213" w14:textId="77777777" w:rsidTr="00F56356">
        <w:trPr>
          <w:trHeight w:val="514"/>
        </w:trPr>
        <w:tc>
          <w:tcPr>
            <w:tcW w:w="340" w:type="dxa"/>
            <w:tcBorders>
              <w:top w:val="nil"/>
              <w:left w:val="nil"/>
              <w:bottom w:val="nil"/>
              <w:right w:val="nil"/>
            </w:tcBorders>
            <w:shd w:val="clear" w:color="auto" w:fill="auto"/>
            <w:noWrap/>
            <w:vAlign w:val="center"/>
            <w:hideMark/>
          </w:tcPr>
          <w:p w14:paraId="50C5BC4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4CD5E34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47D576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Cronoprogramma assentito dall’Organo di vertice politico-amministrativo; Protocollo informatico e/o PEC; posta elettronica, SICOGE.  </w:t>
            </w:r>
          </w:p>
        </w:tc>
      </w:tr>
      <w:tr w:rsidR="00F56356" w:rsidRPr="00F56356" w14:paraId="27C4710C" w14:textId="77777777" w:rsidTr="00F56356">
        <w:trPr>
          <w:trHeight w:val="1305"/>
        </w:trPr>
        <w:tc>
          <w:tcPr>
            <w:tcW w:w="340" w:type="dxa"/>
            <w:tcBorders>
              <w:top w:val="nil"/>
              <w:left w:val="nil"/>
              <w:bottom w:val="nil"/>
              <w:right w:val="nil"/>
            </w:tcBorders>
            <w:shd w:val="clear" w:color="auto" w:fill="auto"/>
            <w:noWrap/>
            <w:vAlign w:val="center"/>
            <w:hideMark/>
          </w:tcPr>
          <w:p w14:paraId="49EF65F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00277E0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061A054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Rispetto delle scadenze previste nello specifico cronoprogramma assentito dall’Organo di vertice politico-amministrativo.</w:t>
            </w:r>
          </w:p>
        </w:tc>
        <w:tc>
          <w:tcPr>
            <w:tcW w:w="1180" w:type="dxa"/>
            <w:tcBorders>
              <w:top w:val="nil"/>
              <w:left w:val="nil"/>
              <w:bottom w:val="single" w:sz="4" w:space="0" w:color="auto"/>
              <w:right w:val="nil"/>
            </w:tcBorders>
            <w:shd w:val="clear" w:color="auto" w:fill="auto"/>
            <w:vAlign w:val="center"/>
            <w:hideMark/>
          </w:tcPr>
          <w:p w14:paraId="2F49DDA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3FC9E60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89E2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505C3F6C" w14:textId="77777777" w:rsidTr="00F56356">
        <w:trPr>
          <w:trHeight w:val="465"/>
        </w:trPr>
        <w:tc>
          <w:tcPr>
            <w:tcW w:w="340" w:type="dxa"/>
            <w:tcBorders>
              <w:top w:val="nil"/>
              <w:left w:val="nil"/>
              <w:bottom w:val="nil"/>
              <w:right w:val="nil"/>
            </w:tcBorders>
            <w:shd w:val="clear" w:color="auto" w:fill="auto"/>
            <w:noWrap/>
            <w:vAlign w:val="bottom"/>
            <w:hideMark/>
          </w:tcPr>
          <w:p w14:paraId="3631939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40" w:type="dxa"/>
            <w:tcBorders>
              <w:top w:val="nil"/>
              <w:left w:val="single" w:sz="4" w:space="0" w:color="auto"/>
              <w:bottom w:val="single" w:sz="4" w:space="0" w:color="auto"/>
              <w:right w:val="single" w:sz="4" w:space="0" w:color="auto"/>
            </w:tcBorders>
            <w:shd w:val="clear" w:color="auto" w:fill="auto"/>
            <w:vAlign w:val="center"/>
            <w:hideMark/>
          </w:tcPr>
          <w:p w14:paraId="26F773C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540" w:type="dxa"/>
            <w:tcBorders>
              <w:top w:val="nil"/>
              <w:left w:val="nil"/>
              <w:bottom w:val="single" w:sz="4" w:space="0" w:color="auto"/>
              <w:right w:val="nil"/>
            </w:tcBorders>
            <w:shd w:val="clear" w:color="auto" w:fill="auto"/>
            <w:noWrap/>
            <w:vAlign w:val="center"/>
            <w:hideMark/>
          </w:tcPr>
          <w:p w14:paraId="7E21590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240" w:type="dxa"/>
            <w:tcBorders>
              <w:top w:val="nil"/>
              <w:left w:val="nil"/>
              <w:bottom w:val="single" w:sz="4" w:space="0" w:color="auto"/>
              <w:right w:val="nil"/>
            </w:tcBorders>
            <w:shd w:val="clear" w:color="auto" w:fill="auto"/>
            <w:noWrap/>
            <w:vAlign w:val="center"/>
            <w:hideMark/>
          </w:tcPr>
          <w:p w14:paraId="60625E07" w14:textId="77777777" w:rsidR="00F56356" w:rsidRPr="00F56356" w:rsidRDefault="00F56356" w:rsidP="00F56356">
            <w:pPr>
              <w:spacing w:after="0" w:line="240" w:lineRule="auto"/>
              <w:jc w:val="right"/>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40" w:type="dxa"/>
            <w:tcBorders>
              <w:top w:val="nil"/>
              <w:left w:val="nil"/>
              <w:bottom w:val="single" w:sz="4" w:space="0" w:color="auto"/>
              <w:right w:val="single" w:sz="4" w:space="0" w:color="auto"/>
            </w:tcBorders>
            <w:shd w:val="clear" w:color="auto" w:fill="auto"/>
            <w:noWrap/>
            <w:vAlign w:val="center"/>
            <w:hideMark/>
          </w:tcPr>
          <w:p w14:paraId="38BE1AC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1180" w:type="dxa"/>
            <w:tcBorders>
              <w:top w:val="nil"/>
              <w:left w:val="nil"/>
              <w:bottom w:val="single" w:sz="4" w:space="0" w:color="auto"/>
              <w:right w:val="single" w:sz="4" w:space="0" w:color="auto"/>
            </w:tcBorders>
            <w:shd w:val="clear" w:color="auto" w:fill="auto"/>
            <w:noWrap/>
            <w:vAlign w:val="center"/>
            <w:hideMark/>
          </w:tcPr>
          <w:p w14:paraId="7015C47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0E1E0AD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192308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7DF9FBA8"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7A384BAC"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5CBBF833"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322D99F7"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1A785F9E"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tbl>
      <w:tblPr>
        <w:tblW w:w="9740" w:type="dxa"/>
        <w:tblInd w:w="70" w:type="dxa"/>
        <w:tblCellMar>
          <w:left w:w="70" w:type="dxa"/>
          <w:right w:w="70" w:type="dxa"/>
        </w:tblCellMar>
        <w:tblLook w:val="04A0" w:firstRow="1" w:lastRow="0" w:firstColumn="1" w:lastColumn="0" w:noHBand="0" w:noVBand="1"/>
      </w:tblPr>
      <w:tblGrid>
        <w:gridCol w:w="340"/>
        <w:gridCol w:w="2820"/>
        <w:gridCol w:w="540"/>
        <w:gridCol w:w="1240"/>
        <w:gridCol w:w="1140"/>
        <w:gridCol w:w="1180"/>
        <w:gridCol w:w="1340"/>
        <w:gridCol w:w="1140"/>
      </w:tblGrid>
      <w:tr w:rsidR="00F56356" w:rsidRPr="00F56356" w14:paraId="77F44526" w14:textId="77777777" w:rsidTr="00F56356">
        <w:trPr>
          <w:trHeight w:val="510"/>
        </w:trPr>
        <w:tc>
          <w:tcPr>
            <w:tcW w:w="340" w:type="dxa"/>
            <w:tcBorders>
              <w:top w:val="nil"/>
              <w:left w:val="nil"/>
              <w:bottom w:val="nil"/>
              <w:right w:val="nil"/>
            </w:tcBorders>
            <w:shd w:val="clear" w:color="auto" w:fill="auto"/>
            <w:noWrap/>
            <w:vAlign w:val="bottom"/>
            <w:hideMark/>
          </w:tcPr>
          <w:p w14:paraId="16F8DD6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53A52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0A3E6F7E" w14:textId="77777777" w:rsidTr="00F56356">
        <w:trPr>
          <w:trHeight w:val="645"/>
        </w:trPr>
        <w:tc>
          <w:tcPr>
            <w:tcW w:w="340" w:type="dxa"/>
            <w:tcBorders>
              <w:top w:val="nil"/>
              <w:left w:val="nil"/>
              <w:bottom w:val="nil"/>
              <w:right w:val="nil"/>
            </w:tcBorders>
            <w:shd w:val="clear" w:color="auto" w:fill="auto"/>
            <w:noWrap/>
            <w:vAlign w:val="center"/>
            <w:hideMark/>
          </w:tcPr>
          <w:p w14:paraId="710DBD8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72D1EF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0AB13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09563E67" w14:textId="77777777" w:rsidTr="00F56356">
        <w:trPr>
          <w:trHeight w:val="405"/>
        </w:trPr>
        <w:tc>
          <w:tcPr>
            <w:tcW w:w="340" w:type="dxa"/>
            <w:tcBorders>
              <w:top w:val="nil"/>
              <w:left w:val="nil"/>
              <w:bottom w:val="nil"/>
              <w:right w:val="nil"/>
            </w:tcBorders>
            <w:shd w:val="clear" w:color="auto" w:fill="auto"/>
            <w:noWrap/>
            <w:vAlign w:val="center"/>
            <w:hideMark/>
          </w:tcPr>
          <w:p w14:paraId="1847F1B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1B0FE0A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B29455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5A3916F7" w14:textId="77777777" w:rsidTr="00F56356">
        <w:trPr>
          <w:trHeight w:val="405"/>
        </w:trPr>
        <w:tc>
          <w:tcPr>
            <w:tcW w:w="340" w:type="dxa"/>
            <w:tcBorders>
              <w:top w:val="nil"/>
              <w:left w:val="nil"/>
              <w:bottom w:val="nil"/>
              <w:right w:val="nil"/>
            </w:tcBorders>
            <w:shd w:val="clear" w:color="auto" w:fill="auto"/>
            <w:noWrap/>
            <w:vAlign w:val="center"/>
            <w:hideMark/>
          </w:tcPr>
          <w:p w14:paraId="4CA4AB7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451E67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350349F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14 - Politiche antidroga</w:t>
            </w:r>
          </w:p>
        </w:tc>
      </w:tr>
      <w:tr w:rsidR="00F56356" w:rsidRPr="00F56356" w14:paraId="0B25AA94" w14:textId="77777777" w:rsidTr="00F56356">
        <w:trPr>
          <w:trHeight w:val="900"/>
        </w:trPr>
        <w:tc>
          <w:tcPr>
            <w:tcW w:w="340" w:type="dxa"/>
            <w:tcBorders>
              <w:top w:val="nil"/>
              <w:left w:val="nil"/>
              <w:bottom w:val="nil"/>
              <w:right w:val="nil"/>
            </w:tcBorders>
            <w:shd w:val="clear" w:color="auto" w:fill="auto"/>
            <w:noWrap/>
            <w:vAlign w:val="center"/>
            <w:hideMark/>
          </w:tcPr>
          <w:p w14:paraId="5B32EF33"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4C0F5FD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4DC1BD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Realizzazione di attività ed incontri ad esito della VI Conferenza nazionale sui problemi connessi con la diffusione delle sostanze stupefacenti e psicotrope.</w:t>
            </w:r>
          </w:p>
        </w:tc>
      </w:tr>
      <w:tr w:rsidR="00F56356" w:rsidRPr="00F56356" w14:paraId="03E9383D" w14:textId="77777777" w:rsidTr="00F56356">
        <w:trPr>
          <w:trHeight w:val="900"/>
        </w:trPr>
        <w:tc>
          <w:tcPr>
            <w:tcW w:w="340" w:type="dxa"/>
            <w:tcBorders>
              <w:top w:val="nil"/>
              <w:left w:val="nil"/>
              <w:bottom w:val="nil"/>
              <w:right w:val="nil"/>
            </w:tcBorders>
            <w:shd w:val="clear" w:color="auto" w:fill="auto"/>
            <w:noWrap/>
            <w:vAlign w:val="center"/>
            <w:hideMark/>
          </w:tcPr>
          <w:p w14:paraId="3F0DB99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0C94ECA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4847C1F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Realizzazione di attività e di incontri per la discussione e l’approfondimento di particolari tematiche con gli operatori del pubblico, del privato sociale e della società civile. </w:t>
            </w:r>
          </w:p>
        </w:tc>
      </w:tr>
      <w:tr w:rsidR="00F56356" w:rsidRPr="00F56356" w14:paraId="28ADFE94" w14:textId="77777777" w:rsidTr="00F56356">
        <w:trPr>
          <w:trHeight w:val="422"/>
        </w:trPr>
        <w:tc>
          <w:tcPr>
            <w:tcW w:w="340" w:type="dxa"/>
            <w:tcBorders>
              <w:top w:val="nil"/>
              <w:left w:val="nil"/>
              <w:bottom w:val="nil"/>
              <w:right w:val="nil"/>
            </w:tcBorders>
            <w:shd w:val="clear" w:color="auto" w:fill="auto"/>
            <w:noWrap/>
            <w:vAlign w:val="center"/>
            <w:hideMark/>
          </w:tcPr>
          <w:p w14:paraId="251F3A4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A0B7F8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628075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4644DDC" w14:textId="77777777" w:rsidTr="00F56356">
        <w:trPr>
          <w:trHeight w:val="414"/>
        </w:trPr>
        <w:tc>
          <w:tcPr>
            <w:tcW w:w="340" w:type="dxa"/>
            <w:tcBorders>
              <w:top w:val="nil"/>
              <w:left w:val="nil"/>
              <w:bottom w:val="nil"/>
              <w:right w:val="nil"/>
            </w:tcBorders>
            <w:shd w:val="clear" w:color="auto" w:fill="auto"/>
            <w:noWrap/>
            <w:vAlign w:val="center"/>
            <w:hideMark/>
          </w:tcPr>
          <w:p w14:paraId="360C3E2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0EB9DFA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0BC4B51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23EB76E" w14:textId="77777777" w:rsidTr="00F56356">
        <w:trPr>
          <w:trHeight w:val="525"/>
        </w:trPr>
        <w:tc>
          <w:tcPr>
            <w:tcW w:w="340" w:type="dxa"/>
            <w:tcBorders>
              <w:top w:val="nil"/>
              <w:left w:val="nil"/>
              <w:bottom w:val="nil"/>
              <w:right w:val="nil"/>
            </w:tcBorders>
            <w:shd w:val="clear" w:color="auto" w:fill="auto"/>
            <w:noWrap/>
            <w:vAlign w:val="bottom"/>
            <w:hideMark/>
          </w:tcPr>
          <w:p w14:paraId="670BB93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820" w:type="dxa"/>
            <w:vMerge w:val="restart"/>
            <w:tcBorders>
              <w:top w:val="nil"/>
              <w:left w:val="single" w:sz="4" w:space="0" w:color="auto"/>
              <w:bottom w:val="single" w:sz="4" w:space="0" w:color="000000"/>
              <w:right w:val="single" w:sz="4" w:space="0" w:color="auto"/>
            </w:tcBorders>
            <w:shd w:val="clear" w:color="auto" w:fill="auto"/>
            <w:vAlign w:val="center"/>
            <w:hideMark/>
          </w:tcPr>
          <w:p w14:paraId="47CDCAC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CE8EC9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788</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C839F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264708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670A68D6" w14:textId="77777777" w:rsidTr="00F56356">
        <w:trPr>
          <w:trHeight w:val="1305"/>
        </w:trPr>
        <w:tc>
          <w:tcPr>
            <w:tcW w:w="340" w:type="dxa"/>
            <w:tcBorders>
              <w:top w:val="nil"/>
              <w:left w:val="nil"/>
              <w:bottom w:val="nil"/>
              <w:right w:val="nil"/>
            </w:tcBorders>
            <w:shd w:val="clear" w:color="auto" w:fill="auto"/>
            <w:noWrap/>
            <w:vAlign w:val="bottom"/>
            <w:hideMark/>
          </w:tcPr>
          <w:p w14:paraId="0B0FA12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820" w:type="dxa"/>
            <w:vMerge/>
            <w:tcBorders>
              <w:top w:val="nil"/>
              <w:left w:val="single" w:sz="4" w:space="0" w:color="auto"/>
              <w:bottom w:val="single" w:sz="4" w:space="0" w:color="000000"/>
              <w:right w:val="single" w:sz="4" w:space="0" w:color="auto"/>
            </w:tcBorders>
            <w:vAlign w:val="center"/>
            <w:hideMark/>
          </w:tcPr>
          <w:p w14:paraId="71A5EC6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56AC45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6BFC36B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45CC124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Stanziamento definitivo di 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0E5002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2C44EA3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140" w:type="dxa"/>
            <w:tcBorders>
              <w:top w:val="nil"/>
              <w:left w:val="nil"/>
              <w:bottom w:val="single" w:sz="4" w:space="0" w:color="auto"/>
              <w:right w:val="single" w:sz="4" w:space="0" w:color="auto"/>
            </w:tcBorders>
            <w:shd w:val="clear" w:color="auto" w:fill="auto"/>
            <w:vAlign w:val="center"/>
            <w:hideMark/>
          </w:tcPr>
          <w:p w14:paraId="6ADACD7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2A1A7DC" w14:textId="77777777" w:rsidTr="00F56356">
        <w:trPr>
          <w:trHeight w:val="855"/>
        </w:trPr>
        <w:tc>
          <w:tcPr>
            <w:tcW w:w="340" w:type="dxa"/>
            <w:tcBorders>
              <w:top w:val="nil"/>
              <w:left w:val="nil"/>
              <w:bottom w:val="nil"/>
              <w:right w:val="nil"/>
            </w:tcBorders>
            <w:shd w:val="clear" w:color="auto" w:fill="auto"/>
            <w:noWrap/>
            <w:vAlign w:val="bottom"/>
            <w:hideMark/>
          </w:tcPr>
          <w:p w14:paraId="1564C29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820" w:type="dxa"/>
            <w:vMerge/>
            <w:tcBorders>
              <w:top w:val="nil"/>
              <w:left w:val="single" w:sz="4" w:space="0" w:color="auto"/>
              <w:bottom w:val="single" w:sz="4" w:space="0" w:color="000000"/>
              <w:right w:val="single" w:sz="4" w:space="0" w:color="auto"/>
            </w:tcBorders>
            <w:vAlign w:val="center"/>
            <w:hideMark/>
          </w:tcPr>
          <w:p w14:paraId="558912E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6A8480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0DECE1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146.126,00</w:t>
            </w:r>
          </w:p>
        </w:tc>
        <w:tc>
          <w:tcPr>
            <w:tcW w:w="1140" w:type="dxa"/>
            <w:tcBorders>
              <w:top w:val="nil"/>
              <w:left w:val="nil"/>
              <w:bottom w:val="single" w:sz="4" w:space="0" w:color="auto"/>
              <w:right w:val="single" w:sz="4" w:space="0" w:color="auto"/>
            </w:tcBorders>
            <w:shd w:val="clear" w:color="auto" w:fill="auto"/>
            <w:noWrap/>
            <w:vAlign w:val="center"/>
            <w:hideMark/>
          </w:tcPr>
          <w:p w14:paraId="7E94202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474.013,35</w:t>
            </w:r>
          </w:p>
        </w:tc>
        <w:tc>
          <w:tcPr>
            <w:tcW w:w="1180" w:type="dxa"/>
            <w:tcBorders>
              <w:top w:val="nil"/>
              <w:left w:val="nil"/>
              <w:bottom w:val="single" w:sz="4" w:space="0" w:color="auto"/>
              <w:right w:val="single" w:sz="4" w:space="0" w:color="auto"/>
            </w:tcBorders>
            <w:shd w:val="clear" w:color="auto" w:fill="auto"/>
            <w:noWrap/>
            <w:vAlign w:val="center"/>
            <w:hideMark/>
          </w:tcPr>
          <w:p w14:paraId="13A1E73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1.903,94</w:t>
            </w:r>
          </w:p>
        </w:tc>
        <w:tc>
          <w:tcPr>
            <w:tcW w:w="1340" w:type="dxa"/>
            <w:tcBorders>
              <w:top w:val="nil"/>
              <w:left w:val="nil"/>
              <w:bottom w:val="single" w:sz="4" w:space="0" w:color="auto"/>
              <w:right w:val="single" w:sz="4" w:space="0" w:color="auto"/>
            </w:tcBorders>
            <w:shd w:val="clear" w:color="auto" w:fill="auto"/>
            <w:noWrap/>
            <w:vAlign w:val="center"/>
            <w:hideMark/>
          </w:tcPr>
          <w:p w14:paraId="4530CC3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40" w:type="dxa"/>
            <w:tcBorders>
              <w:top w:val="nil"/>
              <w:left w:val="nil"/>
              <w:bottom w:val="single" w:sz="4" w:space="0" w:color="auto"/>
              <w:right w:val="single" w:sz="4" w:space="0" w:color="auto"/>
            </w:tcBorders>
            <w:shd w:val="clear" w:color="auto" w:fill="auto"/>
            <w:noWrap/>
            <w:vAlign w:val="center"/>
            <w:hideMark/>
          </w:tcPr>
          <w:p w14:paraId="7C17A85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1.903,94</w:t>
            </w:r>
          </w:p>
        </w:tc>
      </w:tr>
      <w:tr w:rsidR="00F56356" w:rsidRPr="00F56356" w14:paraId="28B0AF4D" w14:textId="77777777" w:rsidTr="00F56356">
        <w:trPr>
          <w:trHeight w:val="330"/>
        </w:trPr>
        <w:tc>
          <w:tcPr>
            <w:tcW w:w="340" w:type="dxa"/>
            <w:tcBorders>
              <w:top w:val="nil"/>
              <w:left w:val="nil"/>
              <w:bottom w:val="nil"/>
              <w:right w:val="nil"/>
            </w:tcBorders>
            <w:shd w:val="clear" w:color="auto" w:fill="auto"/>
            <w:noWrap/>
            <w:vAlign w:val="bottom"/>
            <w:hideMark/>
          </w:tcPr>
          <w:p w14:paraId="7EB17AC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820" w:type="dxa"/>
            <w:tcBorders>
              <w:top w:val="nil"/>
              <w:left w:val="single" w:sz="4" w:space="0" w:color="auto"/>
              <w:bottom w:val="nil"/>
              <w:right w:val="nil"/>
            </w:tcBorders>
            <w:shd w:val="clear" w:color="auto" w:fill="auto"/>
            <w:noWrap/>
            <w:vAlign w:val="center"/>
            <w:hideMark/>
          </w:tcPr>
          <w:p w14:paraId="79C159DF"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09A1B7D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1C15DE3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0DFA9F2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2B947D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7906737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single" w:sz="4" w:space="0" w:color="auto"/>
            </w:tcBorders>
            <w:shd w:val="clear" w:color="auto" w:fill="auto"/>
            <w:noWrap/>
            <w:vAlign w:val="bottom"/>
            <w:hideMark/>
          </w:tcPr>
          <w:p w14:paraId="0788DDC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256984A" w14:textId="77777777" w:rsidTr="00F56356">
        <w:trPr>
          <w:trHeight w:val="315"/>
        </w:trPr>
        <w:tc>
          <w:tcPr>
            <w:tcW w:w="340" w:type="dxa"/>
            <w:tcBorders>
              <w:top w:val="nil"/>
              <w:left w:val="nil"/>
              <w:bottom w:val="nil"/>
              <w:right w:val="nil"/>
            </w:tcBorders>
            <w:shd w:val="clear" w:color="auto" w:fill="auto"/>
            <w:noWrap/>
            <w:vAlign w:val="bottom"/>
            <w:hideMark/>
          </w:tcPr>
          <w:p w14:paraId="1D41E38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03C39C7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7651F9D" w14:textId="77777777" w:rsidTr="00F56356">
        <w:trPr>
          <w:trHeight w:val="315"/>
        </w:trPr>
        <w:tc>
          <w:tcPr>
            <w:tcW w:w="340" w:type="dxa"/>
            <w:tcBorders>
              <w:top w:val="nil"/>
              <w:left w:val="nil"/>
              <w:bottom w:val="nil"/>
              <w:right w:val="nil"/>
            </w:tcBorders>
            <w:shd w:val="clear" w:color="auto" w:fill="auto"/>
            <w:noWrap/>
            <w:vAlign w:val="bottom"/>
            <w:hideMark/>
          </w:tcPr>
          <w:p w14:paraId="4F1D098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280448A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7A57F971" w14:textId="77777777" w:rsidTr="00F56356">
        <w:trPr>
          <w:trHeight w:val="315"/>
        </w:trPr>
        <w:tc>
          <w:tcPr>
            <w:tcW w:w="340" w:type="dxa"/>
            <w:tcBorders>
              <w:top w:val="nil"/>
              <w:left w:val="nil"/>
              <w:bottom w:val="nil"/>
              <w:right w:val="nil"/>
            </w:tcBorders>
            <w:shd w:val="clear" w:color="auto" w:fill="auto"/>
            <w:noWrap/>
            <w:vAlign w:val="bottom"/>
            <w:hideMark/>
          </w:tcPr>
          <w:p w14:paraId="0D7AB32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3737FFA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5BFB7C4B" w14:textId="77777777" w:rsidTr="00F56356">
        <w:trPr>
          <w:trHeight w:val="480"/>
        </w:trPr>
        <w:tc>
          <w:tcPr>
            <w:tcW w:w="340" w:type="dxa"/>
            <w:tcBorders>
              <w:top w:val="nil"/>
              <w:left w:val="nil"/>
              <w:bottom w:val="nil"/>
              <w:right w:val="nil"/>
            </w:tcBorders>
            <w:shd w:val="clear" w:color="auto" w:fill="auto"/>
            <w:noWrap/>
            <w:vAlign w:val="bottom"/>
            <w:hideMark/>
          </w:tcPr>
          <w:p w14:paraId="1C09585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4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ED7D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A144A1B" w14:textId="77777777" w:rsidTr="00F56356">
        <w:trPr>
          <w:trHeight w:val="840"/>
        </w:trPr>
        <w:tc>
          <w:tcPr>
            <w:tcW w:w="340" w:type="dxa"/>
            <w:tcBorders>
              <w:top w:val="nil"/>
              <w:left w:val="nil"/>
              <w:bottom w:val="nil"/>
              <w:right w:val="nil"/>
            </w:tcBorders>
            <w:shd w:val="clear" w:color="auto" w:fill="auto"/>
            <w:noWrap/>
            <w:vAlign w:val="center"/>
            <w:hideMark/>
          </w:tcPr>
          <w:p w14:paraId="59DC28A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E0F8B1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580" w:type="dxa"/>
            <w:gridSpan w:val="6"/>
            <w:tcBorders>
              <w:top w:val="single" w:sz="4" w:space="0" w:color="auto"/>
              <w:left w:val="nil"/>
              <w:bottom w:val="single" w:sz="4" w:space="0" w:color="auto"/>
              <w:right w:val="single" w:sz="4" w:space="0" w:color="000000"/>
            </w:tcBorders>
            <w:shd w:val="clear" w:color="auto" w:fill="auto"/>
            <w:vAlign w:val="center"/>
            <w:hideMark/>
          </w:tcPr>
          <w:p w14:paraId="6557F30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Grado di attuazione di eventi di discussione nell’ambito delle politiche di settore, rispetto al totale delle iniziative/ incontri autorizzati dall’Organo di vertice politico-amministrativo.</w:t>
            </w:r>
          </w:p>
        </w:tc>
      </w:tr>
      <w:tr w:rsidR="00F56356" w:rsidRPr="00F56356" w14:paraId="4E8B5F8B" w14:textId="77777777" w:rsidTr="00F56356">
        <w:trPr>
          <w:trHeight w:val="690"/>
        </w:trPr>
        <w:tc>
          <w:tcPr>
            <w:tcW w:w="340" w:type="dxa"/>
            <w:tcBorders>
              <w:top w:val="nil"/>
              <w:left w:val="nil"/>
              <w:bottom w:val="nil"/>
              <w:right w:val="nil"/>
            </w:tcBorders>
            <w:shd w:val="clear" w:color="auto" w:fill="auto"/>
            <w:noWrap/>
            <w:vAlign w:val="center"/>
            <w:hideMark/>
          </w:tcPr>
          <w:p w14:paraId="776BEED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02B6597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5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893F0D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Protocollo informatico e/o PEC, posta elettronica, SICOGE.</w:t>
            </w:r>
          </w:p>
        </w:tc>
      </w:tr>
      <w:tr w:rsidR="00F56356" w:rsidRPr="00F56356" w14:paraId="6AC8844D" w14:textId="77777777" w:rsidTr="00F56356">
        <w:trPr>
          <w:trHeight w:val="1305"/>
        </w:trPr>
        <w:tc>
          <w:tcPr>
            <w:tcW w:w="340" w:type="dxa"/>
            <w:tcBorders>
              <w:top w:val="nil"/>
              <w:left w:val="nil"/>
              <w:bottom w:val="nil"/>
              <w:right w:val="nil"/>
            </w:tcBorders>
            <w:shd w:val="clear" w:color="auto" w:fill="auto"/>
            <w:noWrap/>
            <w:vAlign w:val="center"/>
            <w:hideMark/>
          </w:tcPr>
          <w:p w14:paraId="53DD368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880D8F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2920" w:type="dxa"/>
            <w:gridSpan w:val="3"/>
            <w:tcBorders>
              <w:top w:val="single" w:sz="4" w:space="0" w:color="auto"/>
              <w:left w:val="nil"/>
              <w:bottom w:val="single" w:sz="4" w:space="0" w:color="auto"/>
              <w:right w:val="single" w:sz="4" w:space="0" w:color="000000"/>
            </w:tcBorders>
            <w:shd w:val="clear" w:color="auto" w:fill="auto"/>
            <w:vAlign w:val="center"/>
            <w:hideMark/>
          </w:tcPr>
          <w:p w14:paraId="321151D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 eventi avviati / N. totale delle iniziative / incontri autorizzati dall’Organo di vertice politico- amministrativo nell’anno di riferimento.</w:t>
            </w:r>
          </w:p>
        </w:tc>
        <w:tc>
          <w:tcPr>
            <w:tcW w:w="1180" w:type="dxa"/>
            <w:tcBorders>
              <w:top w:val="nil"/>
              <w:left w:val="nil"/>
              <w:bottom w:val="single" w:sz="4" w:space="0" w:color="auto"/>
              <w:right w:val="nil"/>
            </w:tcBorders>
            <w:shd w:val="clear" w:color="auto" w:fill="auto"/>
            <w:vAlign w:val="center"/>
            <w:hideMark/>
          </w:tcPr>
          <w:p w14:paraId="5D7E004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45DD3C5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61D22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7369C3C0" w14:textId="77777777" w:rsidTr="00F56356">
        <w:trPr>
          <w:trHeight w:val="615"/>
        </w:trPr>
        <w:tc>
          <w:tcPr>
            <w:tcW w:w="340" w:type="dxa"/>
            <w:tcBorders>
              <w:top w:val="nil"/>
              <w:left w:val="nil"/>
              <w:bottom w:val="nil"/>
              <w:right w:val="nil"/>
            </w:tcBorders>
            <w:shd w:val="clear" w:color="auto" w:fill="auto"/>
            <w:noWrap/>
            <w:vAlign w:val="bottom"/>
            <w:hideMark/>
          </w:tcPr>
          <w:p w14:paraId="29885F2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820" w:type="dxa"/>
            <w:tcBorders>
              <w:top w:val="nil"/>
              <w:left w:val="single" w:sz="4" w:space="0" w:color="auto"/>
              <w:bottom w:val="single" w:sz="4" w:space="0" w:color="auto"/>
              <w:right w:val="single" w:sz="4" w:space="0" w:color="auto"/>
            </w:tcBorders>
            <w:shd w:val="clear" w:color="auto" w:fill="auto"/>
            <w:vAlign w:val="center"/>
            <w:hideMark/>
          </w:tcPr>
          <w:p w14:paraId="6FB74BA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540" w:type="dxa"/>
            <w:tcBorders>
              <w:top w:val="nil"/>
              <w:left w:val="nil"/>
              <w:bottom w:val="single" w:sz="4" w:space="0" w:color="auto"/>
              <w:right w:val="nil"/>
            </w:tcBorders>
            <w:shd w:val="clear" w:color="auto" w:fill="auto"/>
            <w:noWrap/>
            <w:vAlign w:val="center"/>
            <w:hideMark/>
          </w:tcPr>
          <w:p w14:paraId="65DD785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240" w:type="dxa"/>
            <w:tcBorders>
              <w:top w:val="nil"/>
              <w:left w:val="nil"/>
              <w:bottom w:val="single" w:sz="4" w:space="0" w:color="auto"/>
              <w:right w:val="nil"/>
            </w:tcBorders>
            <w:shd w:val="clear" w:color="auto" w:fill="auto"/>
            <w:noWrap/>
            <w:vAlign w:val="center"/>
            <w:hideMark/>
          </w:tcPr>
          <w:p w14:paraId="7C5E906C" w14:textId="77777777" w:rsidR="00F56356" w:rsidRPr="00F56356" w:rsidRDefault="00F56356" w:rsidP="00F56356">
            <w:pPr>
              <w:spacing w:after="0" w:line="240" w:lineRule="auto"/>
              <w:jc w:val="right"/>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40" w:type="dxa"/>
            <w:tcBorders>
              <w:top w:val="nil"/>
              <w:left w:val="nil"/>
              <w:bottom w:val="single" w:sz="4" w:space="0" w:color="auto"/>
              <w:right w:val="single" w:sz="4" w:space="0" w:color="auto"/>
            </w:tcBorders>
            <w:shd w:val="clear" w:color="auto" w:fill="auto"/>
            <w:noWrap/>
            <w:vAlign w:val="center"/>
            <w:hideMark/>
          </w:tcPr>
          <w:p w14:paraId="52D771E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c>
          <w:tcPr>
            <w:tcW w:w="1180" w:type="dxa"/>
            <w:tcBorders>
              <w:top w:val="nil"/>
              <w:left w:val="nil"/>
              <w:bottom w:val="single" w:sz="4" w:space="0" w:color="auto"/>
              <w:right w:val="single" w:sz="4" w:space="0" w:color="auto"/>
            </w:tcBorders>
            <w:shd w:val="clear" w:color="auto" w:fill="auto"/>
            <w:noWrap/>
            <w:vAlign w:val="center"/>
            <w:hideMark/>
          </w:tcPr>
          <w:p w14:paraId="2E3874E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46EA2D5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DA57D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3B87905D" w14:textId="77777777" w:rsidR="00F56356" w:rsidRPr="00F56356" w:rsidRDefault="00F56356" w:rsidP="00F56356">
      <w:pPr>
        <w:spacing w:after="0" w:line="240" w:lineRule="auto"/>
        <w:rPr>
          <w:rFonts w:ascii="Times New Roman" w:eastAsia="Times New Roman" w:hAnsi="Times New Roman" w:cs="Times New Roman"/>
          <w:b/>
          <w:color w:val="000000" w:themeColor="text1"/>
          <w:sz w:val="24"/>
          <w:szCs w:val="24"/>
          <w:lang w:eastAsia="it-IT"/>
        </w:rPr>
      </w:pPr>
    </w:p>
    <w:p w14:paraId="5ABA241D" w14:textId="1A5D0AD3" w:rsid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7E7510F9" w14:textId="77777777" w:rsidR="0043213C" w:rsidRPr="00F56356" w:rsidRDefault="0043213C" w:rsidP="00F56356">
      <w:pPr>
        <w:spacing w:after="0" w:line="240" w:lineRule="auto"/>
        <w:rPr>
          <w:rFonts w:ascii="Times New Roman" w:eastAsia="Times New Roman" w:hAnsi="Times New Roman" w:cs="Times New Roman"/>
          <w:color w:val="000000" w:themeColor="text1"/>
          <w:sz w:val="24"/>
          <w:szCs w:val="24"/>
          <w:lang w:eastAsia="it-IT"/>
        </w:rPr>
      </w:pPr>
    </w:p>
    <w:p w14:paraId="32084EB1" w14:textId="77777777" w:rsidR="00F56356" w:rsidRPr="00F56356" w:rsidRDefault="00F56356" w:rsidP="00F56356">
      <w:pPr>
        <w:spacing w:after="0" w:line="240" w:lineRule="auto"/>
        <w:rPr>
          <w:rFonts w:ascii="Times New Roman" w:eastAsia="Times New Roman" w:hAnsi="Times New Roman" w:cs="Times New Roman"/>
          <w:color w:val="000000" w:themeColor="text1"/>
          <w:sz w:val="24"/>
          <w:szCs w:val="24"/>
          <w:lang w:eastAsia="it-IT"/>
        </w:rPr>
      </w:pPr>
    </w:p>
    <w:p w14:paraId="03BFB432"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C70981C" w14:textId="77777777" w:rsidR="00F56356" w:rsidRPr="00F56356" w:rsidRDefault="00F56356" w:rsidP="00F56356">
      <w:pPr>
        <w:spacing w:after="0" w:line="240" w:lineRule="auto"/>
        <w:ind w:left="284"/>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CDR  15 “Politiche per la famiglia”</w:t>
      </w:r>
    </w:p>
    <w:p w14:paraId="368861FC" w14:textId="77777777" w:rsidR="00F56356" w:rsidRPr="00F56356" w:rsidRDefault="00F56356" w:rsidP="00F56356">
      <w:pPr>
        <w:spacing w:after="0" w:line="240" w:lineRule="auto"/>
        <w:ind w:left="284"/>
        <w:rPr>
          <w:rFonts w:ascii="Times New Roman" w:eastAsia="Times New Roman" w:hAnsi="Times New Roman" w:cs="Times New Roman"/>
          <w:b/>
          <w:sz w:val="24"/>
          <w:szCs w:val="24"/>
          <w:lang w:eastAsia="it-IT"/>
        </w:rPr>
      </w:pPr>
    </w:p>
    <w:p w14:paraId="2923C51C"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MISSIONE 1 - </w:t>
      </w:r>
      <w:r w:rsidRPr="00F56356">
        <w:rPr>
          <w:rFonts w:ascii="Times New Roman" w:eastAsia="Times New Roman" w:hAnsi="Times New Roman" w:cs="Times New Roman"/>
          <w:sz w:val="24"/>
          <w:szCs w:val="24"/>
          <w:lang w:eastAsia="it-IT"/>
        </w:rPr>
        <w:t xml:space="preserve">Organi costituzionali, a rilevanza costituzionale e Presidenza del Consiglio dei ministri </w:t>
      </w:r>
    </w:p>
    <w:p w14:paraId="5C4D7E5D" w14:textId="77777777" w:rsidR="00F56356" w:rsidRPr="00F56356" w:rsidRDefault="00F56356" w:rsidP="00F56356">
      <w:pPr>
        <w:spacing w:after="0" w:line="240" w:lineRule="auto"/>
        <w:ind w:left="284"/>
        <w:jc w:val="both"/>
        <w:rPr>
          <w:rFonts w:ascii="Times New Roman" w:eastAsia="Times New Roman" w:hAnsi="Times New Roman" w:cs="Times New Roman"/>
          <w:sz w:val="10"/>
          <w:szCs w:val="24"/>
          <w:lang w:eastAsia="it-IT"/>
        </w:rPr>
      </w:pPr>
    </w:p>
    <w:p w14:paraId="23F5A2A8" w14:textId="77777777" w:rsidR="00F56356" w:rsidRPr="00F56356" w:rsidRDefault="00F56356" w:rsidP="00F56356">
      <w:pPr>
        <w:spacing w:after="0" w:line="24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b/>
          <w:sz w:val="24"/>
          <w:szCs w:val="24"/>
          <w:lang w:eastAsia="it-IT"/>
        </w:rPr>
        <w:t xml:space="preserve">Programma 1.3   </w:t>
      </w:r>
      <w:r w:rsidRPr="00F56356">
        <w:rPr>
          <w:rFonts w:ascii="Times New Roman" w:eastAsia="Times New Roman" w:hAnsi="Times New Roman" w:cs="Times New Roman"/>
          <w:sz w:val="24"/>
          <w:szCs w:val="24"/>
          <w:lang w:eastAsia="it-IT"/>
        </w:rPr>
        <w:t xml:space="preserve">Presidenza del Consiglio dei ministri </w:t>
      </w:r>
    </w:p>
    <w:p w14:paraId="216DDDF3" w14:textId="77777777" w:rsidR="00F56356" w:rsidRPr="00F56356" w:rsidRDefault="00F56356" w:rsidP="00F56356">
      <w:pPr>
        <w:spacing w:after="0" w:line="240" w:lineRule="auto"/>
        <w:ind w:left="284"/>
        <w:jc w:val="both"/>
        <w:rPr>
          <w:rFonts w:ascii="Times New Roman" w:eastAsia="Times New Roman" w:hAnsi="Times New Roman" w:cs="Times New Roman"/>
          <w:sz w:val="32"/>
          <w:szCs w:val="24"/>
          <w:lang w:eastAsia="it-IT"/>
        </w:rPr>
      </w:pPr>
    </w:p>
    <w:p w14:paraId="0EE881BB" w14:textId="77777777" w:rsidR="00F56356" w:rsidRPr="00F56356" w:rsidRDefault="00F56356" w:rsidP="00F56356">
      <w:pPr>
        <w:spacing w:after="0" w:line="24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t xml:space="preserve">MISSIONE  24 - </w:t>
      </w:r>
      <w:r w:rsidRPr="00F56356">
        <w:rPr>
          <w:rFonts w:ascii="Times New Roman" w:eastAsia="Times New Roman" w:hAnsi="Times New Roman" w:cs="Times New Roman"/>
          <w:sz w:val="24"/>
          <w:szCs w:val="24"/>
          <w:lang w:eastAsia="it-IT"/>
        </w:rPr>
        <w:t>Diritti sociali, politiche sociali e famiglia</w:t>
      </w:r>
      <w:r w:rsidRPr="00F56356">
        <w:rPr>
          <w:rFonts w:ascii="Times New Roman" w:eastAsia="Times New Roman" w:hAnsi="Times New Roman" w:cs="Times New Roman"/>
          <w:b/>
          <w:sz w:val="24"/>
          <w:szCs w:val="24"/>
          <w:lang w:eastAsia="it-IT"/>
        </w:rPr>
        <w:t xml:space="preserve"> </w:t>
      </w:r>
    </w:p>
    <w:p w14:paraId="08C59D3B" w14:textId="77777777" w:rsidR="00F56356" w:rsidRPr="00F56356" w:rsidRDefault="00F56356" w:rsidP="00F56356">
      <w:pPr>
        <w:spacing w:after="0" w:line="240" w:lineRule="auto"/>
        <w:ind w:left="284"/>
        <w:jc w:val="both"/>
        <w:rPr>
          <w:rFonts w:ascii="Times New Roman" w:eastAsia="Times New Roman" w:hAnsi="Times New Roman" w:cs="Times New Roman"/>
          <w:b/>
          <w:sz w:val="10"/>
          <w:szCs w:val="24"/>
          <w:lang w:eastAsia="it-IT"/>
        </w:rPr>
      </w:pPr>
    </w:p>
    <w:p w14:paraId="202DA00D" w14:textId="77777777" w:rsidR="00F56356" w:rsidRPr="00F56356" w:rsidRDefault="00F56356" w:rsidP="00F56356">
      <w:pPr>
        <w:spacing w:after="0" w:line="24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b/>
          <w:color w:val="000000"/>
          <w:sz w:val="24"/>
          <w:szCs w:val="24"/>
          <w:lang w:eastAsia="it-IT"/>
        </w:rPr>
        <w:t xml:space="preserve">Programma 24.5 – </w:t>
      </w:r>
      <w:r w:rsidRPr="00F56356">
        <w:rPr>
          <w:rFonts w:ascii="Times New Roman" w:eastAsia="Times New Roman" w:hAnsi="Times New Roman" w:cs="Times New Roman"/>
          <w:color w:val="000000"/>
          <w:sz w:val="24"/>
          <w:szCs w:val="24"/>
          <w:lang w:eastAsia="it-IT"/>
        </w:rPr>
        <w:t xml:space="preserve">Famiglia, pari opportunità e situazioni di disagio.  </w:t>
      </w:r>
    </w:p>
    <w:p w14:paraId="1161CE5E"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b/>
          <w:i/>
          <w:color w:val="000000"/>
          <w:sz w:val="24"/>
          <w:szCs w:val="24"/>
          <w:lang w:eastAsia="it-IT"/>
        </w:rPr>
      </w:pPr>
    </w:p>
    <w:p w14:paraId="7036B61A"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 xml:space="preserve">1.   </w:t>
      </w:r>
      <w:r w:rsidRPr="00F56356">
        <w:rPr>
          <w:rFonts w:ascii="Times New Roman" w:eastAsia="Times New Roman" w:hAnsi="Times New Roman" w:cs="Times New Roman"/>
          <w:b/>
          <w:i/>
          <w:sz w:val="24"/>
          <w:szCs w:val="24"/>
          <w:lang w:eastAsia="it-IT"/>
        </w:rPr>
        <w:t xml:space="preserve">Mission </w:t>
      </w:r>
    </w:p>
    <w:p w14:paraId="7DF4E7FF"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Centro di responsabilità 15 “Politiche per la famiglia” è la struttura di supporto per la promozione e il raccordo delle azioni di Governo volte ad assicurare l’attuazione delle politiche in favore della famiglia in ogni ambito e a garantire la tutela dei diritti della famiglia in tutte le sue componenti e le sue problematiche generazionali. Il Centro cura, avvalendosi dell’Osservatorio nazionale sulla famiglia e attraverso la redazione del Piano nazionale per la famiglia, l’elaborazione e il coordinamento delle politiche nazionali, regionali e locali per la famiglia e ne assicura il monitoraggio e la valutazione; concorre, mediante la gestione delle risorse afferenti al Fondo per le politiche della famiglia, al finanziamento delle medesime politiche; promuove e coordina le azioni del Governo dirette a contrastare la crisi demografica e a sostenere la maternità e la paternità; promuove intese in sede di Conferenza unificata relative, tra l’altro, allo sviluppo del sistema territoriale dei servizi socio-educativi, alla riorganizzazione dei consultori familiari, alla qualificazione del lavoro delle assistenti familiari, alla riduzione del costo dei servizi per le famiglie numerose; promuove, incentiva e finanzia le iniziative di conciliazione dei tempi di lavoro e dei tempi di cura della famiglia; promuove e coordina le azioni del Governo in materia di relazioni giuridiche familiari e di adozioni nazionali e internazionali; cura l’attività di informazione e di comunicazione istituzionale in materia di politiche per la famiglia; assicura la presenza del Governo negli organismi nazionali, europei e internazionali competenti in materia di tutela della famiglia; fornisce supporto, unitamente alle altre amministrazioni centrali dello Stato competenti, all’attività dell’Osservatorio nazionale per l’infanzia e l’adolescenza e del Centro di documentazione e di analisi per l’infanzia e l’adolescenza. Inoltre, ai sensi del decreto-legge 12 luglio 2018, n. 86, convertito, con modificazioni, dalla legge 9 agosto 2018, n. 97, assicura le funzioni di indirizzo e coordinamento in materia di politiche per le adozioni, anche internazionali, di minori italiani e stranieri e le funzioni relative all’Osservatorio per il contrasto della pedofilia e della pornografia minorile, di cui alla legge del 3 agosto 1998, n. 269.</w:t>
      </w:r>
    </w:p>
    <w:p w14:paraId="377518D9"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22471660"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sz w:val="24"/>
          <w:szCs w:val="24"/>
          <w:lang w:eastAsia="it-IT"/>
        </w:rPr>
      </w:pPr>
    </w:p>
    <w:p w14:paraId="1C3216AD"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sz w:val="10"/>
          <w:szCs w:val="24"/>
          <w:lang w:eastAsia="it-IT"/>
        </w:rPr>
      </w:pPr>
    </w:p>
    <w:p w14:paraId="489CAE5C" w14:textId="77777777" w:rsidR="00F56356" w:rsidRPr="00F56356" w:rsidRDefault="00F56356" w:rsidP="00F56356">
      <w:pPr>
        <w:spacing w:after="0" w:line="360" w:lineRule="auto"/>
        <w:ind w:left="284"/>
        <w:jc w:val="both"/>
        <w:rPr>
          <w:rFonts w:ascii="Times New Roman" w:eastAsia="Times New Roman" w:hAnsi="Times New Roman" w:cs="Times New Roman"/>
          <w:b/>
          <w:sz w:val="24"/>
          <w:szCs w:val="24"/>
          <w:lang w:eastAsia="it-IT"/>
        </w:rPr>
      </w:pPr>
      <w:r w:rsidRPr="00F56356">
        <w:rPr>
          <w:rFonts w:ascii="Times New Roman" w:eastAsia="Times New Roman" w:hAnsi="Times New Roman" w:cs="Times New Roman"/>
          <w:b/>
          <w:sz w:val="24"/>
          <w:szCs w:val="24"/>
          <w:lang w:eastAsia="it-IT"/>
        </w:rPr>
        <w:lastRenderedPageBreak/>
        <w:t xml:space="preserve">2. Ricostruzione flussi finanziari e aspetti rilevanti della gestione </w:t>
      </w:r>
    </w:p>
    <w:p w14:paraId="3DD9CC2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429.149.291,99, nell’ambito delle quali euro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2.935.037,82 </w:t>
      </w:r>
      <w:r w:rsidRPr="00F56356">
        <w:rPr>
          <w:rFonts w:ascii="Times New Roman" w:eastAsia="Times New Roman" w:hAnsi="Times New Roman" w:cs="Times New Roman"/>
          <w:sz w:val="24"/>
          <w:szCs w:val="24"/>
          <w:lang w:eastAsia="it-IT"/>
        </w:rPr>
        <w:t>riferiti a reiscrizioni di residui passivi perenti</w:t>
      </w:r>
      <w:r w:rsidRPr="00F56356">
        <w:rPr>
          <w:rFonts w:ascii="Times New Roman" w:eastAsia="Times New Roman" w:hAnsi="Times New Roman" w:cs="Times New Roman"/>
          <w:color w:val="000000" w:themeColor="text1"/>
          <w:sz w:val="24"/>
          <w:szCs w:val="24"/>
          <w:lang w:eastAsia="it-IT"/>
        </w:rPr>
        <w:t xml:space="preserve"> ed euro 81.748.606,64 riferiti a riassegnazioni dall’avanzo di esercizio 2021.</w:t>
      </w:r>
    </w:p>
    <w:p w14:paraId="6779A7A4"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bookmarkStart w:id="57" w:name="_Hlk130805361"/>
      <w:r w:rsidRPr="00F56356">
        <w:rPr>
          <w:rFonts w:ascii="Times New Roman" w:eastAsia="Times New Roman" w:hAnsi="Times New Roman" w:cs="Times New Roman"/>
          <w:color w:val="000000" w:themeColor="text1"/>
          <w:sz w:val="24"/>
          <w:szCs w:val="24"/>
          <w:lang w:eastAsia="it-IT"/>
        </w:rPr>
        <w:t>234.546.332,48</w:t>
      </w:r>
      <w:bookmarkEnd w:id="57"/>
      <w:r w:rsidRPr="00F56356">
        <w:rPr>
          <w:rFonts w:ascii="Times New Roman" w:eastAsia="Times New Roman" w:hAnsi="Times New Roman" w:cs="Times New Roman"/>
          <w:color w:val="000000" w:themeColor="text1"/>
          <w:sz w:val="24"/>
          <w:szCs w:val="24"/>
          <w:lang w:eastAsia="it-IT"/>
        </w:rPr>
        <w:t xml:space="preserve">, con una economia di bilancio di euro 194.602.959,51. Il totale dei pagamenti riferiti alla competenza è stato pari a euro 129.932.789,62, con un indice di capacità di pagamento (rapporto pagato/impegnato) che si attesta al 55,40 per cento. </w:t>
      </w:r>
    </w:p>
    <w:p w14:paraId="4121369D" w14:textId="77777777" w:rsidR="00F56356" w:rsidRPr="00F56356" w:rsidRDefault="00F56356" w:rsidP="00F56356">
      <w:pPr>
        <w:tabs>
          <w:tab w:val="left" w:pos="0"/>
          <w:tab w:val="left" w:pos="9356"/>
        </w:tabs>
        <w:spacing w:after="0" w:line="360" w:lineRule="auto"/>
        <w:ind w:left="284"/>
        <w:jc w:val="center"/>
        <w:rPr>
          <w:rFonts w:ascii="Times New Roman" w:eastAsia="Times New Roman" w:hAnsi="Times New Roman" w:cs="Times New Roman"/>
          <w:sz w:val="18"/>
          <w:szCs w:val="24"/>
          <w:lang w:eastAsia="it-IT"/>
        </w:rPr>
      </w:pPr>
    </w:p>
    <w:p w14:paraId="3238FE6D"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3DBD1978" wp14:editId="1A86D934">
            <wp:extent cx="3820564" cy="631825"/>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79770" cy="641616"/>
                    </a:xfrm>
                    <a:prstGeom prst="rect">
                      <a:avLst/>
                    </a:prstGeom>
                    <a:noFill/>
                    <a:ln>
                      <a:noFill/>
                    </a:ln>
                  </pic:spPr>
                </pic:pic>
              </a:graphicData>
            </a:graphic>
          </wp:inline>
        </w:drawing>
      </w:r>
    </w:p>
    <w:p w14:paraId="4F8569D2"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color w:val="FF0000"/>
          <w:szCs w:val="24"/>
          <w:lang w:eastAsia="it-IT"/>
        </w:rPr>
      </w:pPr>
      <w:r w:rsidRPr="00F56356">
        <w:rPr>
          <w:rFonts w:ascii="Times New Roman" w:eastAsia="Times New Roman" w:hAnsi="Times New Roman" w:cs="Times New Roman"/>
          <w:noProof/>
          <w:color w:val="FF0000"/>
          <w:szCs w:val="24"/>
          <w:lang w:eastAsia="it-IT"/>
        </w:rPr>
        <w:drawing>
          <wp:inline distT="0" distB="0" distL="0" distR="0" wp14:anchorId="424753BE" wp14:editId="45646E2C">
            <wp:extent cx="3926332" cy="2007019"/>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50801" cy="2019527"/>
                    </a:xfrm>
                    <a:prstGeom prst="rect">
                      <a:avLst/>
                    </a:prstGeom>
                    <a:noFill/>
                  </pic:spPr>
                </pic:pic>
              </a:graphicData>
            </a:graphic>
          </wp:inline>
        </w:drawing>
      </w:r>
    </w:p>
    <w:p w14:paraId="4C398F68"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sz w:val="24"/>
          <w:szCs w:val="24"/>
          <w:lang w:eastAsia="it-IT"/>
        </w:rPr>
      </w:pPr>
    </w:p>
    <w:p w14:paraId="573F54C2"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FF0000"/>
          <w:sz w:val="18"/>
          <w:szCs w:val="24"/>
          <w:lang w:eastAsia="it-IT"/>
        </w:rPr>
      </w:pPr>
      <w:r w:rsidRPr="00F56356">
        <w:rPr>
          <w:rFonts w:ascii="Times New Roman" w:eastAsia="Times New Roman" w:hAnsi="Times New Roman" w:cs="Times New Roman"/>
          <w:sz w:val="24"/>
          <w:szCs w:val="24"/>
          <w:lang w:eastAsia="it-IT"/>
        </w:rPr>
        <w:t>I residui passivi al 1° gennaio 2022 erano pari a euro 124.409.524,73.</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48.323.374,82 e realizzate economie per euro 4.227.381,41.</w:t>
      </w:r>
      <w:r w:rsidRPr="00F56356">
        <w:rPr>
          <w:rFonts w:ascii="Times New Roman" w:eastAsia="Times New Roman" w:hAnsi="Times New Roman" w:cs="Times New Roman"/>
          <w:color w:val="000000" w:themeColor="text1"/>
          <w:sz w:val="18"/>
          <w:szCs w:val="24"/>
          <w:lang w:eastAsia="it-IT"/>
        </w:rPr>
        <w:t xml:space="preserve"> </w:t>
      </w:r>
    </w:p>
    <w:p w14:paraId="33A3775C"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color w:val="FF0000"/>
          <w:sz w:val="8"/>
          <w:szCs w:val="24"/>
          <w:lang w:eastAsia="it-IT"/>
        </w:rPr>
      </w:pPr>
    </w:p>
    <w:p w14:paraId="2126D8F1"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6A5D6B31"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Indicatori di bilancio</w:t>
      </w: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44A2AC83"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6283F"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338C58EB"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C0FD33"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19BE5EAD"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3742E1D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1BDE205D"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668758C"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2A3BEDA3"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58185DE1"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39D66E82"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725A4F0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0D96F5F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7367F68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26934E26"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000000" w:fill="FFFFFF"/>
            <w:noWrap/>
            <w:vAlign w:val="center"/>
            <w:hideMark/>
          </w:tcPr>
          <w:p w14:paraId="20726F2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824</w:t>
            </w:r>
          </w:p>
        </w:tc>
        <w:tc>
          <w:tcPr>
            <w:tcW w:w="1574" w:type="dxa"/>
            <w:tcBorders>
              <w:top w:val="nil"/>
              <w:left w:val="nil"/>
              <w:bottom w:val="single" w:sz="4" w:space="0" w:color="auto"/>
              <w:right w:val="single" w:sz="4" w:space="0" w:color="auto"/>
            </w:tcBorders>
            <w:shd w:val="clear" w:color="000000" w:fill="FFFFFF"/>
            <w:noWrap/>
            <w:vAlign w:val="center"/>
            <w:hideMark/>
          </w:tcPr>
          <w:p w14:paraId="611FD9C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4,00</w:t>
            </w:r>
          </w:p>
        </w:tc>
        <w:tc>
          <w:tcPr>
            <w:tcW w:w="1440" w:type="dxa"/>
            <w:tcBorders>
              <w:top w:val="nil"/>
              <w:left w:val="nil"/>
              <w:bottom w:val="single" w:sz="4" w:space="0" w:color="auto"/>
              <w:right w:val="single" w:sz="4" w:space="0" w:color="auto"/>
            </w:tcBorders>
            <w:shd w:val="clear" w:color="000000" w:fill="FFFFFF"/>
            <w:noWrap/>
            <w:vAlign w:val="center"/>
            <w:hideMark/>
          </w:tcPr>
          <w:p w14:paraId="1DF3801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96" w:type="dxa"/>
            <w:tcBorders>
              <w:top w:val="nil"/>
              <w:left w:val="nil"/>
              <w:bottom w:val="single" w:sz="4" w:space="0" w:color="auto"/>
              <w:right w:val="single" w:sz="4" w:space="0" w:color="auto"/>
            </w:tcBorders>
            <w:shd w:val="clear" w:color="000000" w:fill="FFFFFF"/>
            <w:noWrap/>
            <w:vAlign w:val="center"/>
            <w:hideMark/>
          </w:tcPr>
          <w:p w14:paraId="2186AEE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single" w:sz="4" w:space="0" w:color="auto"/>
            </w:tcBorders>
            <w:shd w:val="clear" w:color="000000" w:fill="FFFFFF"/>
            <w:noWrap/>
            <w:vAlign w:val="center"/>
            <w:hideMark/>
          </w:tcPr>
          <w:p w14:paraId="46F1A47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52" w:type="dxa"/>
            <w:tcBorders>
              <w:top w:val="nil"/>
              <w:left w:val="nil"/>
              <w:bottom w:val="single" w:sz="4" w:space="0" w:color="auto"/>
              <w:right w:val="single" w:sz="4" w:space="0" w:color="auto"/>
            </w:tcBorders>
            <w:shd w:val="clear" w:color="000000" w:fill="FFFFFF"/>
            <w:noWrap/>
            <w:vAlign w:val="center"/>
            <w:hideMark/>
          </w:tcPr>
          <w:p w14:paraId="3F40734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78C502C"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7C29DC18"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6CED922E"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4,00</w:t>
            </w:r>
          </w:p>
        </w:tc>
        <w:tc>
          <w:tcPr>
            <w:tcW w:w="1440" w:type="dxa"/>
            <w:tcBorders>
              <w:top w:val="nil"/>
              <w:left w:val="nil"/>
              <w:bottom w:val="single" w:sz="4" w:space="0" w:color="auto"/>
              <w:right w:val="single" w:sz="4" w:space="0" w:color="auto"/>
            </w:tcBorders>
            <w:shd w:val="clear" w:color="auto" w:fill="auto"/>
            <w:noWrap/>
            <w:vAlign w:val="center"/>
            <w:hideMark/>
          </w:tcPr>
          <w:p w14:paraId="710DEC8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0,00</w:t>
            </w:r>
          </w:p>
        </w:tc>
        <w:tc>
          <w:tcPr>
            <w:tcW w:w="996" w:type="dxa"/>
            <w:tcBorders>
              <w:top w:val="nil"/>
              <w:left w:val="nil"/>
              <w:bottom w:val="nil"/>
              <w:right w:val="nil"/>
            </w:tcBorders>
            <w:shd w:val="clear" w:color="auto" w:fill="auto"/>
            <w:noWrap/>
            <w:vAlign w:val="center"/>
            <w:hideMark/>
          </w:tcPr>
          <w:p w14:paraId="3E375CE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6CF3880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55B6F97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0CEC85F3"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68DB6636"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43ED0287"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7686D7DF" w14:textId="6C1915DE" w:rsid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1968D7C4" w14:textId="77777777" w:rsidR="0043213C" w:rsidRPr="00F56356" w:rsidRDefault="0043213C"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2E147641"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tbl>
      <w:tblPr>
        <w:tblW w:w="6869" w:type="dxa"/>
        <w:jc w:val="center"/>
        <w:tblCellMar>
          <w:left w:w="70" w:type="dxa"/>
          <w:right w:w="70" w:type="dxa"/>
        </w:tblCellMar>
        <w:tblLook w:val="04A0" w:firstRow="1" w:lastRow="0" w:firstColumn="1" w:lastColumn="0" w:noHBand="0" w:noVBand="1"/>
      </w:tblPr>
      <w:tblGrid>
        <w:gridCol w:w="469"/>
        <w:gridCol w:w="1613"/>
        <w:gridCol w:w="1554"/>
        <w:gridCol w:w="956"/>
        <w:gridCol w:w="1171"/>
        <w:gridCol w:w="1106"/>
      </w:tblGrid>
      <w:tr w:rsidR="00F56356" w:rsidRPr="00F56356" w14:paraId="20812E17" w14:textId="77777777" w:rsidTr="00F56356">
        <w:trPr>
          <w:trHeight w:val="420"/>
          <w:jc w:val="center"/>
        </w:trPr>
        <w:tc>
          <w:tcPr>
            <w:tcW w:w="68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7959"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lastRenderedPageBreak/>
              <w:t>SPESE PER INTERVENTI</w:t>
            </w:r>
          </w:p>
        </w:tc>
      </w:tr>
      <w:tr w:rsidR="00F56356" w:rsidRPr="00F56356" w14:paraId="63A8C89B" w14:textId="77777777" w:rsidTr="00F56356">
        <w:trPr>
          <w:trHeight w:val="465"/>
          <w:jc w:val="center"/>
        </w:trPr>
        <w:tc>
          <w:tcPr>
            <w:tcW w:w="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1EB45"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13" w:type="dxa"/>
            <w:vMerge w:val="restart"/>
            <w:tcBorders>
              <w:top w:val="nil"/>
              <w:left w:val="single" w:sz="4" w:space="0" w:color="auto"/>
              <w:bottom w:val="single" w:sz="4" w:space="0" w:color="auto"/>
              <w:right w:val="single" w:sz="4" w:space="0" w:color="auto"/>
            </w:tcBorders>
            <w:shd w:val="clear" w:color="auto" w:fill="auto"/>
            <w:vAlign w:val="center"/>
            <w:hideMark/>
          </w:tcPr>
          <w:p w14:paraId="0E3B716A"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54" w:type="dxa"/>
            <w:vMerge w:val="restart"/>
            <w:tcBorders>
              <w:top w:val="nil"/>
              <w:left w:val="single" w:sz="4" w:space="0" w:color="auto"/>
              <w:bottom w:val="single" w:sz="4" w:space="0" w:color="auto"/>
              <w:right w:val="single" w:sz="4" w:space="0" w:color="auto"/>
            </w:tcBorders>
            <w:shd w:val="clear" w:color="auto" w:fill="auto"/>
            <w:vAlign w:val="center"/>
            <w:hideMark/>
          </w:tcPr>
          <w:p w14:paraId="197A9D9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33" w:type="dxa"/>
            <w:gridSpan w:val="3"/>
            <w:tcBorders>
              <w:top w:val="single" w:sz="4" w:space="0" w:color="auto"/>
              <w:left w:val="nil"/>
              <w:bottom w:val="single" w:sz="4" w:space="0" w:color="auto"/>
              <w:right w:val="single" w:sz="4" w:space="0" w:color="000000"/>
            </w:tcBorders>
            <w:shd w:val="clear" w:color="auto" w:fill="auto"/>
            <w:vAlign w:val="center"/>
            <w:hideMark/>
          </w:tcPr>
          <w:p w14:paraId="0FFC7889"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33C8077F" w14:textId="77777777" w:rsidTr="00F56356">
        <w:trPr>
          <w:trHeight w:val="300"/>
          <w:jc w:val="center"/>
        </w:trPr>
        <w:tc>
          <w:tcPr>
            <w:tcW w:w="469" w:type="dxa"/>
            <w:vMerge/>
            <w:tcBorders>
              <w:top w:val="nil"/>
              <w:left w:val="single" w:sz="4" w:space="0" w:color="auto"/>
              <w:bottom w:val="single" w:sz="4" w:space="0" w:color="auto"/>
              <w:right w:val="single" w:sz="4" w:space="0" w:color="auto"/>
            </w:tcBorders>
            <w:vAlign w:val="center"/>
            <w:hideMark/>
          </w:tcPr>
          <w:p w14:paraId="5D24BBEC"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13" w:type="dxa"/>
            <w:vMerge/>
            <w:tcBorders>
              <w:top w:val="nil"/>
              <w:left w:val="single" w:sz="4" w:space="0" w:color="auto"/>
              <w:bottom w:val="single" w:sz="4" w:space="0" w:color="auto"/>
              <w:right w:val="single" w:sz="4" w:space="0" w:color="auto"/>
            </w:tcBorders>
            <w:vAlign w:val="center"/>
            <w:hideMark/>
          </w:tcPr>
          <w:p w14:paraId="654A2FDD"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54" w:type="dxa"/>
            <w:vMerge/>
            <w:tcBorders>
              <w:top w:val="nil"/>
              <w:left w:val="single" w:sz="4" w:space="0" w:color="auto"/>
              <w:bottom w:val="single" w:sz="4" w:space="0" w:color="auto"/>
              <w:right w:val="single" w:sz="4" w:space="0" w:color="auto"/>
            </w:tcBorders>
            <w:vAlign w:val="center"/>
            <w:hideMark/>
          </w:tcPr>
          <w:p w14:paraId="6A1B1709"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56" w:type="dxa"/>
            <w:tcBorders>
              <w:top w:val="nil"/>
              <w:left w:val="nil"/>
              <w:bottom w:val="single" w:sz="4" w:space="0" w:color="auto"/>
              <w:right w:val="single" w:sz="4" w:space="0" w:color="auto"/>
            </w:tcBorders>
            <w:shd w:val="clear" w:color="auto" w:fill="auto"/>
            <w:vAlign w:val="center"/>
            <w:hideMark/>
          </w:tcPr>
          <w:p w14:paraId="2C4FA7BC"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71" w:type="dxa"/>
            <w:tcBorders>
              <w:top w:val="nil"/>
              <w:left w:val="nil"/>
              <w:bottom w:val="single" w:sz="4" w:space="0" w:color="auto"/>
              <w:right w:val="single" w:sz="4" w:space="0" w:color="auto"/>
            </w:tcBorders>
            <w:shd w:val="clear" w:color="auto" w:fill="auto"/>
            <w:vAlign w:val="center"/>
            <w:hideMark/>
          </w:tcPr>
          <w:p w14:paraId="06E2AD9E"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06" w:type="dxa"/>
            <w:tcBorders>
              <w:top w:val="nil"/>
              <w:left w:val="nil"/>
              <w:bottom w:val="single" w:sz="4" w:space="0" w:color="auto"/>
              <w:right w:val="single" w:sz="4" w:space="0" w:color="auto"/>
            </w:tcBorders>
            <w:shd w:val="clear" w:color="auto" w:fill="auto"/>
            <w:vAlign w:val="center"/>
            <w:hideMark/>
          </w:tcPr>
          <w:p w14:paraId="412B4377"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5062106C"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1BD44FC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518</w:t>
            </w:r>
          </w:p>
        </w:tc>
        <w:tc>
          <w:tcPr>
            <w:tcW w:w="1613" w:type="dxa"/>
            <w:tcBorders>
              <w:top w:val="nil"/>
              <w:left w:val="nil"/>
              <w:bottom w:val="single" w:sz="4" w:space="0" w:color="auto"/>
              <w:right w:val="single" w:sz="4" w:space="0" w:color="auto"/>
            </w:tcBorders>
            <w:shd w:val="clear" w:color="000000" w:fill="FFFFFF"/>
            <w:noWrap/>
            <w:vAlign w:val="center"/>
            <w:hideMark/>
          </w:tcPr>
          <w:p w14:paraId="3B0476E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562.775,81</w:t>
            </w:r>
          </w:p>
        </w:tc>
        <w:tc>
          <w:tcPr>
            <w:tcW w:w="1554" w:type="dxa"/>
            <w:tcBorders>
              <w:top w:val="nil"/>
              <w:left w:val="nil"/>
              <w:bottom w:val="single" w:sz="4" w:space="0" w:color="auto"/>
              <w:right w:val="single" w:sz="4" w:space="0" w:color="auto"/>
            </w:tcBorders>
            <w:shd w:val="clear" w:color="000000" w:fill="FFFFFF"/>
            <w:noWrap/>
            <w:vAlign w:val="center"/>
            <w:hideMark/>
          </w:tcPr>
          <w:p w14:paraId="35535DC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251.408,86</w:t>
            </w:r>
          </w:p>
        </w:tc>
        <w:tc>
          <w:tcPr>
            <w:tcW w:w="956" w:type="dxa"/>
            <w:tcBorders>
              <w:top w:val="nil"/>
              <w:left w:val="nil"/>
              <w:bottom w:val="single" w:sz="4" w:space="0" w:color="auto"/>
              <w:right w:val="single" w:sz="4" w:space="0" w:color="auto"/>
            </w:tcBorders>
            <w:shd w:val="clear" w:color="000000" w:fill="FFFFFF"/>
            <w:noWrap/>
            <w:vAlign w:val="center"/>
            <w:hideMark/>
          </w:tcPr>
          <w:p w14:paraId="5A427D6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71" w:type="dxa"/>
            <w:tcBorders>
              <w:top w:val="nil"/>
              <w:left w:val="nil"/>
              <w:bottom w:val="single" w:sz="4" w:space="0" w:color="auto"/>
              <w:right w:val="single" w:sz="4" w:space="0" w:color="auto"/>
            </w:tcBorders>
            <w:shd w:val="clear" w:color="000000" w:fill="FFFFFF"/>
            <w:noWrap/>
            <w:vAlign w:val="center"/>
            <w:hideMark/>
          </w:tcPr>
          <w:p w14:paraId="43D1C2E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55,33</w:t>
            </w:r>
          </w:p>
        </w:tc>
        <w:tc>
          <w:tcPr>
            <w:tcW w:w="1106" w:type="dxa"/>
            <w:tcBorders>
              <w:top w:val="nil"/>
              <w:left w:val="nil"/>
              <w:bottom w:val="single" w:sz="4" w:space="0" w:color="auto"/>
              <w:right w:val="single" w:sz="4" w:space="0" w:color="auto"/>
            </w:tcBorders>
            <w:shd w:val="clear" w:color="000000" w:fill="FFFFFF"/>
            <w:noWrap/>
            <w:vAlign w:val="center"/>
            <w:hideMark/>
          </w:tcPr>
          <w:p w14:paraId="612E82F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5,33</w:t>
            </w:r>
          </w:p>
        </w:tc>
      </w:tr>
      <w:tr w:rsidR="00F56356" w:rsidRPr="00F56356" w14:paraId="724AE071"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5D1CD3E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519</w:t>
            </w:r>
          </w:p>
        </w:tc>
        <w:tc>
          <w:tcPr>
            <w:tcW w:w="1613" w:type="dxa"/>
            <w:tcBorders>
              <w:top w:val="nil"/>
              <w:left w:val="nil"/>
              <w:bottom w:val="single" w:sz="4" w:space="0" w:color="auto"/>
              <w:right w:val="single" w:sz="4" w:space="0" w:color="auto"/>
            </w:tcBorders>
            <w:shd w:val="clear" w:color="000000" w:fill="FFFFFF"/>
            <w:noWrap/>
            <w:vAlign w:val="center"/>
            <w:hideMark/>
          </w:tcPr>
          <w:p w14:paraId="35FA288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2.356.726,30</w:t>
            </w:r>
          </w:p>
        </w:tc>
        <w:tc>
          <w:tcPr>
            <w:tcW w:w="1554" w:type="dxa"/>
            <w:tcBorders>
              <w:top w:val="nil"/>
              <w:left w:val="nil"/>
              <w:bottom w:val="single" w:sz="4" w:space="0" w:color="auto"/>
              <w:right w:val="single" w:sz="4" w:space="0" w:color="auto"/>
            </w:tcBorders>
            <w:shd w:val="clear" w:color="000000" w:fill="FFFFFF"/>
            <w:noWrap/>
            <w:vAlign w:val="center"/>
            <w:hideMark/>
          </w:tcPr>
          <w:p w14:paraId="58F0795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1.287.412,00</w:t>
            </w:r>
          </w:p>
        </w:tc>
        <w:tc>
          <w:tcPr>
            <w:tcW w:w="956" w:type="dxa"/>
            <w:tcBorders>
              <w:top w:val="nil"/>
              <w:left w:val="nil"/>
              <w:bottom w:val="single" w:sz="4" w:space="0" w:color="auto"/>
              <w:right w:val="single" w:sz="4" w:space="0" w:color="auto"/>
            </w:tcBorders>
            <w:shd w:val="clear" w:color="000000" w:fill="FFFFFF"/>
            <w:noWrap/>
            <w:vAlign w:val="center"/>
            <w:hideMark/>
          </w:tcPr>
          <w:p w14:paraId="1C6BB2F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single" w:sz="4" w:space="0" w:color="auto"/>
            </w:tcBorders>
            <w:shd w:val="clear" w:color="000000" w:fill="FFFFFF"/>
            <w:noWrap/>
            <w:vAlign w:val="center"/>
            <w:hideMark/>
          </w:tcPr>
          <w:p w14:paraId="6ABE1F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45,37</w:t>
            </w:r>
          </w:p>
        </w:tc>
        <w:tc>
          <w:tcPr>
            <w:tcW w:w="1106" w:type="dxa"/>
            <w:tcBorders>
              <w:top w:val="nil"/>
              <w:left w:val="nil"/>
              <w:bottom w:val="single" w:sz="4" w:space="0" w:color="auto"/>
              <w:right w:val="single" w:sz="4" w:space="0" w:color="auto"/>
            </w:tcBorders>
            <w:shd w:val="clear" w:color="000000" w:fill="FFFFFF"/>
            <w:noWrap/>
            <w:vAlign w:val="center"/>
            <w:hideMark/>
          </w:tcPr>
          <w:p w14:paraId="1AD4D7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0B661D53"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3D913D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529</w:t>
            </w:r>
          </w:p>
        </w:tc>
        <w:tc>
          <w:tcPr>
            <w:tcW w:w="1613" w:type="dxa"/>
            <w:tcBorders>
              <w:top w:val="nil"/>
              <w:left w:val="nil"/>
              <w:bottom w:val="single" w:sz="4" w:space="0" w:color="auto"/>
              <w:right w:val="single" w:sz="4" w:space="0" w:color="auto"/>
            </w:tcBorders>
            <w:shd w:val="clear" w:color="000000" w:fill="FFFFFF"/>
            <w:noWrap/>
            <w:vAlign w:val="center"/>
            <w:hideMark/>
          </w:tcPr>
          <w:p w14:paraId="07E8616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528.626,70</w:t>
            </w:r>
          </w:p>
        </w:tc>
        <w:tc>
          <w:tcPr>
            <w:tcW w:w="1554" w:type="dxa"/>
            <w:tcBorders>
              <w:top w:val="nil"/>
              <w:left w:val="nil"/>
              <w:bottom w:val="single" w:sz="4" w:space="0" w:color="auto"/>
              <w:right w:val="single" w:sz="4" w:space="0" w:color="auto"/>
            </w:tcBorders>
            <w:shd w:val="clear" w:color="000000" w:fill="FFFFFF"/>
            <w:noWrap/>
            <w:vAlign w:val="center"/>
            <w:hideMark/>
          </w:tcPr>
          <w:p w14:paraId="78ED5E0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6" w:type="dxa"/>
            <w:tcBorders>
              <w:top w:val="nil"/>
              <w:left w:val="nil"/>
              <w:bottom w:val="single" w:sz="4" w:space="0" w:color="auto"/>
              <w:right w:val="single" w:sz="4" w:space="0" w:color="auto"/>
            </w:tcBorders>
            <w:shd w:val="clear" w:color="000000" w:fill="FFFFFF"/>
            <w:noWrap/>
            <w:vAlign w:val="center"/>
            <w:hideMark/>
          </w:tcPr>
          <w:p w14:paraId="453CC91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single" w:sz="4" w:space="0" w:color="auto"/>
            </w:tcBorders>
            <w:shd w:val="clear" w:color="000000" w:fill="FFFFFF"/>
            <w:noWrap/>
            <w:vAlign w:val="center"/>
            <w:hideMark/>
          </w:tcPr>
          <w:p w14:paraId="47FB917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6" w:type="dxa"/>
            <w:tcBorders>
              <w:top w:val="nil"/>
              <w:left w:val="nil"/>
              <w:bottom w:val="single" w:sz="4" w:space="0" w:color="auto"/>
              <w:right w:val="single" w:sz="4" w:space="0" w:color="auto"/>
            </w:tcBorders>
            <w:shd w:val="clear" w:color="000000" w:fill="FFFFFF"/>
            <w:noWrap/>
            <w:vAlign w:val="center"/>
            <w:hideMark/>
          </w:tcPr>
          <w:p w14:paraId="19090DE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F61B9CF"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677FAF8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533</w:t>
            </w:r>
          </w:p>
        </w:tc>
        <w:tc>
          <w:tcPr>
            <w:tcW w:w="1613" w:type="dxa"/>
            <w:tcBorders>
              <w:top w:val="nil"/>
              <w:left w:val="nil"/>
              <w:bottom w:val="single" w:sz="4" w:space="0" w:color="auto"/>
              <w:right w:val="single" w:sz="4" w:space="0" w:color="auto"/>
            </w:tcBorders>
            <w:shd w:val="clear" w:color="000000" w:fill="FFFFFF"/>
            <w:noWrap/>
            <w:vAlign w:val="center"/>
            <w:hideMark/>
          </w:tcPr>
          <w:p w14:paraId="287E891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7.572,46</w:t>
            </w:r>
          </w:p>
        </w:tc>
        <w:tc>
          <w:tcPr>
            <w:tcW w:w="1554" w:type="dxa"/>
            <w:tcBorders>
              <w:top w:val="nil"/>
              <w:left w:val="nil"/>
              <w:bottom w:val="single" w:sz="4" w:space="0" w:color="auto"/>
              <w:right w:val="single" w:sz="4" w:space="0" w:color="auto"/>
            </w:tcBorders>
            <w:shd w:val="clear" w:color="000000" w:fill="FFFFFF"/>
            <w:noWrap/>
            <w:vAlign w:val="center"/>
            <w:hideMark/>
          </w:tcPr>
          <w:p w14:paraId="195F160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7.572,46</w:t>
            </w:r>
          </w:p>
        </w:tc>
        <w:tc>
          <w:tcPr>
            <w:tcW w:w="956" w:type="dxa"/>
            <w:tcBorders>
              <w:top w:val="nil"/>
              <w:left w:val="nil"/>
              <w:bottom w:val="single" w:sz="4" w:space="0" w:color="auto"/>
              <w:right w:val="single" w:sz="4" w:space="0" w:color="auto"/>
            </w:tcBorders>
            <w:shd w:val="clear" w:color="000000" w:fill="FFFFFF"/>
            <w:noWrap/>
            <w:vAlign w:val="center"/>
            <w:hideMark/>
          </w:tcPr>
          <w:p w14:paraId="6FDC9AA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71" w:type="dxa"/>
            <w:tcBorders>
              <w:top w:val="nil"/>
              <w:left w:val="nil"/>
              <w:bottom w:val="single" w:sz="4" w:space="0" w:color="auto"/>
              <w:right w:val="single" w:sz="4" w:space="0" w:color="auto"/>
            </w:tcBorders>
            <w:shd w:val="clear" w:color="000000" w:fill="FFFFFF"/>
            <w:noWrap/>
            <w:vAlign w:val="center"/>
            <w:hideMark/>
          </w:tcPr>
          <w:p w14:paraId="7D25D48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06" w:type="dxa"/>
            <w:tcBorders>
              <w:top w:val="nil"/>
              <w:left w:val="nil"/>
              <w:bottom w:val="single" w:sz="4" w:space="0" w:color="auto"/>
              <w:right w:val="single" w:sz="4" w:space="0" w:color="auto"/>
            </w:tcBorders>
            <w:shd w:val="clear" w:color="000000" w:fill="FFFFFF"/>
            <w:noWrap/>
            <w:vAlign w:val="center"/>
            <w:hideMark/>
          </w:tcPr>
          <w:p w14:paraId="2F57338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r>
      <w:tr w:rsidR="00F56356" w:rsidRPr="00F56356" w14:paraId="61A15781"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232211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539</w:t>
            </w:r>
          </w:p>
        </w:tc>
        <w:tc>
          <w:tcPr>
            <w:tcW w:w="1613" w:type="dxa"/>
            <w:tcBorders>
              <w:top w:val="nil"/>
              <w:left w:val="nil"/>
              <w:bottom w:val="single" w:sz="4" w:space="0" w:color="auto"/>
              <w:right w:val="single" w:sz="4" w:space="0" w:color="auto"/>
            </w:tcBorders>
            <w:shd w:val="clear" w:color="000000" w:fill="FFFFFF"/>
            <w:noWrap/>
            <w:vAlign w:val="center"/>
            <w:hideMark/>
          </w:tcPr>
          <w:p w14:paraId="6CFD3A1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67.100,00</w:t>
            </w:r>
          </w:p>
        </w:tc>
        <w:tc>
          <w:tcPr>
            <w:tcW w:w="1554" w:type="dxa"/>
            <w:tcBorders>
              <w:top w:val="nil"/>
              <w:left w:val="nil"/>
              <w:bottom w:val="single" w:sz="4" w:space="0" w:color="auto"/>
              <w:right w:val="single" w:sz="4" w:space="0" w:color="auto"/>
            </w:tcBorders>
            <w:shd w:val="clear" w:color="000000" w:fill="FFFFFF"/>
            <w:noWrap/>
            <w:vAlign w:val="center"/>
            <w:hideMark/>
          </w:tcPr>
          <w:p w14:paraId="49AA5CC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6" w:type="dxa"/>
            <w:tcBorders>
              <w:top w:val="nil"/>
              <w:left w:val="nil"/>
              <w:bottom w:val="single" w:sz="4" w:space="0" w:color="auto"/>
              <w:right w:val="single" w:sz="4" w:space="0" w:color="auto"/>
            </w:tcBorders>
            <w:shd w:val="clear" w:color="000000" w:fill="FFFFFF"/>
            <w:noWrap/>
            <w:vAlign w:val="center"/>
            <w:hideMark/>
          </w:tcPr>
          <w:p w14:paraId="27B5D84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single" w:sz="4" w:space="0" w:color="auto"/>
            </w:tcBorders>
            <w:shd w:val="clear" w:color="000000" w:fill="FFFFFF"/>
            <w:noWrap/>
            <w:vAlign w:val="center"/>
            <w:hideMark/>
          </w:tcPr>
          <w:p w14:paraId="0637903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6" w:type="dxa"/>
            <w:tcBorders>
              <w:top w:val="nil"/>
              <w:left w:val="nil"/>
              <w:bottom w:val="single" w:sz="4" w:space="0" w:color="auto"/>
              <w:right w:val="single" w:sz="4" w:space="0" w:color="auto"/>
            </w:tcBorders>
            <w:shd w:val="clear" w:color="000000" w:fill="FFFFFF"/>
            <w:noWrap/>
            <w:vAlign w:val="center"/>
            <w:hideMark/>
          </w:tcPr>
          <w:p w14:paraId="1CA42EB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2F8CB5C9"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05A6EA1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832</w:t>
            </w:r>
          </w:p>
        </w:tc>
        <w:tc>
          <w:tcPr>
            <w:tcW w:w="1613" w:type="dxa"/>
            <w:tcBorders>
              <w:top w:val="nil"/>
              <w:left w:val="nil"/>
              <w:bottom w:val="single" w:sz="4" w:space="0" w:color="auto"/>
              <w:right w:val="single" w:sz="4" w:space="0" w:color="auto"/>
            </w:tcBorders>
            <w:shd w:val="clear" w:color="000000" w:fill="FFFFFF"/>
            <w:noWrap/>
            <w:vAlign w:val="center"/>
            <w:hideMark/>
          </w:tcPr>
          <w:p w14:paraId="6F6E9831"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44.188,64</w:t>
            </w:r>
          </w:p>
        </w:tc>
        <w:tc>
          <w:tcPr>
            <w:tcW w:w="1554" w:type="dxa"/>
            <w:tcBorders>
              <w:top w:val="nil"/>
              <w:left w:val="nil"/>
              <w:bottom w:val="single" w:sz="4" w:space="0" w:color="auto"/>
              <w:right w:val="single" w:sz="4" w:space="0" w:color="auto"/>
            </w:tcBorders>
            <w:shd w:val="clear" w:color="000000" w:fill="FFFFFF"/>
            <w:noWrap/>
            <w:vAlign w:val="center"/>
            <w:hideMark/>
          </w:tcPr>
          <w:p w14:paraId="00D17FF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6" w:type="dxa"/>
            <w:tcBorders>
              <w:top w:val="nil"/>
              <w:left w:val="nil"/>
              <w:bottom w:val="single" w:sz="4" w:space="0" w:color="auto"/>
              <w:right w:val="single" w:sz="4" w:space="0" w:color="auto"/>
            </w:tcBorders>
            <w:shd w:val="clear" w:color="000000" w:fill="FFFFFF"/>
            <w:noWrap/>
            <w:vAlign w:val="center"/>
            <w:hideMark/>
          </w:tcPr>
          <w:p w14:paraId="002723C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single" w:sz="4" w:space="0" w:color="auto"/>
            </w:tcBorders>
            <w:shd w:val="clear" w:color="000000" w:fill="FFFFFF"/>
            <w:noWrap/>
            <w:vAlign w:val="center"/>
            <w:hideMark/>
          </w:tcPr>
          <w:p w14:paraId="7894B5E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6" w:type="dxa"/>
            <w:tcBorders>
              <w:top w:val="nil"/>
              <w:left w:val="nil"/>
              <w:bottom w:val="single" w:sz="4" w:space="0" w:color="auto"/>
              <w:right w:val="single" w:sz="4" w:space="0" w:color="auto"/>
            </w:tcBorders>
            <w:shd w:val="clear" w:color="000000" w:fill="FFFFFF"/>
            <w:noWrap/>
            <w:vAlign w:val="center"/>
            <w:hideMark/>
          </w:tcPr>
          <w:p w14:paraId="7C143D9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BFA31E0" w14:textId="77777777" w:rsidTr="00F56356">
        <w:trPr>
          <w:trHeight w:val="240"/>
          <w:jc w:val="center"/>
        </w:trPr>
        <w:tc>
          <w:tcPr>
            <w:tcW w:w="469" w:type="dxa"/>
            <w:tcBorders>
              <w:top w:val="nil"/>
              <w:left w:val="single" w:sz="4" w:space="0" w:color="auto"/>
              <w:bottom w:val="single" w:sz="4" w:space="0" w:color="auto"/>
              <w:right w:val="single" w:sz="4" w:space="0" w:color="auto"/>
            </w:tcBorders>
            <w:shd w:val="clear" w:color="000000" w:fill="FFFFFF"/>
            <w:noWrap/>
            <w:vAlign w:val="center"/>
            <w:hideMark/>
          </w:tcPr>
          <w:p w14:paraId="44269C5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858</w:t>
            </w:r>
          </w:p>
        </w:tc>
        <w:tc>
          <w:tcPr>
            <w:tcW w:w="1613" w:type="dxa"/>
            <w:tcBorders>
              <w:top w:val="nil"/>
              <w:left w:val="nil"/>
              <w:bottom w:val="single" w:sz="4" w:space="0" w:color="auto"/>
              <w:right w:val="single" w:sz="4" w:space="0" w:color="auto"/>
            </w:tcBorders>
            <w:shd w:val="clear" w:color="000000" w:fill="FFFFFF"/>
            <w:noWrap/>
            <w:vAlign w:val="center"/>
            <w:hideMark/>
          </w:tcPr>
          <w:p w14:paraId="1848718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120.842.530,82</w:t>
            </w:r>
          </w:p>
        </w:tc>
        <w:tc>
          <w:tcPr>
            <w:tcW w:w="1554" w:type="dxa"/>
            <w:tcBorders>
              <w:top w:val="nil"/>
              <w:left w:val="nil"/>
              <w:bottom w:val="single" w:sz="4" w:space="0" w:color="auto"/>
              <w:right w:val="single" w:sz="4" w:space="0" w:color="auto"/>
            </w:tcBorders>
            <w:shd w:val="clear" w:color="000000" w:fill="FFFFFF"/>
            <w:noWrap/>
            <w:vAlign w:val="center"/>
            <w:hideMark/>
          </w:tcPr>
          <w:p w14:paraId="2E38EDB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70.312.375,18</w:t>
            </w:r>
          </w:p>
        </w:tc>
        <w:tc>
          <w:tcPr>
            <w:tcW w:w="956" w:type="dxa"/>
            <w:tcBorders>
              <w:top w:val="nil"/>
              <w:left w:val="nil"/>
              <w:bottom w:val="single" w:sz="4" w:space="0" w:color="auto"/>
              <w:right w:val="single" w:sz="4" w:space="0" w:color="auto"/>
            </w:tcBorders>
            <w:shd w:val="clear" w:color="000000" w:fill="FFFFFF"/>
            <w:noWrap/>
            <w:vAlign w:val="center"/>
            <w:hideMark/>
          </w:tcPr>
          <w:p w14:paraId="59034D0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71" w:type="dxa"/>
            <w:tcBorders>
              <w:top w:val="nil"/>
              <w:left w:val="nil"/>
              <w:bottom w:val="single" w:sz="4" w:space="0" w:color="auto"/>
              <w:right w:val="single" w:sz="4" w:space="0" w:color="auto"/>
            </w:tcBorders>
            <w:shd w:val="clear" w:color="000000" w:fill="FFFFFF"/>
            <w:noWrap/>
            <w:vAlign w:val="center"/>
            <w:hideMark/>
          </w:tcPr>
          <w:p w14:paraId="6EAE17E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41,81</w:t>
            </w:r>
          </w:p>
        </w:tc>
        <w:tc>
          <w:tcPr>
            <w:tcW w:w="1106" w:type="dxa"/>
            <w:tcBorders>
              <w:top w:val="nil"/>
              <w:left w:val="nil"/>
              <w:bottom w:val="single" w:sz="4" w:space="0" w:color="auto"/>
              <w:right w:val="single" w:sz="4" w:space="0" w:color="auto"/>
            </w:tcBorders>
            <w:shd w:val="clear" w:color="000000" w:fill="FFFFFF"/>
            <w:noWrap/>
            <w:vAlign w:val="center"/>
            <w:hideMark/>
          </w:tcPr>
          <w:p w14:paraId="27D89C8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-8,19</w:t>
            </w:r>
          </w:p>
        </w:tc>
      </w:tr>
      <w:tr w:rsidR="00F56356" w:rsidRPr="00F56356" w14:paraId="23495DFD" w14:textId="77777777" w:rsidTr="00F56356">
        <w:trPr>
          <w:trHeight w:val="31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8582CC1"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13" w:type="dxa"/>
            <w:tcBorders>
              <w:top w:val="nil"/>
              <w:left w:val="nil"/>
              <w:bottom w:val="single" w:sz="4" w:space="0" w:color="auto"/>
              <w:right w:val="single" w:sz="4" w:space="0" w:color="auto"/>
            </w:tcBorders>
            <w:shd w:val="clear" w:color="auto" w:fill="auto"/>
            <w:noWrap/>
            <w:vAlign w:val="center"/>
            <w:hideMark/>
          </w:tcPr>
          <w:p w14:paraId="39B99B71"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124.409.520,73</w:t>
            </w:r>
          </w:p>
        </w:tc>
        <w:tc>
          <w:tcPr>
            <w:tcW w:w="1554" w:type="dxa"/>
            <w:tcBorders>
              <w:top w:val="nil"/>
              <w:left w:val="nil"/>
              <w:bottom w:val="single" w:sz="4" w:space="0" w:color="auto"/>
              <w:right w:val="single" w:sz="4" w:space="0" w:color="auto"/>
            </w:tcBorders>
            <w:shd w:val="clear" w:color="auto" w:fill="auto"/>
            <w:noWrap/>
            <w:vAlign w:val="center"/>
            <w:hideMark/>
          </w:tcPr>
          <w:p w14:paraId="208D01CA"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71.858.768,50</w:t>
            </w:r>
          </w:p>
        </w:tc>
        <w:tc>
          <w:tcPr>
            <w:tcW w:w="956" w:type="dxa"/>
            <w:tcBorders>
              <w:top w:val="nil"/>
              <w:left w:val="nil"/>
              <w:bottom w:val="nil"/>
              <w:right w:val="nil"/>
            </w:tcBorders>
            <w:shd w:val="clear" w:color="auto" w:fill="auto"/>
            <w:noWrap/>
            <w:vAlign w:val="center"/>
            <w:hideMark/>
          </w:tcPr>
          <w:p w14:paraId="5C8A5DA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71" w:type="dxa"/>
            <w:tcBorders>
              <w:top w:val="nil"/>
              <w:left w:val="nil"/>
              <w:bottom w:val="nil"/>
              <w:right w:val="nil"/>
            </w:tcBorders>
            <w:shd w:val="clear" w:color="auto" w:fill="auto"/>
            <w:noWrap/>
            <w:vAlign w:val="center"/>
            <w:hideMark/>
          </w:tcPr>
          <w:p w14:paraId="43379D2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06" w:type="dxa"/>
            <w:tcBorders>
              <w:top w:val="nil"/>
              <w:left w:val="nil"/>
              <w:bottom w:val="nil"/>
              <w:right w:val="nil"/>
            </w:tcBorders>
            <w:shd w:val="clear" w:color="auto" w:fill="auto"/>
            <w:noWrap/>
            <w:vAlign w:val="center"/>
            <w:hideMark/>
          </w:tcPr>
          <w:p w14:paraId="4794673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50A769AF"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418E2FF2"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p>
    <w:p w14:paraId="06D23ACC"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10"/>
          <w:szCs w:val="24"/>
          <w:lang w:eastAsia="it-IT"/>
        </w:rPr>
      </w:pPr>
    </w:p>
    <w:p w14:paraId="4A265C75"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
          <w:szCs w:val="24"/>
          <w:lang w:eastAsia="it-IT"/>
        </w:rPr>
      </w:pPr>
    </w:p>
    <w:p w14:paraId="3CB5BEC2"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10"/>
          <w:szCs w:val="24"/>
          <w:lang w:eastAsia="it-IT"/>
        </w:rPr>
      </w:pPr>
    </w:p>
    <w:p w14:paraId="2363F28B"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2.2</w:t>
      </w:r>
      <w:r w:rsidRPr="00F56356">
        <w:rPr>
          <w:rFonts w:ascii="Times New Roman" w:eastAsia="Times New Roman" w:hAnsi="Times New Roman" w:cs="Times New Roman"/>
          <w:sz w:val="24"/>
          <w:szCs w:val="24"/>
          <w:lang w:eastAsia="it-IT"/>
        </w:rPr>
        <w:t xml:space="preserve"> Le risorse impegnate di euro 234.546.332,48 </w:t>
      </w:r>
      <w:r w:rsidRPr="00F56356">
        <w:rPr>
          <w:rFonts w:ascii="Times New Roman" w:eastAsia="Times New Roman" w:hAnsi="Times New Roman" w:cs="Times New Roman"/>
          <w:color w:val="000000" w:themeColor="text1"/>
          <w:sz w:val="24"/>
          <w:szCs w:val="24"/>
          <w:lang w:eastAsia="it-IT"/>
        </w:rPr>
        <w:t>sono state destinate per euro 52.091,34 al funzionamento e per euro 234.494.241,14 agli interventi.</w:t>
      </w:r>
    </w:p>
    <w:p w14:paraId="4C5C7EB6"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sz w:val="4"/>
          <w:szCs w:val="24"/>
          <w:lang w:eastAsia="it-IT"/>
        </w:rPr>
      </w:pPr>
    </w:p>
    <w:p w14:paraId="1375D926"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b/>
          <w:sz w:val="4"/>
          <w:szCs w:val="24"/>
          <w:lang w:eastAsia="it-IT"/>
        </w:rPr>
      </w:pPr>
    </w:p>
    <w:p w14:paraId="2B182FCB"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sz w:val="24"/>
          <w:szCs w:val="24"/>
          <w:lang w:eastAsia="it-IT"/>
        </w:rPr>
        <w:t xml:space="preserve">2.2.1 </w:t>
      </w:r>
      <w:r w:rsidRPr="00F56356">
        <w:rPr>
          <w:rFonts w:ascii="Times New Roman" w:eastAsia="Times New Roman" w:hAnsi="Times New Roman" w:cs="Times New Roman"/>
          <w:sz w:val="24"/>
          <w:szCs w:val="24"/>
          <w:lang w:eastAsia="it-IT"/>
        </w:rPr>
        <w:t>Le risorse</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sz w:val="24"/>
          <w:szCs w:val="24"/>
          <w:lang w:eastAsia="it-IT"/>
        </w:rPr>
        <w:t xml:space="preserve">impegnate per il funzionamento pari a </w:t>
      </w:r>
      <w:r w:rsidRPr="00F56356">
        <w:rPr>
          <w:rFonts w:ascii="Times New Roman" w:eastAsia="Times New Roman" w:hAnsi="Times New Roman" w:cs="Times New Roman"/>
          <w:color w:val="000000" w:themeColor="text1"/>
          <w:sz w:val="24"/>
          <w:szCs w:val="24"/>
          <w:lang w:eastAsia="it-IT"/>
        </w:rPr>
        <w:t xml:space="preserve">euro 52.091,34 sono state destinate </w:t>
      </w:r>
      <w:r w:rsidRPr="00F56356">
        <w:rPr>
          <w:rFonts w:ascii="Times New Roman" w:eastAsia="Times New Roman" w:hAnsi="Times New Roman" w:cs="Times New Roman"/>
          <w:sz w:val="24"/>
          <w:szCs w:val="24"/>
          <w:lang w:eastAsia="it-IT"/>
        </w:rPr>
        <w:t xml:space="preserve">al </w:t>
      </w:r>
      <w:r w:rsidRPr="00F56356">
        <w:rPr>
          <w:rFonts w:ascii="Times New Roman" w:eastAsia="Times New Roman" w:hAnsi="Times New Roman" w:cs="Times New Roman"/>
          <w:color w:val="000000" w:themeColor="text1"/>
          <w:sz w:val="24"/>
          <w:szCs w:val="24"/>
          <w:lang w:eastAsia="it-IT"/>
        </w:rPr>
        <w:t xml:space="preserve">rimborso delle spese per missioni nel territorio nazionale e all’estero (cap. 824), in particolare, alla missione a Parigi il 26 settembre 2022 per partecipare al 9th Bureau Meeting of the Steering Committee for the Rights of the Child, a Ginevra dal 21 al 22 novembre 2022 per partecipare al 15th Meeting of the Standing </w:t>
      </w:r>
      <w:proofErr w:type="spellStart"/>
      <w:r w:rsidRPr="00F56356">
        <w:rPr>
          <w:rFonts w:ascii="Times New Roman" w:eastAsia="Times New Roman" w:hAnsi="Times New Roman" w:cs="Times New Roman"/>
          <w:color w:val="000000" w:themeColor="text1"/>
          <w:sz w:val="24"/>
          <w:szCs w:val="24"/>
          <w:lang w:eastAsia="it-IT"/>
        </w:rPr>
        <w:t>Working</w:t>
      </w:r>
      <w:proofErr w:type="spellEnd"/>
      <w:r w:rsidRPr="00F56356">
        <w:rPr>
          <w:rFonts w:ascii="Times New Roman" w:eastAsia="Times New Roman" w:hAnsi="Times New Roman" w:cs="Times New Roman"/>
          <w:color w:val="000000" w:themeColor="text1"/>
          <w:sz w:val="24"/>
          <w:szCs w:val="24"/>
          <w:lang w:eastAsia="it-IT"/>
        </w:rPr>
        <w:t xml:space="preserve"> Group of </w:t>
      </w:r>
      <w:proofErr w:type="spellStart"/>
      <w:r w:rsidRPr="00F56356">
        <w:rPr>
          <w:rFonts w:ascii="Times New Roman" w:eastAsia="Times New Roman" w:hAnsi="Times New Roman" w:cs="Times New Roman"/>
          <w:color w:val="000000" w:themeColor="text1"/>
          <w:sz w:val="24"/>
          <w:szCs w:val="24"/>
          <w:lang w:eastAsia="it-IT"/>
        </w:rPr>
        <w:t>Ageing</w:t>
      </w:r>
      <w:proofErr w:type="spellEnd"/>
      <w:r w:rsidRPr="00F56356">
        <w:rPr>
          <w:rFonts w:ascii="Times New Roman" w:eastAsia="Times New Roman" w:hAnsi="Times New Roman" w:cs="Times New Roman"/>
          <w:color w:val="000000" w:themeColor="text1"/>
          <w:sz w:val="24"/>
          <w:szCs w:val="24"/>
          <w:lang w:eastAsia="it-IT"/>
        </w:rPr>
        <w:t xml:space="preserve">, a Praga il 6 settembre 2022 per partecipare alla riunione del Gruppo di alto livello sul gender mainstreaming e alla partecipazione del Ministro ad alcuni incontri con le autorità locali e le  associazioni familiari, </w:t>
      </w:r>
      <w:bookmarkStart w:id="58" w:name="_Hlk130814506"/>
      <w:r w:rsidRPr="00F56356">
        <w:rPr>
          <w:rFonts w:ascii="Times New Roman" w:eastAsia="Times New Roman" w:hAnsi="Times New Roman" w:cs="Times New Roman"/>
          <w:color w:val="000000" w:themeColor="text1"/>
          <w:sz w:val="24"/>
          <w:szCs w:val="24"/>
          <w:lang w:eastAsia="it-IT"/>
        </w:rPr>
        <w:t xml:space="preserve">nonché alla corresponsione della diaria spettante al Ministro </w:t>
      </w:r>
      <w:bookmarkEnd w:id="58"/>
      <w:r w:rsidRPr="00F56356">
        <w:rPr>
          <w:rFonts w:ascii="Times New Roman" w:eastAsia="Times New Roman" w:hAnsi="Times New Roman" w:cs="Times New Roman"/>
          <w:color w:val="000000" w:themeColor="text1"/>
          <w:sz w:val="24"/>
          <w:szCs w:val="24"/>
          <w:lang w:eastAsia="it-IT"/>
        </w:rPr>
        <w:t xml:space="preserve">per le pari opportunità e la famiglia quale membro del Governo non parlamentare (cap. 824 </w:t>
      </w:r>
      <w:proofErr w:type="spellStart"/>
      <w:r w:rsidRPr="00F56356">
        <w:rPr>
          <w:rFonts w:ascii="Times New Roman" w:eastAsia="Times New Roman" w:hAnsi="Times New Roman" w:cs="Times New Roman"/>
          <w:color w:val="000000" w:themeColor="text1"/>
          <w:sz w:val="24"/>
          <w:szCs w:val="24"/>
          <w:lang w:eastAsia="it-IT"/>
        </w:rPr>
        <w:t>pg</w:t>
      </w:r>
      <w:proofErr w:type="spellEnd"/>
      <w:r w:rsidRPr="00F56356">
        <w:rPr>
          <w:rFonts w:ascii="Times New Roman" w:eastAsia="Times New Roman" w:hAnsi="Times New Roman" w:cs="Times New Roman"/>
          <w:color w:val="000000" w:themeColor="text1"/>
          <w:sz w:val="24"/>
          <w:szCs w:val="24"/>
          <w:lang w:eastAsia="it-IT"/>
        </w:rPr>
        <w:t xml:space="preserve"> 3) e al rimborso per le spese di trasporto da Roma alla località di residenza e viceversa del Ministro (cap. 824 </w:t>
      </w:r>
      <w:proofErr w:type="spellStart"/>
      <w:r w:rsidRPr="00F56356">
        <w:rPr>
          <w:rFonts w:ascii="Times New Roman" w:eastAsia="Times New Roman" w:hAnsi="Times New Roman" w:cs="Times New Roman"/>
          <w:color w:val="000000" w:themeColor="text1"/>
          <w:sz w:val="24"/>
          <w:szCs w:val="24"/>
          <w:lang w:eastAsia="it-IT"/>
        </w:rPr>
        <w:t>pg</w:t>
      </w:r>
      <w:proofErr w:type="spellEnd"/>
      <w:r w:rsidRPr="00F56356">
        <w:rPr>
          <w:rFonts w:ascii="Times New Roman" w:eastAsia="Times New Roman" w:hAnsi="Times New Roman" w:cs="Times New Roman"/>
          <w:color w:val="000000" w:themeColor="text1"/>
          <w:sz w:val="24"/>
          <w:szCs w:val="24"/>
          <w:lang w:eastAsia="it-IT"/>
        </w:rPr>
        <w:t xml:space="preserve"> 4).</w:t>
      </w:r>
    </w:p>
    <w:p w14:paraId="59EE3FEF"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color w:val="FF0000"/>
          <w:sz w:val="6"/>
          <w:szCs w:val="24"/>
          <w:lang w:eastAsia="it-IT"/>
        </w:rPr>
      </w:pPr>
      <w:r w:rsidRPr="00F56356">
        <w:rPr>
          <w:rFonts w:ascii="Times New Roman" w:eastAsia="Times New Roman" w:hAnsi="Times New Roman" w:cs="Times New Roman"/>
          <w:color w:val="FF0000"/>
          <w:sz w:val="24"/>
          <w:szCs w:val="24"/>
          <w:lang w:eastAsia="it-IT"/>
        </w:rPr>
        <w:t xml:space="preserve"> </w:t>
      </w:r>
    </w:p>
    <w:p w14:paraId="24178EB7" w14:textId="77777777" w:rsidR="00F56356" w:rsidRPr="00F56356" w:rsidRDefault="00F56356" w:rsidP="00F56356">
      <w:pPr>
        <w:tabs>
          <w:tab w:val="left" w:pos="0"/>
          <w:tab w:val="left" w:pos="9356"/>
        </w:tabs>
        <w:spacing w:after="0" w:line="360" w:lineRule="auto"/>
        <w:ind w:left="426"/>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14560" behindDoc="1" locked="0" layoutInCell="1" allowOverlap="1" wp14:anchorId="38E37922" wp14:editId="09AADD74">
            <wp:simplePos x="0" y="0"/>
            <wp:positionH relativeFrom="column">
              <wp:posOffset>184785</wp:posOffset>
            </wp:positionH>
            <wp:positionV relativeFrom="paragraph">
              <wp:posOffset>264795</wp:posOffset>
            </wp:positionV>
            <wp:extent cx="5924550" cy="1268730"/>
            <wp:effectExtent l="0" t="0" r="0" b="7620"/>
            <wp:wrapTight wrapText="bothSides">
              <wp:wrapPolygon edited="0">
                <wp:start x="0" y="0"/>
                <wp:lineTo x="0" y="21405"/>
                <wp:lineTo x="11877" y="21405"/>
                <wp:lineTo x="17016" y="20757"/>
                <wp:lineTo x="21531" y="18486"/>
                <wp:lineTo x="21531" y="9081"/>
                <wp:lineTo x="21183" y="5189"/>
                <wp:lineTo x="21461" y="5189"/>
                <wp:lineTo x="21531" y="3892"/>
                <wp:lineTo x="21531" y="0"/>
                <wp:lineTo x="0" y="0"/>
              </wp:wrapPolygon>
            </wp:wrapTight>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24550" cy="126873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36CAC29F" w14:textId="77777777" w:rsidR="00F56356" w:rsidRPr="00F56356" w:rsidRDefault="00F56356" w:rsidP="00F56356">
      <w:pPr>
        <w:tabs>
          <w:tab w:val="left" w:pos="-284"/>
          <w:tab w:val="left" w:pos="11057"/>
        </w:tabs>
        <w:spacing w:after="0" w:line="360" w:lineRule="auto"/>
        <w:ind w:left="284"/>
        <w:jc w:val="center"/>
        <w:rPr>
          <w:rFonts w:ascii="Times New Roman" w:eastAsia="Times New Roman" w:hAnsi="Times New Roman" w:cs="Times New Roman"/>
          <w:b/>
          <w:color w:val="000000" w:themeColor="text1"/>
          <w:sz w:val="24"/>
          <w:szCs w:val="24"/>
          <w:lang w:eastAsia="it-IT"/>
        </w:rPr>
      </w:pPr>
    </w:p>
    <w:p w14:paraId="1B9913D2"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b/>
          <w:color w:val="000000" w:themeColor="text1"/>
          <w:sz w:val="24"/>
          <w:szCs w:val="24"/>
          <w:lang w:eastAsia="it-IT"/>
        </w:rPr>
      </w:pPr>
    </w:p>
    <w:p w14:paraId="5A9A32C2"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relative agli interventi pari a euro 234.494.241,14, di cui euro 2.935.037,82 riferiti a reiscrizioni di residui passivi perenti, sono state destinate:</w:t>
      </w:r>
    </w:p>
    <w:p w14:paraId="689A23A7"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lastRenderedPageBreak/>
        <w:t>a)</w:t>
      </w:r>
      <w:r w:rsidRPr="00F56356">
        <w:rPr>
          <w:rFonts w:ascii="Times New Roman" w:eastAsia="Times New Roman" w:hAnsi="Times New Roman" w:cs="Times New Roman"/>
          <w:b/>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 xml:space="preserve">“Spese per l’esecuzione della Convenzione stipulata all’Aja il 29 maggio 1993 per la tutela dei minori e la cooperazione in materia di adozione internazionale. Spese in tema di adozione di minori stranieri. Spese per il funzionamento della Commissione per le adozioni internazionali” </w:t>
      </w:r>
      <w:r w:rsidRPr="00F56356">
        <w:rPr>
          <w:rFonts w:ascii="Times New Roman" w:eastAsia="Times New Roman" w:hAnsi="Times New Roman" w:cs="Times New Roman"/>
          <w:color w:val="000000" w:themeColor="text1"/>
          <w:sz w:val="24"/>
          <w:szCs w:val="24"/>
          <w:lang w:eastAsia="it-IT"/>
        </w:rPr>
        <w:t>(cap. 518)</w:t>
      </w:r>
    </w:p>
    <w:p w14:paraId="7C569C13"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2.840.532,43, di cui:</w:t>
      </w:r>
    </w:p>
    <w:p w14:paraId="21AE8003"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648.420,34 quale contributo economico riconosciuto agli Enti autorizzati di cui all’art. 39-ter della legge 4 maggio 1983, n. 184, in relazione all’emergenza sanitaria da Covid-19, ai sensi dall’Avviso pubblico approvato con decreto del Ministro per le pari opportunità e la famiglia del 23 giugno 2020 e </w:t>
      </w:r>
      <w:proofErr w:type="spellStart"/>
      <w:r w:rsidRPr="00F56356">
        <w:rPr>
          <w:rFonts w:ascii="Times New Roman" w:eastAsia="Times New Roman" w:hAnsi="Times New Roman" w:cs="Times New Roman"/>
          <w:color w:val="000000" w:themeColor="text1"/>
          <w:sz w:val="24"/>
          <w:szCs w:val="24"/>
          <w:lang w:eastAsia="it-IT"/>
        </w:rPr>
        <w:t>s.m.i</w:t>
      </w:r>
      <w:proofErr w:type="spellEnd"/>
      <w:r w:rsidRPr="00F56356">
        <w:rPr>
          <w:rFonts w:ascii="Times New Roman" w:eastAsia="Times New Roman" w:hAnsi="Times New Roman" w:cs="Times New Roman"/>
          <w:color w:val="000000" w:themeColor="text1"/>
          <w:sz w:val="24"/>
          <w:szCs w:val="24"/>
          <w:lang w:eastAsia="it-IT"/>
        </w:rPr>
        <w:t>;</w:t>
      </w:r>
    </w:p>
    <w:p w14:paraId="3E71B75A"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1.694.035,13 al finanziamento, quale seconda tranche, per l’avvio di n. 8 progetti vincitori presentati dagli Enti autorizzati di cui all’art. 39-ter della legge 4 maggio 1983, n. 184, nell’ambito del Bando per il finanziamento dei progetti di cooperazione internazionale anno 2020;</w:t>
      </w:r>
    </w:p>
    <w:p w14:paraId="2B93BD61"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25.000,00 al finanziamento di due quote relative all’adesione ad una serie di attività cui accedono le Autorità Centrali dei Paesi di accoglienza dei minori mediante la stipula di una convenzione con il Servizio Sociale Internazionale - S.S.I. in data 17 dicembre 2020;</w:t>
      </w:r>
    </w:p>
    <w:p w14:paraId="5DD5093B"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35.829,01 al pagamento dell’indennità di carica al Vicepresidente della CAI dott. Vicenzo </w:t>
      </w:r>
      <w:proofErr w:type="spellStart"/>
      <w:r w:rsidRPr="00F56356">
        <w:rPr>
          <w:rFonts w:ascii="Times New Roman" w:eastAsia="Times New Roman" w:hAnsi="Times New Roman" w:cs="Times New Roman"/>
          <w:color w:val="000000" w:themeColor="text1"/>
          <w:sz w:val="24"/>
          <w:szCs w:val="24"/>
          <w:lang w:eastAsia="it-IT"/>
        </w:rPr>
        <w:t>Starita</w:t>
      </w:r>
      <w:proofErr w:type="spellEnd"/>
      <w:r w:rsidRPr="00F56356">
        <w:rPr>
          <w:rFonts w:ascii="Times New Roman" w:eastAsia="Times New Roman" w:hAnsi="Times New Roman" w:cs="Times New Roman"/>
          <w:color w:val="000000" w:themeColor="text1"/>
          <w:sz w:val="24"/>
          <w:szCs w:val="24"/>
          <w:lang w:eastAsia="it-IT"/>
        </w:rPr>
        <w:t xml:space="preserve"> - prevista dal decreto-legge 28 maggio 2004, n. 136, convertito, con modificazioni, dall’articolo 1 della legge 27 luglio 2004, n. 186 - per il periodo dal 1° dicembre 2021 al 30 novembre 2022;</w:t>
      </w:r>
    </w:p>
    <w:p w14:paraId="50CFF1DA"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80.718,44 alla liquidazione di n. 7 fatture e n. 5 estratti conto a favore della società UVET Global Business Travel per i servizi richiesti in occasione degli incontri in Italia della CAI con le omologhe Autorità centrali in materia di adozioni internazionali, delle missioni nazionali e internazionali del Vicepresidente della CAI, dei commissari e del personale della Segreteria tecnica della CAI;</w:t>
      </w:r>
    </w:p>
    <w:p w14:paraId="547E14BB"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355.403,75, quale quota dell’impegno pluriennale, a valere sulle risorse finanziarie anno 2022, a favore della società </w:t>
      </w:r>
      <w:proofErr w:type="spellStart"/>
      <w:r w:rsidRPr="00F56356">
        <w:rPr>
          <w:rFonts w:ascii="Times New Roman" w:eastAsia="Times New Roman" w:hAnsi="Times New Roman" w:cs="Times New Roman"/>
          <w:color w:val="000000" w:themeColor="text1"/>
          <w:sz w:val="24"/>
          <w:szCs w:val="24"/>
          <w:lang w:eastAsia="it-IT"/>
        </w:rPr>
        <w:t>Almaviva</w:t>
      </w:r>
      <w:proofErr w:type="spellEnd"/>
      <w:r w:rsidRPr="00F56356">
        <w:rPr>
          <w:rFonts w:ascii="Times New Roman" w:eastAsia="Times New Roman" w:hAnsi="Times New Roman" w:cs="Times New Roman"/>
          <w:color w:val="000000" w:themeColor="text1"/>
          <w:sz w:val="24"/>
          <w:szCs w:val="24"/>
          <w:lang w:eastAsia="it-IT"/>
        </w:rPr>
        <w:t xml:space="preserve"> S.p.A., con la quale è stato sottoscritto il contratto esecutivo di adesione al contratto quadro Consip SPC CLOUD LOTTO 4 “Servizi di realizzazione e gestione di Portali e Servizi on-line”, con scadenza naturale il 3 agosto 2022,  prorogato fino al 31 dicembre 2022 mediante sottoscrizione di un Addendum, in conformità a quanto previsto dall’articolo 49, comma 2, del decreto-legge n. 50 del 17 maggio 2022, convertito, con modificazioni, dalla legge 15 luglio 2022, n. 91;</w:t>
      </w:r>
    </w:p>
    <w:p w14:paraId="03EE304A"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1.125,76 per il rimborso delle spese di viaggio sostenute dal Vicepresidente della CAI, dei commissari e del personale della Segreteria tecnica della CAI, sostenute in occasione di missioni nazionali e internazionali;</w:t>
      </w:r>
    </w:p>
    <w:p w14:paraId="63BF3F01"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Spese per le attività di contrasto alla pedofilia”</w:t>
      </w:r>
      <w:r w:rsidRPr="00F56356">
        <w:rPr>
          <w:rFonts w:ascii="Times New Roman" w:eastAsia="Times New Roman" w:hAnsi="Times New Roman" w:cs="Times New Roman"/>
          <w:color w:val="000000" w:themeColor="text1"/>
          <w:sz w:val="24"/>
          <w:szCs w:val="24"/>
          <w:lang w:eastAsia="it-IT"/>
        </w:rPr>
        <w:t xml:space="preserve"> (cap. 519)</w:t>
      </w:r>
    </w:p>
    <w:p w14:paraId="3AE0E513"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1.752.190,50 al finanziamento delle proposte progettuali presentate ai sensi dell’Avviso pubblico del 18 novembre 2019 concernente progetti per la protezione e il sostegno di minori vittime di abuso e sfruttamento sessuale;</w:t>
      </w:r>
    </w:p>
    <w:p w14:paraId="60C0F054"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 xml:space="preserve">Somme assegnate alla Presidenza del Consiglio dei ministri per iniziative di solidarietà a favore dei familiari di medici, personale infermieristico e operatori socio - sanitari vittime del Covid-19” </w:t>
      </w:r>
      <w:r w:rsidRPr="00F56356">
        <w:rPr>
          <w:rFonts w:ascii="Times New Roman" w:eastAsia="Times New Roman" w:hAnsi="Times New Roman" w:cs="Times New Roman"/>
          <w:color w:val="000000" w:themeColor="text1"/>
          <w:sz w:val="24"/>
          <w:szCs w:val="24"/>
          <w:lang w:eastAsia="it-IT"/>
        </w:rPr>
        <w:t>(cap. 522)</w:t>
      </w:r>
    </w:p>
    <w:p w14:paraId="64D0ABF7"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15.000.000,00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per l’Accordo di collaborazione stipulato in data 29 dicembre 2022 con l’Istituto nazionale per l’Assicurazione contro gli infortuni sul lavoro ai fini dell’attuazione delle modalità di erogazione della speciale elargizione, di cui all’articolo 22-bis del decreto-legge 17 marzo 2020, n. 18, convertito, con modificazioni, dalla legge 24 aprile 2020, n. 27, come modificato dall’articolo 31 del decreto-legge 1° marzo 2022, n. 17, convertito, con modificazioni, dalla legge 27 aprile 2022, n. 34, secondo quanto disposto dal decreto del 22 settembre 2022 del Ministro pro tempore per le pari opportunità e la famiglia, di concerto con il Ministro della salute, registrato alla Corte di conti in data 28 novembre 2022, al n. 2957;</w:t>
      </w:r>
    </w:p>
    <w:p w14:paraId="346220B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 xml:space="preserve">Spese di funzionamento dell’Ufficio dell’Autorità Garante per l’infanzia e l’adolescenza” </w:t>
      </w:r>
      <w:r w:rsidRPr="00F56356">
        <w:rPr>
          <w:rFonts w:ascii="Times New Roman" w:eastAsia="Times New Roman" w:hAnsi="Times New Roman" w:cs="Times New Roman"/>
          <w:color w:val="000000" w:themeColor="text1"/>
          <w:sz w:val="24"/>
          <w:szCs w:val="24"/>
          <w:lang w:eastAsia="it-IT"/>
        </w:rPr>
        <w:t>(cap. 523)</w:t>
      </w:r>
    </w:p>
    <w:p w14:paraId="338CC06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3.008.329,00 all’Autorità Garante per l’infanzia e l’adolescenza, titolare di specifica autonomia contabile, per le spese di funzionamento, ai sensi del decreto del Presidente del Consiglio dei ministri 20 luglio 2012, n. 168;</w:t>
      </w:r>
    </w:p>
    <w:p w14:paraId="39BD04C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Spese di natura obbligatoria dell’Ufficio dell’Autorit</w:t>
      </w:r>
      <w:r w:rsidRPr="00F56356">
        <w:rPr>
          <w:rFonts w:ascii="Times New Roman" w:eastAsia="Times New Roman" w:hAnsi="Times New Roman" w:cs="Times New Roman"/>
          <w:color w:val="000000" w:themeColor="text1"/>
          <w:sz w:val="24"/>
          <w:szCs w:val="24"/>
          <w:lang w:eastAsia="it-IT"/>
        </w:rPr>
        <w:t xml:space="preserve">à </w:t>
      </w:r>
      <w:r w:rsidRPr="00F56356">
        <w:rPr>
          <w:rFonts w:ascii="Times New Roman" w:eastAsia="Times New Roman" w:hAnsi="Times New Roman" w:cs="Times New Roman"/>
          <w:i/>
          <w:color w:val="000000" w:themeColor="text1"/>
          <w:sz w:val="24"/>
          <w:szCs w:val="24"/>
          <w:lang w:eastAsia="it-IT"/>
        </w:rPr>
        <w:t>Garante per l’infanzia e l’adolescenza”</w:t>
      </w:r>
      <w:r w:rsidRPr="00F56356">
        <w:rPr>
          <w:rFonts w:ascii="Times New Roman" w:eastAsia="Times New Roman" w:hAnsi="Times New Roman" w:cs="Times New Roman"/>
          <w:color w:val="000000" w:themeColor="text1"/>
          <w:sz w:val="24"/>
          <w:szCs w:val="24"/>
          <w:lang w:eastAsia="it-IT"/>
        </w:rPr>
        <w:t xml:space="preserve"> (cap. 524)</w:t>
      </w:r>
    </w:p>
    <w:p w14:paraId="236E3C3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1.321.470,00 alla corresponsione del compenso stabilito per il Garante per l’infanzia e l’adolescenza, titolare di specifica autonomia contabile, ai sensi del decreto del Presidente del Consiglio dei ministri 20 luglio 2012, n. 168 e degli emolumenti al personale; </w:t>
      </w:r>
    </w:p>
    <w:p w14:paraId="5707BFB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 “</w:t>
      </w:r>
      <w:r w:rsidRPr="00F56356">
        <w:rPr>
          <w:rFonts w:ascii="Times New Roman" w:eastAsia="Times New Roman" w:hAnsi="Times New Roman" w:cs="Times New Roman"/>
          <w:i/>
          <w:color w:val="000000" w:themeColor="text1"/>
          <w:sz w:val="24"/>
          <w:szCs w:val="24"/>
          <w:lang w:eastAsia="it-IT"/>
        </w:rPr>
        <w:t>Somme da destinare ad interventi finanziati dall’Unione Europea”</w:t>
      </w:r>
      <w:r w:rsidRPr="00F56356">
        <w:rPr>
          <w:rFonts w:ascii="Times New Roman" w:eastAsia="Times New Roman" w:hAnsi="Times New Roman" w:cs="Times New Roman"/>
          <w:color w:val="000000" w:themeColor="text1"/>
          <w:sz w:val="24"/>
          <w:szCs w:val="24"/>
          <w:lang w:eastAsia="it-IT"/>
        </w:rPr>
        <w:t xml:space="preserve"> (cap. 529)</w:t>
      </w:r>
    </w:p>
    <w:p w14:paraId="5F53F912"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773.664,94 all’attuazione del progetto “Supporto per lo sviluppo dei Centri per la famiglia e il coordinamento di interventi in materia di servizi di protezione e di inclusione sociale per nuclei familiari multiproblematici e/o persone particolarmente svantaggiate - azione 9.1.2.” nell’ambito del Programma Operativo Nazionale “Inclusione” 2014-2020, ai sensi della convenzione stipulata con Studiare e Sviluppo S.r.l., società in house alla Presidenza e alla missione svolta a Viana do </w:t>
      </w:r>
      <w:proofErr w:type="spellStart"/>
      <w:r w:rsidRPr="00F56356">
        <w:rPr>
          <w:rFonts w:ascii="Times New Roman" w:eastAsia="Times New Roman" w:hAnsi="Times New Roman" w:cs="Times New Roman"/>
          <w:color w:val="000000" w:themeColor="text1"/>
          <w:sz w:val="24"/>
          <w:szCs w:val="24"/>
          <w:lang w:eastAsia="it-IT"/>
        </w:rPr>
        <w:t>Castelo</w:t>
      </w:r>
      <w:proofErr w:type="spellEnd"/>
      <w:r w:rsidRPr="00F56356">
        <w:rPr>
          <w:rFonts w:ascii="Times New Roman" w:eastAsia="Times New Roman" w:hAnsi="Times New Roman" w:cs="Times New Roman"/>
          <w:color w:val="000000" w:themeColor="text1"/>
          <w:sz w:val="24"/>
          <w:szCs w:val="24"/>
          <w:lang w:eastAsia="it-IT"/>
        </w:rPr>
        <w:t xml:space="preserve"> (Portogallo) dal 26 al 28 settembre 2022, dal personale del Dipartimento nell’ambito del citato Programma Operativo Nazionale “Inclusione” 2014-2020;</w:t>
      </w:r>
    </w:p>
    <w:p w14:paraId="33871CF4"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 “</w:t>
      </w:r>
      <w:r w:rsidRPr="00F56356">
        <w:rPr>
          <w:rFonts w:ascii="Times New Roman" w:eastAsia="Times New Roman" w:hAnsi="Times New Roman" w:cs="Times New Roman"/>
          <w:i/>
          <w:color w:val="000000" w:themeColor="text1"/>
          <w:sz w:val="24"/>
          <w:szCs w:val="24"/>
          <w:lang w:eastAsia="it-IT"/>
        </w:rPr>
        <w:t>Somme da destinare all’Istituto degli Innocenti per le attività del centro nazionale di documentazione e analisi per l’infanzia e l’adolescenza</w:t>
      </w:r>
      <w:r w:rsidRPr="00F56356">
        <w:rPr>
          <w:rFonts w:ascii="Times New Roman" w:eastAsia="Times New Roman" w:hAnsi="Times New Roman" w:cs="Times New Roman"/>
          <w:color w:val="000000" w:themeColor="text1"/>
          <w:sz w:val="24"/>
          <w:szCs w:val="24"/>
          <w:lang w:eastAsia="it-IT"/>
        </w:rPr>
        <w:t>” (cap. 530)</w:t>
      </w:r>
    </w:p>
    <w:p w14:paraId="616E8851"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5.000.000,00 all’Istituto degli Innocenti di Firenze ai sensi dell’Accordo di collaborazione stipulato con l’Istituto degli Innocenti di Firenze, firmato digitalmente in data 12 gennaio 2021, in attuazione dell’articolo 1, comma 215, della legge 27 dicembre 2017, n. 205, come modificato dall’articolo 32 del decreto-legge 30 dicembre 2019, n. 162, convertito, con modificazioni, dalla legge 28 febbraio 2020, n. 8;</w:t>
      </w:r>
    </w:p>
    <w:p w14:paraId="687076CC"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h) “</w:t>
      </w:r>
      <w:r w:rsidRPr="00F56356">
        <w:rPr>
          <w:rFonts w:ascii="Times New Roman" w:eastAsia="Times New Roman" w:hAnsi="Times New Roman" w:cs="Times New Roman"/>
          <w:i/>
          <w:color w:val="000000" w:themeColor="text1"/>
          <w:sz w:val="24"/>
          <w:szCs w:val="24"/>
          <w:lang w:eastAsia="it-IT"/>
        </w:rPr>
        <w:t>Somme per il finanziamento del numero verde di pubblica utilità</w:t>
      </w: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114 Emergenza infanzia</w:t>
      </w:r>
      <w:r w:rsidRPr="00F56356">
        <w:rPr>
          <w:rFonts w:ascii="Times New Roman" w:eastAsia="Times New Roman" w:hAnsi="Times New Roman" w:cs="Times New Roman"/>
          <w:color w:val="000000" w:themeColor="text1"/>
          <w:sz w:val="24"/>
          <w:szCs w:val="24"/>
          <w:lang w:eastAsia="it-IT"/>
        </w:rPr>
        <w:t>” (cap. 533)</w:t>
      </w:r>
    </w:p>
    <w:p w14:paraId="3D8A551D"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350.475,36 di cui:</w:t>
      </w:r>
    </w:p>
    <w:p w14:paraId="7EF00DAD"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210.837,27 riferiti a reiscrizione di residui passivi perenti;</w:t>
      </w:r>
    </w:p>
    <w:p w14:paraId="5A49A56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14.640,00 al pagamento a favore di Telecom S.p.A. del traffico telefonico per l’utenza del numero di emergenza infanzia 114;</w:t>
      </w:r>
    </w:p>
    <w:p w14:paraId="565A33B5"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124.998,09, inerente </w:t>
      </w:r>
      <w:proofErr w:type="gramStart"/>
      <w:r w:rsidRPr="00F56356">
        <w:rPr>
          <w:rFonts w:ascii="Times New Roman" w:eastAsia="Times New Roman" w:hAnsi="Times New Roman" w:cs="Times New Roman"/>
          <w:color w:val="000000" w:themeColor="text1"/>
          <w:sz w:val="24"/>
          <w:szCs w:val="24"/>
          <w:lang w:eastAsia="it-IT"/>
        </w:rPr>
        <w:t>l’annualità</w:t>
      </w:r>
      <w:proofErr w:type="gramEnd"/>
      <w:r w:rsidRPr="00F56356">
        <w:rPr>
          <w:rFonts w:ascii="Times New Roman" w:eastAsia="Times New Roman" w:hAnsi="Times New Roman" w:cs="Times New Roman"/>
          <w:color w:val="000000" w:themeColor="text1"/>
          <w:sz w:val="24"/>
          <w:szCs w:val="24"/>
          <w:lang w:eastAsia="it-IT"/>
        </w:rPr>
        <w:t xml:space="preserve"> 2022, per la Convenzione stipulata in data 26 luglio 2022 tra il Dipartimento per le politiche della famiglia e la Fondazione SOS Il Telefono Azzurro Onlus, relativa alla gestione del codice di pubblica emergenza 114; </w:t>
      </w:r>
    </w:p>
    <w:p w14:paraId="5D7E8CCE"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w:t>
      </w:r>
      <w:r w:rsidRPr="00F56356">
        <w:rPr>
          <w:rFonts w:ascii="Times New Roman" w:eastAsia="Times New Roman" w:hAnsi="Times New Roman" w:cs="Times New Roman"/>
          <w:i/>
          <w:color w:val="000000" w:themeColor="text1"/>
          <w:sz w:val="24"/>
          <w:szCs w:val="24"/>
          <w:lang w:eastAsia="it-IT"/>
        </w:rPr>
        <w:t>Fondo nazionale per l’infanzia e l’adolescenza</w:t>
      </w:r>
      <w:r w:rsidRPr="00F56356">
        <w:rPr>
          <w:rFonts w:ascii="Times New Roman" w:eastAsia="Times New Roman" w:hAnsi="Times New Roman" w:cs="Times New Roman"/>
          <w:color w:val="000000" w:themeColor="text1"/>
          <w:sz w:val="24"/>
          <w:szCs w:val="24"/>
          <w:lang w:eastAsia="it-IT"/>
        </w:rPr>
        <w:t>” (cap. 535)</w:t>
      </w:r>
    </w:p>
    <w:p w14:paraId="5AECA3C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87.989.637,89 al finanziamento dell’attuazione delle misure di cui alla legge 28 agosto 1997, n. 285, in favore delle 15 città riservatarie, per le quote relative alle annualità 2018, 2019, 2020, 2021 e 2022; </w:t>
      </w:r>
    </w:p>
    <w:p w14:paraId="43552865"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 “</w:t>
      </w:r>
      <w:r w:rsidRPr="00F56356">
        <w:rPr>
          <w:rFonts w:ascii="Times New Roman" w:eastAsia="Times New Roman" w:hAnsi="Times New Roman" w:cs="Times New Roman"/>
          <w:i/>
          <w:color w:val="000000" w:themeColor="text1"/>
          <w:sz w:val="24"/>
          <w:szCs w:val="24"/>
          <w:lang w:eastAsia="it-IT"/>
        </w:rPr>
        <w:t>Spese per il sostegno delle adozioni internazionali”</w:t>
      </w:r>
      <w:r w:rsidRPr="00F56356">
        <w:rPr>
          <w:rFonts w:ascii="Times New Roman" w:eastAsia="Times New Roman" w:hAnsi="Times New Roman" w:cs="Times New Roman"/>
          <w:color w:val="000000" w:themeColor="text1"/>
          <w:sz w:val="24"/>
          <w:szCs w:val="24"/>
          <w:lang w:eastAsia="it-IT"/>
        </w:rPr>
        <w:t xml:space="preserve"> (cap. 538)</w:t>
      </w:r>
    </w:p>
    <w:p w14:paraId="34FB8F9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 euro 4.473.717,04 a interventi di sostegno alle famiglie adottive italiane mediante l’erogazione del rimborso delle spese sostenute per l’adozione di uno o più minori stranieri concluse negli anni </w:t>
      </w:r>
      <w:r w:rsidRPr="00F56356">
        <w:rPr>
          <w:rFonts w:ascii="Times New Roman" w:eastAsia="Times New Roman" w:hAnsi="Times New Roman" w:cs="Times New Roman"/>
          <w:color w:val="000000" w:themeColor="text1"/>
          <w:sz w:val="24"/>
          <w:szCs w:val="28"/>
        </w:rPr>
        <w:t>2018-2019-2020</w:t>
      </w:r>
      <w:r w:rsidRPr="00F56356">
        <w:rPr>
          <w:rFonts w:ascii="Times New Roman" w:eastAsia="Times New Roman" w:hAnsi="Times New Roman" w:cs="Times New Roman"/>
          <w:color w:val="000000" w:themeColor="text1"/>
          <w:sz w:val="24"/>
          <w:szCs w:val="24"/>
          <w:lang w:eastAsia="it-IT"/>
        </w:rPr>
        <w:t xml:space="preserve">. A fronte di n. 738 istanze di rimborso (di cui 2 dichiarate inammissibili) per le adozioni concluse negli anni 2018, 2019 e 2020 - presentate dai genitori adottivi, ai sensi del decreto del 7 luglio 2021 del Ministro per le pari opportunità e la famiglia pro tempore, di concerto con il Ministro dell’economia e delle finanze, di riapertura dei termini del precedente decreto del 29 dicembre 2020 e del decreto del 24 giugno 2021, sono stati erogati nel 2022 n. 736 rimborsi. Inoltre, in data 19 settembre 2022 è stato sottoscritto un nuovo decreto del Ministro pro tempore di regolamentazione del rimborso delle spese sostenute per le adozioni concluse nell’anno 2021. La tardiva pubblicazione del citato decreto del 19 settembre 2022, effettuata nel mese di dicembre 2022, ha reso possibile avviare solo l’attività istruttoria delle istanze pervenute e non la successiva liquidazione, stante altresì la chiusura della contabilità dell’esercizio finanziario 2022; </w:t>
      </w:r>
    </w:p>
    <w:p w14:paraId="31C193F0" w14:textId="77777777" w:rsidR="00F56356" w:rsidRPr="00F56356" w:rsidRDefault="00F56356" w:rsidP="00F56356">
      <w:pPr>
        <w:spacing w:after="0" w:line="360" w:lineRule="auto"/>
        <w:contextualSpacing/>
        <w:jc w:val="both"/>
        <w:rPr>
          <w:rFonts w:ascii="Times New Roman" w:eastAsia="Times New Roman" w:hAnsi="Times New Roman" w:cs="Times New Roman"/>
          <w:color w:val="FF0000"/>
          <w:sz w:val="24"/>
          <w:szCs w:val="24"/>
          <w:lang w:eastAsia="it-IT"/>
        </w:rPr>
      </w:pPr>
      <w:r w:rsidRPr="00F56356">
        <w:rPr>
          <w:rFonts w:ascii="Times New Roman" w:eastAsia="Calibri" w:hAnsi="Times New Roman" w:cs="Times New Roman"/>
          <w:sz w:val="24"/>
          <w:szCs w:val="28"/>
        </w:rPr>
        <w:t xml:space="preserve">    m) </w:t>
      </w:r>
      <w:r w:rsidRPr="00F56356">
        <w:rPr>
          <w:rFonts w:ascii="Times New Roman" w:eastAsia="Calibri" w:hAnsi="Times New Roman" w:cs="Times New Roman"/>
          <w:i/>
          <w:color w:val="000000" w:themeColor="text1"/>
          <w:sz w:val="24"/>
          <w:szCs w:val="28"/>
        </w:rPr>
        <w:t>“</w:t>
      </w:r>
      <w:r w:rsidRPr="00F56356">
        <w:rPr>
          <w:rFonts w:ascii="Times New Roman" w:eastAsia="Times New Roman" w:hAnsi="Times New Roman" w:cs="Times New Roman"/>
          <w:i/>
          <w:color w:val="000000" w:themeColor="text1"/>
          <w:sz w:val="24"/>
          <w:szCs w:val="24"/>
          <w:lang w:eastAsia="it-IT"/>
        </w:rPr>
        <w:t>Somme da destinare alla prevenzione del cyberbullismo</w:t>
      </w:r>
      <w:r w:rsidRPr="00F56356">
        <w:rPr>
          <w:rFonts w:ascii="Times New Roman" w:eastAsia="Times New Roman" w:hAnsi="Times New Roman" w:cs="Times New Roman"/>
          <w:color w:val="000000" w:themeColor="text1"/>
          <w:sz w:val="24"/>
          <w:szCs w:val="24"/>
          <w:lang w:eastAsia="it-IT"/>
        </w:rPr>
        <w:t>” (cap. 539)</w:t>
      </w:r>
    </w:p>
    <w:p w14:paraId="6A553B79"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6.437,44 quale quota parte delle risorse destinate al contratto stipulato tra il Dipartimento e la Società UNIVERSAL MCCANN S.R.L., del 21 dicembre 2022, inerente l’acquisto di spazi di comunicazione istituzionale per la pianificazione della quarta edizione della campagna istituzionale </w:t>
      </w:r>
      <w:r w:rsidRPr="00F56356">
        <w:rPr>
          <w:rFonts w:ascii="Times New Roman" w:eastAsia="Times New Roman" w:hAnsi="Times New Roman" w:cs="Times New Roman"/>
          <w:color w:val="000000" w:themeColor="text1"/>
          <w:sz w:val="24"/>
          <w:szCs w:val="24"/>
          <w:lang w:eastAsia="it-IT"/>
        </w:rPr>
        <w:lastRenderedPageBreak/>
        <w:t>sul tema del cyberbullismo, ai sensi dell’articolo 1, comma 2, del decreto-legge 16 luglio 2020, n. 76, così come modificato dal decreto-legge 31 maggio 2021, n. 77, convertito, con modificazioni, dalla legge 29 luglio 2021, n. 108;</w:t>
      </w:r>
    </w:p>
    <w:p w14:paraId="62D77044"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 “</w:t>
      </w:r>
      <w:r w:rsidRPr="00F56356">
        <w:rPr>
          <w:rFonts w:ascii="Times New Roman" w:eastAsia="Times New Roman" w:hAnsi="Times New Roman" w:cs="Times New Roman"/>
          <w:i/>
          <w:color w:val="000000" w:themeColor="text1"/>
          <w:sz w:val="24"/>
          <w:szCs w:val="24"/>
          <w:lang w:eastAsia="it-IT"/>
        </w:rPr>
        <w:t>Fondo per il finanziamento delle iniziative relative alla promozione e al potenziamento dei centri estivi, i servizi socioeducativi territoriali e i centri con funzione educativa e ricreativa per minori”</w:t>
      </w:r>
      <w:r w:rsidRPr="00F56356">
        <w:rPr>
          <w:rFonts w:ascii="Times New Roman" w:eastAsia="Times New Roman" w:hAnsi="Times New Roman" w:cs="Times New Roman"/>
          <w:color w:val="000000" w:themeColor="text1"/>
          <w:sz w:val="24"/>
          <w:szCs w:val="24"/>
          <w:lang w:eastAsia="it-IT"/>
        </w:rPr>
        <w:t xml:space="preserve"> (cap. 541)</w:t>
      </w:r>
    </w:p>
    <w:p w14:paraId="7DFABC56"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58.000.447,87, di cui:</w:t>
      </w:r>
    </w:p>
    <w:p w14:paraId="17183511"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58.000.000,00 a favore dei Comuni per il finanziamento di cui all’articolo 39 del decreto- legge 21 giugno 2022, n. 73, convertito, con modificazioni, dalla legge 4 agosto 2022, n. 122, per iniziative, anche in collaborazione con enti pubblici e privati, di promozione e di potenziamento di attività, incluse quelle rivolte a contrastare e favorire il recupero rispetto alle criticità emerse per l’impatto dello stress pandemico sul benessere psico-fisico e sui percorsi di sviluppo e crescita dei minori, nonché quelle finalizzate alla promozione, tra i bambini e le bambine, dello studio delle materie STEM, da svolgere presso i centri estivi, i servizi socioeducativi territoriali e i centri con funzione educativa e ricreativa per i minori;</w:t>
      </w:r>
    </w:p>
    <w:p w14:paraId="16B8908A"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447,87 a titolo di restituzione al Comune di Quintano della somma erroneamente riversata al Dipartimento per il finanziamento di cui all’articolo 63 del decreto-legge 25 maggio 2021, n. 73, convertito, con modificazioni, dalla legge 23 luglio 2021, n. 106, recante misure urgenti connesse all’emergenza da Covid-19, per le imprese, il lavoro, i giovani, la salute e i servizi territoriali; </w:t>
      </w:r>
    </w:p>
    <w:p w14:paraId="418DBCEC"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o) “</w:t>
      </w:r>
      <w:r w:rsidRPr="00F56356">
        <w:rPr>
          <w:rFonts w:ascii="Times New Roman" w:eastAsia="Times New Roman" w:hAnsi="Times New Roman" w:cs="Times New Roman"/>
          <w:i/>
          <w:color w:val="000000" w:themeColor="text1"/>
          <w:sz w:val="24"/>
          <w:szCs w:val="24"/>
          <w:lang w:eastAsia="it-IT"/>
        </w:rPr>
        <w:t>Fondo per le politiche per la famiglia”</w:t>
      </w:r>
      <w:r w:rsidRPr="00F56356">
        <w:rPr>
          <w:rFonts w:ascii="Times New Roman" w:eastAsia="Times New Roman" w:hAnsi="Times New Roman" w:cs="Times New Roman"/>
          <w:color w:val="000000" w:themeColor="text1"/>
          <w:sz w:val="24"/>
          <w:szCs w:val="24"/>
          <w:lang w:eastAsia="it-IT"/>
        </w:rPr>
        <w:t xml:space="preserve"> (cap. 858) </w:t>
      </w:r>
    </w:p>
    <w:p w14:paraId="75958BD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53.977.338,67, di cui:</w:t>
      </w:r>
    </w:p>
    <w:p w14:paraId="0521A1DA"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2.724.200,55 riferiti a reiscrizioni di residui passivi perenti;</w:t>
      </w:r>
    </w:p>
    <w:p w14:paraId="764AE243"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30.000.000,00 a favore delle Regioni, a seguito dell’adozione in data 19 luglio 2022 del decreto di riparto del Fondo per le politiche della famiglia per l’anno 2022, per il finanziamento di interventi di competenza regionale e degli enti locali volti alla prosecuzione di iniziative destinate a favorire il supporto delle attività svolte dai Centri per le famiglie e, nell’ambito delle competenze sociali, dei consultori familiari, a sostegno della natalità e della genitorialità, di interventi volti alla promozione di politiche di benessere familiare attraverso l’armonizzazione dei tempi di cura della famiglia e di lavoro, sviluppate anche tramite collaborazioni regionali e interregionali;</w:t>
      </w:r>
    </w:p>
    <w:p w14:paraId="31D71BC7"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685.000,00 alla stipula dell’Accordo di collaborazione con l’Istituto degli Innocenti di Firenze del 21 ottobre 2022 per la prosecuzione e l’implementazione delle attività inerenti </w:t>
      </w:r>
      <w:proofErr w:type="gramStart"/>
      <w:r w:rsidRPr="00F56356">
        <w:rPr>
          <w:rFonts w:ascii="Times New Roman" w:eastAsia="Times New Roman" w:hAnsi="Times New Roman" w:cs="Times New Roman"/>
          <w:color w:val="000000" w:themeColor="text1"/>
          <w:sz w:val="24"/>
          <w:szCs w:val="24"/>
          <w:lang w:eastAsia="it-IT"/>
        </w:rPr>
        <w:t>il</w:t>
      </w:r>
      <w:proofErr w:type="gramEnd"/>
      <w:r w:rsidRPr="00F56356">
        <w:rPr>
          <w:rFonts w:ascii="Times New Roman" w:eastAsia="Times New Roman" w:hAnsi="Times New Roman" w:cs="Times New Roman"/>
          <w:color w:val="000000" w:themeColor="text1"/>
          <w:sz w:val="24"/>
          <w:szCs w:val="24"/>
          <w:lang w:eastAsia="it-IT"/>
        </w:rPr>
        <w:t xml:space="preserve"> Servizio di informazione, di promozione, di consulenza, di monitoraggio e di supporto tecnico per la realizzazione delle finalità di cui alla legge 28 agosto 1997, n. 285;</w:t>
      </w:r>
    </w:p>
    <w:p w14:paraId="24516973"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968.519,24 alla stipula dell’Accordo di collaborazione triennale con l’Istituto nazionale per l’analisi delle politiche pubbliche (INAPP) del 31 dicembre 2022, concernente azioni e attività </w:t>
      </w:r>
      <w:r w:rsidRPr="00F56356">
        <w:rPr>
          <w:rFonts w:ascii="Times New Roman" w:eastAsia="Times New Roman" w:hAnsi="Times New Roman" w:cs="Times New Roman"/>
          <w:color w:val="000000" w:themeColor="text1"/>
          <w:sz w:val="24"/>
          <w:szCs w:val="24"/>
          <w:lang w:eastAsia="it-IT"/>
        </w:rPr>
        <w:lastRenderedPageBreak/>
        <w:t xml:space="preserve">finalizzate all’elaborazione di politiche e interventi a favore dell’invecchiamento e della long </w:t>
      </w:r>
      <w:proofErr w:type="spellStart"/>
      <w:r w:rsidRPr="00F56356">
        <w:rPr>
          <w:rFonts w:ascii="Times New Roman" w:eastAsia="Times New Roman" w:hAnsi="Times New Roman" w:cs="Times New Roman"/>
          <w:color w:val="000000" w:themeColor="text1"/>
          <w:sz w:val="24"/>
          <w:szCs w:val="24"/>
          <w:lang w:eastAsia="it-IT"/>
        </w:rPr>
        <w:t>term</w:t>
      </w:r>
      <w:proofErr w:type="spellEnd"/>
      <w:r w:rsidRPr="00F56356">
        <w:rPr>
          <w:rFonts w:ascii="Times New Roman" w:eastAsia="Times New Roman" w:hAnsi="Times New Roman" w:cs="Times New Roman"/>
          <w:color w:val="000000" w:themeColor="text1"/>
          <w:sz w:val="24"/>
          <w:szCs w:val="24"/>
          <w:lang w:eastAsia="it-IT"/>
        </w:rPr>
        <w:t xml:space="preserve"> care, in raccordo con le attività già avviate dal Dipartimento, insieme a IRCSS-INRCA, con il Progetto di coordinamento nazionale partecipato multilivello delle politiche sull’invecchiamento attivo, nonché in funzione di collaborazione con gli organismi nazionali e internazionali deputati all’attuazione, al monitoraggio e alla valutazione dell’attuazione del MIPAA, e con lo Standing </w:t>
      </w:r>
      <w:proofErr w:type="spellStart"/>
      <w:r w:rsidRPr="00F56356">
        <w:rPr>
          <w:rFonts w:ascii="Times New Roman" w:eastAsia="Times New Roman" w:hAnsi="Times New Roman" w:cs="Times New Roman"/>
          <w:color w:val="000000" w:themeColor="text1"/>
          <w:sz w:val="24"/>
          <w:szCs w:val="24"/>
          <w:lang w:eastAsia="it-IT"/>
        </w:rPr>
        <w:t>working</w:t>
      </w:r>
      <w:proofErr w:type="spellEnd"/>
      <w:r w:rsidRPr="00F56356">
        <w:rPr>
          <w:rFonts w:ascii="Times New Roman" w:eastAsia="Times New Roman" w:hAnsi="Times New Roman" w:cs="Times New Roman"/>
          <w:color w:val="000000" w:themeColor="text1"/>
          <w:sz w:val="24"/>
          <w:szCs w:val="24"/>
          <w:lang w:eastAsia="it-IT"/>
        </w:rPr>
        <w:t xml:space="preserve"> group on </w:t>
      </w:r>
      <w:proofErr w:type="spellStart"/>
      <w:r w:rsidRPr="00F56356">
        <w:rPr>
          <w:rFonts w:ascii="Times New Roman" w:eastAsia="Times New Roman" w:hAnsi="Times New Roman" w:cs="Times New Roman"/>
          <w:color w:val="000000" w:themeColor="text1"/>
          <w:sz w:val="24"/>
          <w:szCs w:val="24"/>
          <w:lang w:eastAsia="it-IT"/>
        </w:rPr>
        <w:t>ageing</w:t>
      </w:r>
      <w:proofErr w:type="spellEnd"/>
      <w:r w:rsidRPr="00F56356">
        <w:rPr>
          <w:rFonts w:ascii="Times New Roman" w:eastAsia="Times New Roman" w:hAnsi="Times New Roman" w:cs="Times New Roman"/>
          <w:color w:val="000000" w:themeColor="text1"/>
          <w:sz w:val="24"/>
          <w:szCs w:val="24"/>
          <w:lang w:eastAsia="it-IT"/>
        </w:rPr>
        <w:t xml:space="preserve"> dell’UNECE;</w:t>
      </w:r>
    </w:p>
    <w:p w14:paraId="6247378B"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58.000,00 al finanziamento delle proposte progettuali presentate ai sensi dell’Avviso pubblico del 10 giugno 2020 per il finanziamento di progetti di educazione non formale e informale e di attività ludiche per l’empowerment dell’infanzia e dell’adolescenza – “</w:t>
      </w:r>
      <w:proofErr w:type="spellStart"/>
      <w:r w:rsidRPr="00F56356">
        <w:rPr>
          <w:rFonts w:ascii="Times New Roman" w:eastAsia="Times New Roman" w:hAnsi="Times New Roman" w:cs="Times New Roman"/>
          <w:color w:val="000000" w:themeColor="text1"/>
          <w:sz w:val="24"/>
          <w:szCs w:val="24"/>
          <w:lang w:eastAsia="it-IT"/>
        </w:rPr>
        <w:t>EduCare</w:t>
      </w:r>
      <w:proofErr w:type="spellEnd"/>
      <w:r w:rsidRPr="00F56356">
        <w:rPr>
          <w:rFonts w:ascii="Times New Roman" w:eastAsia="Times New Roman" w:hAnsi="Times New Roman" w:cs="Times New Roman"/>
          <w:color w:val="000000" w:themeColor="text1"/>
          <w:sz w:val="24"/>
          <w:szCs w:val="24"/>
          <w:lang w:eastAsia="it-IT"/>
        </w:rPr>
        <w:t>”;</w:t>
      </w:r>
    </w:p>
    <w:p w14:paraId="612AB65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2.000.000,00 quale versamento all’entrata del bilancio delle Stato, ai sensi dell’articolo 39 del decreto-legge 21 giugno 2022,</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n. 73, convertito, con modificazioni, dalla legge 4 agosto 2022, n. 122 – Misure per favorire il benessere dei minorenni e per il contrasto alla povertà educativa;</w:t>
      </w:r>
    </w:p>
    <w:p w14:paraId="3EA34369"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397.720,00 alle spese di organizzazione per l’acquisizione di un servizio congressuale per l’organizzazione della conferenza di lancio della strategia del Consiglio d’Europa per i diritti dell’infanzia e adolescenza (2022-2027) che si è svolta a Roma dal 6 all’8 aprile 2022;</w:t>
      </w:r>
    </w:p>
    <w:p w14:paraId="185DF86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7.930,00 all’acquisizione di un servizio di moderazione in occasione della conferenza di lancio della Strategia del Consiglio d’Europa per i diritti dell’infanzia e adolescenza (2022-2027) che si è svolta a Roma dal 6 all’8 aprile 2022;</w:t>
      </w:r>
    </w:p>
    <w:p w14:paraId="680E3D8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80.000,00 quale contributo al rimborso parziale delle spese per la realizzazione di progetti culturali e sociali di alta rilevanza, sostenute da soggetti pubblici o privati, di cui all’articolo 2, comma 3, del decreto del Presidente del Consiglio dei ministri 22 novembre 2010; </w:t>
      </w:r>
    </w:p>
    <w:p w14:paraId="055C8A1E"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473.658,90 alle spese di organizzazione e servizi aggiuntivi per l’acquisizione di un servizio congressuale per l’organizzazione della V Conferenza Ministeriale sull’invecchiamento che si è svolta a Roma dal 15 al 17 giugno 2022;</w:t>
      </w:r>
    </w:p>
    <w:p w14:paraId="4A2B5B58"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460.000,00 alla stipula della Convenzione con </w:t>
      </w:r>
      <w:proofErr w:type="spellStart"/>
      <w:r w:rsidRPr="00F56356">
        <w:rPr>
          <w:rFonts w:ascii="Times New Roman" w:eastAsia="Times New Roman" w:hAnsi="Times New Roman" w:cs="Times New Roman"/>
          <w:color w:val="000000" w:themeColor="text1"/>
          <w:sz w:val="24"/>
          <w:szCs w:val="24"/>
          <w:lang w:eastAsia="it-IT"/>
        </w:rPr>
        <w:t>Formez</w:t>
      </w:r>
      <w:proofErr w:type="spellEnd"/>
      <w:r w:rsidRPr="00F56356">
        <w:rPr>
          <w:rFonts w:ascii="Times New Roman" w:eastAsia="Times New Roman" w:hAnsi="Times New Roman" w:cs="Times New Roman"/>
          <w:color w:val="000000" w:themeColor="text1"/>
          <w:sz w:val="24"/>
          <w:szCs w:val="24"/>
          <w:lang w:eastAsia="it-IT"/>
        </w:rPr>
        <w:t xml:space="preserve"> PA in data 22 luglio 2021 per lo svolgimento delle attività inerenti </w:t>
      </w:r>
      <w:proofErr w:type="gramStart"/>
      <w:r w:rsidRPr="00F56356">
        <w:rPr>
          <w:rFonts w:ascii="Times New Roman" w:eastAsia="Times New Roman" w:hAnsi="Times New Roman" w:cs="Times New Roman"/>
          <w:color w:val="000000" w:themeColor="text1"/>
          <w:sz w:val="24"/>
          <w:szCs w:val="24"/>
          <w:lang w:eastAsia="it-IT"/>
        </w:rPr>
        <w:t>l’assistenza</w:t>
      </w:r>
      <w:proofErr w:type="gramEnd"/>
      <w:r w:rsidRPr="00F56356">
        <w:rPr>
          <w:rFonts w:ascii="Times New Roman" w:eastAsia="Times New Roman" w:hAnsi="Times New Roman" w:cs="Times New Roman"/>
          <w:color w:val="000000" w:themeColor="text1"/>
          <w:sz w:val="24"/>
          <w:szCs w:val="24"/>
          <w:lang w:eastAsia="it-IT"/>
        </w:rPr>
        <w:t xml:space="preserve"> tecnica per l’esame, il monitoraggio e la rendicontazione degli Avvisi di competenza del Dipartimento per le politiche della famiglia;</w:t>
      </w:r>
    </w:p>
    <w:p w14:paraId="7C5C0C84"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406.872,50 al finanziamento delle proposte progettuali presentate ai sensi dell’Avviso del 30 dicembre 2021 per il finanziamento di progetti di assistenza psicologica o psicosociologica a favore dei genitori che subiscono gravi disagi sociali e psicologici in conseguenza della morte del figlio;</w:t>
      </w:r>
    </w:p>
    <w:p w14:paraId="72592414"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239.730,61 alla stipula dell’Atto aggiuntivo della Convenzione con </w:t>
      </w:r>
      <w:proofErr w:type="spellStart"/>
      <w:r w:rsidRPr="00F56356">
        <w:rPr>
          <w:rFonts w:ascii="Times New Roman" w:eastAsia="Times New Roman" w:hAnsi="Times New Roman" w:cs="Times New Roman"/>
          <w:color w:val="000000" w:themeColor="text1"/>
          <w:sz w:val="24"/>
          <w:szCs w:val="24"/>
          <w:lang w:eastAsia="it-IT"/>
        </w:rPr>
        <w:t>Eutalia</w:t>
      </w:r>
      <w:proofErr w:type="spellEnd"/>
      <w:r w:rsidRPr="00F56356">
        <w:rPr>
          <w:rFonts w:ascii="Times New Roman" w:eastAsia="Times New Roman" w:hAnsi="Times New Roman" w:cs="Times New Roman"/>
          <w:color w:val="000000" w:themeColor="text1"/>
          <w:sz w:val="24"/>
          <w:szCs w:val="24"/>
          <w:lang w:eastAsia="it-IT"/>
        </w:rPr>
        <w:t xml:space="preserve"> S.r.l. del 22 luglio 2021, in merito alle attività di assistenza tecnica sull’Avviso Educare insieme;</w:t>
      </w:r>
    </w:p>
    <w:p w14:paraId="60CA047B"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396.436,19 alla diffusione attraverso stampa, internet, radio e TV della campagna di comunicazione relativa all’assegno unico universale;</w:t>
      </w:r>
    </w:p>
    <w:p w14:paraId="411ACE35"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6.225,00 all’acquisizione di un servizio di moderazione in occasione della Conferenza Nazionale sulla famiglia tenutasi a Roma dal 3 al 4 dicembre 2021;</w:t>
      </w:r>
    </w:p>
    <w:p w14:paraId="3C6593D5"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60.390,00 alla diffusione, attraverso i social media, della campagna di comunicazione relativa all’assegno unico universale;</w:t>
      </w:r>
    </w:p>
    <w:p w14:paraId="1FE51E49"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12.655,68 alle spese di organizzazione per l’acquisizione, ai sensi dell’articolo 36, comma 2, lettera a), del decreto legislativo 18 aprile 2016, n. 50, di un servizio congressuale per l’organizzazione dell’evento celebrativo della Giornata nazionale dei diritti dell’infanzia e dell’adolescenza presso il MAXXI, in occasione dell’evento per la Giornata nazionale sull’infanzia e dell’adolescenza tenutosi a Roma il 19 novembre 2022;</w:t>
      </w:r>
    </w:p>
    <w:p w14:paraId="33C78A12"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14.811.777,19 al finanziamento delle proposte progettuali, presentate ai sensi dell’Avviso pubblico del 1° dicembre 2020, per il contrasto della povertà educativa e il sostegno delle opportunità culturali e educative di persone minorenni “</w:t>
      </w:r>
      <w:proofErr w:type="spellStart"/>
      <w:r w:rsidRPr="00F56356">
        <w:rPr>
          <w:rFonts w:ascii="Times New Roman" w:eastAsia="Times New Roman" w:hAnsi="Times New Roman" w:cs="Times New Roman"/>
          <w:color w:val="000000" w:themeColor="text1"/>
          <w:sz w:val="24"/>
          <w:szCs w:val="24"/>
          <w:lang w:eastAsia="it-IT"/>
        </w:rPr>
        <w:t>EduCare</w:t>
      </w:r>
      <w:proofErr w:type="spellEnd"/>
      <w:r w:rsidRPr="00F56356">
        <w:rPr>
          <w:rFonts w:ascii="Times New Roman" w:eastAsia="Times New Roman" w:hAnsi="Times New Roman" w:cs="Times New Roman"/>
          <w:color w:val="000000" w:themeColor="text1"/>
          <w:sz w:val="24"/>
          <w:szCs w:val="24"/>
          <w:lang w:eastAsia="it-IT"/>
        </w:rPr>
        <w:t xml:space="preserve"> in comune” aree tematiche A, B e C;</w:t>
      </w:r>
    </w:p>
    <w:p w14:paraId="0908AD2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188.222,81 quale versamento all’entrata del bilancio delle Stato per restituzione di somme non utilizzate, ai sensi dell’articolo 265, comma 9, del decreto-legge 19 maggio 2020, n. 34, convertito, con modificazioni, dalla legge 17 luglio 2020, n. 77.</w:t>
      </w:r>
    </w:p>
    <w:p w14:paraId="2CE892FB"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715B75C8"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5CC26840"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9263CFD"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AFE724E"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E73DD3F"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DFB9B98" w14:textId="77777777" w:rsidR="00F56356" w:rsidRPr="00F56356" w:rsidRDefault="00F56356" w:rsidP="00F56356">
      <w:pPr>
        <w:tabs>
          <w:tab w:val="left" w:pos="-284"/>
          <w:tab w:val="left" w:pos="11057"/>
        </w:tabs>
        <w:spacing w:after="0" w:line="360" w:lineRule="auto"/>
        <w:ind w:left="284"/>
        <w:jc w:val="both"/>
        <w:rPr>
          <w:rFonts w:ascii="Times New Roman" w:eastAsia="Times New Roman" w:hAnsi="Times New Roman" w:cs="Times New Roman"/>
          <w:color w:val="000000" w:themeColor="text1"/>
          <w:sz w:val="24"/>
          <w:szCs w:val="24"/>
          <w:lang w:eastAsia="it-IT"/>
        </w:rPr>
      </w:pPr>
    </w:p>
    <w:p w14:paraId="488CEAAA" w14:textId="77777777" w:rsidR="00F56356" w:rsidRPr="00F56356" w:rsidRDefault="00F56356" w:rsidP="00F56356">
      <w:pPr>
        <w:tabs>
          <w:tab w:val="left" w:pos="-284"/>
          <w:tab w:val="left" w:pos="11057"/>
        </w:tabs>
        <w:spacing w:after="0" w:line="360" w:lineRule="auto"/>
        <w:ind w:left="284"/>
        <w:jc w:val="center"/>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16608" behindDoc="1" locked="0" layoutInCell="1" allowOverlap="1" wp14:anchorId="7AFE6548" wp14:editId="0C807990">
            <wp:simplePos x="0" y="0"/>
            <wp:positionH relativeFrom="column">
              <wp:posOffset>184785</wp:posOffset>
            </wp:positionH>
            <wp:positionV relativeFrom="paragraph">
              <wp:posOffset>262255</wp:posOffset>
            </wp:positionV>
            <wp:extent cx="5934075" cy="3300095"/>
            <wp:effectExtent l="0" t="0" r="9525" b="0"/>
            <wp:wrapTight wrapText="bothSides">
              <wp:wrapPolygon edited="0">
                <wp:start x="0" y="0"/>
                <wp:lineTo x="0" y="21446"/>
                <wp:lineTo x="11927" y="21446"/>
                <wp:lineTo x="14146" y="21322"/>
                <wp:lineTo x="21565" y="20324"/>
                <wp:lineTo x="21565" y="3491"/>
                <wp:lineTo x="21219" y="1995"/>
                <wp:lineTo x="21496" y="1995"/>
                <wp:lineTo x="21565" y="1496"/>
                <wp:lineTo x="21565" y="0"/>
                <wp:lineTo x="0" y="0"/>
              </wp:wrapPolygon>
            </wp:wrapTight>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4075" cy="330009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61134A6E" w14:textId="77777777" w:rsidR="00F56356" w:rsidRPr="00F56356" w:rsidRDefault="00F56356" w:rsidP="00F56356">
      <w:pPr>
        <w:tabs>
          <w:tab w:val="left" w:pos="2775"/>
        </w:tabs>
        <w:autoSpaceDE w:val="0"/>
        <w:autoSpaceDN w:val="0"/>
        <w:adjustRightInd w:val="0"/>
        <w:spacing w:after="0" w:line="360" w:lineRule="auto"/>
        <w:ind w:left="284"/>
        <w:jc w:val="both"/>
        <w:rPr>
          <w:rFonts w:ascii="Times New Roman" w:eastAsia="Times New Roman" w:hAnsi="Times New Roman" w:cs="Times New Roman"/>
          <w:color w:val="FF0000"/>
          <w:sz w:val="24"/>
          <w:szCs w:val="24"/>
          <w:lang w:eastAsia="it-IT"/>
        </w:rPr>
      </w:pPr>
    </w:p>
    <w:p w14:paraId="3C1B5386" w14:textId="77777777" w:rsidR="00F56356" w:rsidRPr="00F56356" w:rsidRDefault="00F56356" w:rsidP="00F56356">
      <w:pPr>
        <w:tabs>
          <w:tab w:val="left" w:pos="2775"/>
        </w:tabs>
        <w:autoSpaceDE w:val="0"/>
        <w:autoSpaceDN w:val="0"/>
        <w:adjustRightInd w:val="0"/>
        <w:spacing w:after="0" w:line="360" w:lineRule="auto"/>
        <w:ind w:left="3960" w:hanging="3676"/>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r w:rsidRPr="00F56356">
        <w:rPr>
          <w:rFonts w:ascii="Times New Roman" w:eastAsia="Times New Roman" w:hAnsi="Times New Roman" w:cs="Times New Roman"/>
          <w:color w:val="FF0000"/>
          <w:sz w:val="24"/>
          <w:szCs w:val="24"/>
          <w:lang w:eastAsia="it-IT"/>
        </w:rPr>
        <w:tab/>
      </w:r>
    </w:p>
    <w:p w14:paraId="7F60154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scostamenti tra gli indicatori di bilancio attesi e realizzati sono stati determinati: </w:t>
      </w:r>
    </w:p>
    <w:p w14:paraId="241DC16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per il capitolo 824, relativo alle spese di missioni, alla corresponsione della diaria spettante al Ministro quale membro del Governo non parlamentare e al rimborso per le spese di trasporto da Roma alla località di residenza e viceversa del Ministro, dalla cessazione della carica del Ministro nel mese di ottobre 2022;</w:t>
      </w:r>
    </w:p>
    <w:p w14:paraId="249065B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833 - </w:t>
      </w:r>
      <w:r w:rsidRPr="00F56356">
        <w:rPr>
          <w:rFonts w:ascii="Times New Roman" w:eastAsia="Times New Roman" w:hAnsi="Times New Roman" w:cs="Times New Roman"/>
          <w:i/>
          <w:iCs/>
          <w:color w:val="000000" w:themeColor="text1"/>
          <w:sz w:val="24"/>
          <w:szCs w:val="24"/>
          <w:lang w:eastAsia="it-IT"/>
        </w:rPr>
        <w:t>Spese per studi indagini e rilevazioni</w:t>
      </w:r>
      <w:r w:rsidRPr="00F56356">
        <w:rPr>
          <w:rFonts w:ascii="Times New Roman" w:eastAsia="Times New Roman" w:hAnsi="Times New Roman" w:cs="Times New Roman"/>
          <w:color w:val="000000" w:themeColor="text1"/>
          <w:sz w:val="24"/>
          <w:szCs w:val="24"/>
          <w:lang w:eastAsia="it-IT"/>
        </w:rPr>
        <w:t>, dal proseguimento dell’azione di contenimento della spesa</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per il funzionamento; pertanto, non è stato effettuato alcun affidamento;</w:t>
      </w:r>
    </w:p>
    <w:p w14:paraId="529A7E76"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518 - </w:t>
      </w:r>
      <w:r w:rsidRPr="00F56356">
        <w:rPr>
          <w:rFonts w:ascii="Times New Roman" w:eastAsia="Times New Roman" w:hAnsi="Times New Roman" w:cs="Times New Roman"/>
          <w:i/>
          <w:color w:val="000000" w:themeColor="text1"/>
          <w:sz w:val="24"/>
          <w:szCs w:val="24"/>
          <w:lang w:eastAsia="it-IT"/>
        </w:rPr>
        <w:t xml:space="preserve">Spese per l’esecuzione della Convenzione stipulata all’Aja il 29 maggio 1993 per la tutela dei minori e la cooperazione in materia di adozione internazionale. Spese in tema di adozione di minori stranieri. Spese per il funzionamento della Commissione per le adozioni internazionali, </w:t>
      </w: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sz w:val="24"/>
          <w:szCs w:val="24"/>
          <w:lang w:eastAsia="it-IT"/>
        </w:rPr>
        <w:t xml:space="preserve">all’intervenuta criticità, non ascrivibile alla Segreteria tecnica, dovuta ai necessari supplementi istruttori richiesti sui progetti di cooperazione internazionale, nel corso dell’anno 2022, dal Comitato di monitoraggio dei progetti agli Enti beneficiari per approfondimenti e integrazioni in relazione alla valutazione dei risultati raggiunti e alla documentazione relativa alle fonti di verifica, che ha determinato l’impossibilità dell’erogazione della seconda tranche di finanziamento. Inoltre, con riferimento al nuovo Bando di sostegno alla cooperazione internazionale pubblicato il 16 giugno 2022, non sono state impegnate né erogate le risorse finanziarie, a titolo di anticipo, agli Enti autorizzati, di cui all’articolo 39-ter della legge 4 maggio 1983, n. 184, per i ritardi dell’iter procedurale, atteso che le risorse possono essere impegnate ed erogate successivamente alla sottoscrizione da parte della CAI e degli Enti autorizzati delle Convenzioni che disciplinano le </w:t>
      </w:r>
      <w:r w:rsidRPr="00F56356">
        <w:rPr>
          <w:rFonts w:ascii="Times New Roman" w:eastAsia="Times New Roman" w:hAnsi="Times New Roman" w:cs="Times New Roman"/>
          <w:sz w:val="24"/>
          <w:szCs w:val="24"/>
          <w:lang w:eastAsia="it-IT"/>
        </w:rPr>
        <w:lastRenderedPageBreak/>
        <w:t>modalità di esecuzione dei progetti. Pertanto, le risorse finanziarie saranno impegnate a valle della sottoscrizione delle Convenzioni dopo l’approvazione delle due graduatorie relative ai continenti Africa e America Latina, avvenuta nella seduta della CAI del 27 febbraio 2023. Alla scadenza del citato Bando (5 ottobre 2022), a fronte delle 19 proposte progettuali presentate dagli Enti entro il mese di novembre 2022 è stata completata l’attività amministrativa volta all’accettazione e istruttoria di tutte le 19 proposte progettuali e nella riunione della CAI del 30 novembre 2022 è stata deliberata l’approvazione della prima graduatoria relativa al Continente Asia;</w:t>
      </w:r>
    </w:p>
    <w:p w14:paraId="0BF24711" w14:textId="77777777" w:rsidR="00F56356" w:rsidRPr="00F56356" w:rsidRDefault="00F56356" w:rsidP="00F56356">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d) per il capitolo 519 -</w:t>
      </w:r>
      <w:r w:rsidRPr="00F56356">
        <w:rPr>
          <w:rFonts w:ascii="Times New Roman" w:eastAsia="Times New Roman" w:hAnsi="Times New Roman" w:cs="Times New Roman"/>
          <w:i/>
          <w:color w:val="000000" w:themeColor="text1"/>
          <w:sz w:val="24"/>
          <w:szCs w:val="24"/>
          <w:lang w:eastAsia="it-IT"/>
        </w:rPr>
        <w:t xml:space="preserve"> Spese per le attività di contrasto alla pedofilia, </w:t>
      </w:r>
      <w:r w:rsidRPr="00F56356">
        <w:rPr>
          <w:rFonts w:ascii="Times New Roman" w:eastAsia="Times New Roman" w:hAnsi="Times New Roman" w:cs="Times New Roman"/>
          <w:sz w:val="24"/>
          <w:szCs w:val="24"/>
          <w:lang w:eastAsia="it-IT"/>
        </w:rPr>
        <w:t xml:space="preserve">dalla mancata presentazione delle richieste di erogazione delle seconde </w:t>
      </w:r>
      <w:proofErr w:type="spellStart"/>
      <w:r w:rsidRPr="00F56356">
        <w:rPr>
          <w:rFonts w:ascii="Times New Roman" w:eastAsia="Times New Roman" w:hAnsi="Times New Roman" w:cs="Times New Roman"/>
          <w:iCs/>
          <w:sz w:val="24"/>
          <w:szCs w:val="24"/>
          <w:lang w:eastAsia="it-IT"/>
        </w:rPr>
        <w:t>tranches</w:t>
      </w:r>
      <w:proofErr w:type="spellEnd"/>
      <w:r w:rsidRPr="00F56356">
        <w:rPr>
          <w:rFonts w:ascii="Times New Roman" w:eastAsia="Times New Roman" w:hAnsi="Times New Roman" w:cs="Times New Roman"/>
          <w:iCs/>
          <w:sz w:val="24"/>
          <w:szCs w:val="24"/>
          <w:lang w:eastAsia="it-IT"/>
        </w:rPr>
        <w:t xml:space="preserve"> </w:t>
      </w:r>
      <w:r w:rsidRPr="00F56356">
        <w:rPr>
          <w:rFonts w:ascii="Times New Roman" w:eastAsia="Times New Roman" w:hAnsi="Times New Roman" w:cs="Times New Roman"/>
          <w:sz w:val="24"/>
          <w:szCs w:val="24"/>
          <w:lang w:eastAsia="it-IT"/>
        </w:rPr>
        <w:t xml:space="preserve">di contributi da parte dei beneficiari dell’Avviso pubblico per il finanziamento delle proposte progettuali inerenti </w:t>
      </w:r>
      <w:proofErr w:type="gramStart"/>
      <w:r w:rsidRPr="00F56356">
        <w:rPr>
          <w:rFonts w:ascii="Times New Roman" w:eastAsia="Times New Roman" w:hAnsi="Times New Roman" w:cs="Times New Roman"/>
          <w:sz w:val="24"/>
          <w:szCs w:val="24"/>
          <w:lang w:eastAsia="it-IT"/>
        </w:rPr>
        <w:t>la</w:t>
      </w:r>
      <w:proofErr w:type="gramEnd"/>
      <w:r w:rsidRPr="00F56356">
        <w:rPr>
          <w:rFonts w:ascii="Times New Roman" w:eastAsia="Times New Roman" w:hAnsi="Times New Roman" w:cs="Times New Roman"/>
          <w:sz w:val="24"/>
          <w:szCs w:val="24"/>
          <w:lang w:eastAsia="it-IT"/>
        </w:rPr>
        <w:t xml:space="preserve"> protezione e il sostegno dei minori vittime di abuso e sfruttamento sessuale, entro i termini previsti per la chiusura delle operazioni contabili dell’esercizio finanziario 2022;</w:t>
      </w:r>
    </w:p>
    <w:p w14:paraId="689D149D" w14:textId="77777777" w:rsidR="00F56356" w:rsidRPr="00F56356" w:rsidRDefault="00F56356" w:rsidP="00F56356">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sz w:val="24"/>
          <w:szCs w:val="24"/>
          <w:lang w:eastAsia="it-IT"/>
        </w:rPr>
      </w:pPr>
      <w:bookmarkStart w:id="59" w:name="_Hlk134008165"/>
      <w:r w:rsidRPr="00F56356">
        <w:rPr>
          <w:rFonts w:ascii="Times New Roman" w:eastAsia="Times New Roman" w:hAnsi="Times New Roman" w:cs="Times New Roman"/>
          <w:sz w:val="24"/>
          <w:szCs w:val="24"/>
          <w:lang w:eastAsia="it-IT"/>
        </w:rPr>
        <w:t xml:space="preserve">e) per il capitolo 524 - </w:t>
      </w:r>
      <w:r w:rsidRPr="00F56356">
        <w:rPr>
          <w:rFonts w:ascii="Times New Roman" w:eastAsia="Times New Roman" w:hAnsi="Times New Roman" w:cs="Times New Roman"/>
          <w:i/>
          <w:iCs/>
          <w:sz w:val="24"/>
          <w:szCs w:val="24"/>
          <w:lang w:eastAsia="it-IT"/>
        </w:rPr>
        <w:t>Spese di natura obbligatoria dell’Ufficio dell’Autorità Garante per l’infanzia e l’adolescenza,</w:t>
      </w:r>
      <w:r w:rsidRPr="00F56356">
        <w:rPr>
          <w:rFonts w:ascii="Times New Roman" w:eastAsia="Times New Roman" w:hAnsi="Times New Roman" w:cs="Times New Roman"/>
          <w:sz w:val="24"/>
          <w:szCs w:val="24"/>
          <w:lang w:eastAsia="it-IT"/>
        </w:rPr>
        <w:t xml:space="preserve"> relativamente alla capacità di pagamento, </w:t>
      </w:r>
      <w:bookmarkEnd w:id="59"/>
      <w:r w:rsidRPr="00F56356">
        <w:rPr>
          <w:rFonts w:ascii="Times New Roman" w:eastAsia="Times New Roman" w:hAnsi="Times New Roman" w:cs="Times New Roman"/>
          <w:sz w:val="24"/>
          <w:szCs w:val="24"/>
          <w:lang w:eastAsia="it-IT"/>
        </w:rPr>
        <w:t>in quanto le relative risorse finanziarie sono state interamente impegnate in data 30 dicembre 2022, oltre i termini per poter procedere al trasferimento delle stesse all’Autorità Garante per l’infanzia e l’adolescenza;</w:t>
      </w:r>
    </w:p>
    <w:p w14:paraId="6D2CC923" w14:textId="77777777" w:rsidR="00F56356" w:rsidRPr="00F56356" w:rsidRDefault="00F56356" w:rsidP="00F56356">
      <w:pPr>
        <w:tabs>
          <w:tab w:val="left" w:pos="11057"/>
        </w:tabs>
        <w:autoSpaceDE w:val="0"/>
        <w:autoSpaceDN w:val="0"/>
        <w:adjustRightInd w:val="0"/>
        <w:spacing w:after="0" w:line="360" w:lineRule="auto"/>
        <w:ind w:left="284" w:right="140"/>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 xml:space="preserve">f) per il capitolo 533 - </w:t>
      </w:r>
      <w:r w:rsidRPr="00F56356">
        <w:rPr>
          <w:rFonts w:ascii="Times New Roman" w:eastAsia="Times New Roman" w:hAnsi="Times New Roman" w:cs="Times New Roman"/>
          <w:i/>
          <w:sz w:val="24"/>
          <w:szCs w:val="24"/>
          <w:lang w:eastAsia="it-IT"/>
        </w:rPr>
        <w:t>Somme per il finanziamento del numero verde di pubblica utilità 114 Emergenza infanzia,</w:t>
      </w:r>
      <w:r w:rsidRPr="00F56356">
        <w:rPr>
          <w:rFonts w:ascii="Times New Roman" w:eastAsia="Times New Roman" w:hAnsi="Times New Roman" w:cs="Times New Roman"/>
          <w:sz w:val="24"/>
          <w:szCs w:val="24"/>
          <w:lang w:eastAsia="it-IT"/>
        </w:rPr>
        <w:t xml:space="preserve"> relativamente alla capacità di pagamento, dalla circostanza che non è stata presentata alcuna rendicontazione di spesa dalla Fondazione SOS Telefono Azzurro Onlus;</w:t>
      </w:r>
    </w:p>
    <w:p w14:paraId="6A2D3873" w14:textId="77777777" w:rsidR="00F56356" w:rsidRPr="00F56356" w:rsidRDefault="00F56356" w:rsidP="00F56356">
      <w:pPr>
        <w:tabs>
          <w:tab w:val="left" w:pos="-284"/>
          <w:tab w:val="left" w:pos="11057"/>
        </w:tabs>
        <w:autoSpaceDE w:val="0"/>
        <w:autoSpaceDN w:val="0"/>
        <w:adjustRightInd w:val="0"/>
        <w:spacing w:after="0" w:line="360" w:lineRule="auto"/>
        <w:ind w:left="284" w:right="-1"/>
        <w:jc w:val="both"/>
        <w:rPr>
          <w:rFonts w:ascii="Times New Roman" w:eastAsia="Calibri" w:hAnsi="Times New Roman" w:cs="Times New Roman"/>
          <w:color w:val="000000"/>
          <w:sz w:val="24"/>
          <w:szCs w:val="24"/>
          <w:lang w:eastAsia="it-IT"/>
        </w:rPr>
      </w:pPr>
      <w:r w:rsidRPr="00F56356">
        <w:rPr>
          <w:rFonts w:ascii="Times New Roman" w:eastAsia="Calibri" w:hAnsi="Times New Roman" w:cs="Times New Roman"/>
          <w:color w:val="000000"/>
          <w:sz w:val="24"/>
          <w:szCs w:val="24"/>
          <w:lang w:eastAsia="it-IT"/>
        </w:rPr>
        <w:t>g) per il capitolo 538 -</w:t>
      </w:r>
      <w:r w:rsidRPr="00F56356">
        <w:rPr>
          <w:rFonts w:ascii="Times New Roman" w:eastAsia="Times New Roman" w:hAnsi="Times New Roman" w:cs="Times New Roman"/>
          <w:sz w:val="24"/>
          <w:szCs w:val="24"/>
          <w:lang w:eastAsia="it-IT"/>
        </w:rPr>
        <w:t xml:space="preserve"> </w:t>
      </w:r>
      <w:r w:rsidRPr="00F56356">
        <w:rPr>
          <w:rFonts w:ascii="Times New Roman" w:eastAsia="Calibri" w:hAnsi="Times New Roman" w:cs="Times New Roman"/>
          <w:i/>
          <w:color w:val="000000"/>
          <w:sz w:val="24"/>
          <w:szCs w:val="24"/>
          <w:lang w:eastAsia="it-IT"/>
        </w:rPr>
        <w:t>Spese per il sostegno delle adozioni internazionali</w:t>
      </w:r>
      <w:r w:rsidRPr="00F56356">
        <w:rPr>
          <w:rFonts w:ascii="Times New Roman" w:eastAsia="Calibri" w:hAnsi="Times New Roman" w:cs="Times New Roman"/>
          <w:color w:val="000000"/>
          <w:sz w:val="24"/>
          <w:szCs w:val="24"/>
          <w:lang w:eastAsia="it-IT"/>
        </w:rPr>
        <w:t xml:space="preserve">, dal fatto che non è stato possibile effettuare l’attività amministrativa volta alla concessione del rimborso in favore delle famiglie adottive per le spese relative ai procedimenti adottivi conclusi nell’anno 2021 in relazione al </w:t>
      </w:r>
      <w:bookmarkStart w:id="60" w:name="_Hlk128743159"/>
      <w:r w:rsidRPr="00F56356">
        <w:rPr>
          <w:rFonts w:ascii="Times New Roman" w:eastAsia="Calibri" w:hAnsi="Times New Roman" w:cs="Times New Roman"/>
          <w:color w:val="000000"/>
          <w:sz w:val="24"/>
          <w:szCs w:val="24"/>
          <w:lang w:eastAsia="it-IT"/>
        </w:rPr>
        <w:t xml:space="preserve">ritardo rilevato nella pubblicazione del decreto del Ministro pro tempore per le pari opportunità e la famiglia, di concerto con il Ministro dell’economia e delle finanze, del 19 settembre 2022 e alla  chiusura della contabilità dell’esercizio finanziario 2022. Infatti, la pubblicazione del suddetto decreto inerente </w:t>
      </w:r>
      <w:proofErr w:type="gramStart"/>
      <w:r w:rsidRPr="00F56356">
        <w:rPr>
          <w:rFonts w:ascii="Times New Roman" w:eastAsia="Calibri" w:hAnsi="Times New Roman" w:cs="Times New Roman"/>
          <w:color w:val="000000"/>
          <w:sz w:val="24"/>
          <w:szCs w:val="24"/>
          <w:lang w:eastAsia="it-IT"/>
        </w:rPr>
        <w:t>la</w:t>
      </w:r>
      <w:proofErr w:type="gramEnd"/>
      <w:r w:rsidRPr="00F56356">
        <w:rPr>
          <w:rFonts w:ascii="Times New Roman" w:eastAsia="Calibri" w:hAnsi="Times New Roman" w:cs="Times New Roman"/>
          <w:color w:val="000000"/>
          <w:sz w:val="24"/>
          <w:szCs w:val="24"/>
          <w:lang w:eastAsia="it-IT"/>
        </w:rPr>
        <w:t xml:space="preserve"> definizione dei criteri di rimborso delle spese sostenute per le adozioni concluse nell’anno 2021 è stata effettuata nel mese di dicembre 2022; </w:t>
      </w:r>
      <w:bookmarkEnd w:id="60"/>
    </w:p>
    <w:p w14:paraId="63DB93F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h) per il capitolo 535 - </w:t>
      </w:r>
      <w:r w:rsidRPr="00F56356">
        <w:rPr>
          <w:rFonts w:ascii="Times New Roman" w:eastAsia="Times New Roman" w:hAnsi="Times New Roman" w:cs="Times New Roman"/>
          <w:i/>
          <w:iCs/>
          <w:color w:val="000000" w:themeColor="text1"/>
          <w:sz w:val="24"/>
          <w:szCs w:val="24"/>
          <w:lang w:eastAsia="it-IT"/>
        </w:rPr>
        <w:t>Fondo nazionale per l’infanzia e l’adolescenza</w:t>
      </w:r>
      <w:r w:rsidRPr="00F56356">
        <w:rPr>
          <w:rFonts w:ascii="Times New Roman" w:eastAsia="Times New Roman" w:hAnsi="Times New Roman" w:cs="Times New Roman"/>
          <w:color w:val="000000" w:themeColor="text1"/>
          <w:sz w:val="24"/>
          <w:szCs w:val="24"/>
          <w:lang w:eastAsia="it-IT"/>
        </w:rPr>
        <w:t>, in quanto soltanto il 30 dicembre 2022 si è concluso l’iter procedurale relativo all’adozione del decreto di riparto del Fondo nazionale per l’infanzia e l’adolescenza per l’annualità 2022,</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ai sensi dell’articolo 1, comma 3, della legge 28 agosto 1997, n. 285, e sono state impegnate le relative risorse; riguardo alla capacità di pagamento, dalla circostanza che nel corso dell’esercizio finanziario 2022 state erogate parte delle risorse afferenti le annualità 2018, 2019, 2020, 2021;</w:t>
      </w:r>
    </w:p>
    <w:p w14:paraId="79C8D5D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 per il capitolo 539 - </w:t>
      </w:r>
      <w:r w:rsidRPr="00F56356">
        <w:rPr>
          <w:rFonts w:ascii="Times New Roman" w:eastAsia="Times New Roman" w:hAnsi="Times New Roman" w:cs="Times New Roman"/>
          <w:i/>
          <w:color w:val="000000" w:themeColor="text1"/>
          <w:sz w:val="24"/>
          <w:szCs w:val="24"/>
          <w:lang w:eastAsia="it-IT"/>
        </w:rPr>
        <w:t>Somme da destinare alla prevenzione del cyberbullismo</w:t>
      </w:r>
      <w:r w:rsidRPr="00F56356">
        <w:rPr>
          <w:rFonts w:ascii="Times New Roman" w:eastAsia="Times New Roman" w:hAnsi="Times New Roman" w:cs="Times New Roman"/>
          <w:color w:val="000000" w:themeColor="text1"/>
          <w:sz w:val="24"/>
          <w:szCs w:val="24"/>
          <w:lang w:eastAsia="it-IT"/>
        </w:rPr>
        <w:t xml:space="preserve">, in quanto soltanto il 21 dicembre 2022 è stato stipulato il contratto con la Società UNIVERSAL MCCANN S.R.L. per </w:t>
      </w:r>
      <w:r w:rsidRPr="00F56356">
        <w:rPr>
          <w:rFonts w:ascii="Times New Roman" w:eastAsia="Times New Roman" w:hAnsi="Times New Roman" w:cs="Times New Roman"/>
          <w:color w:val="000000" w:themeColor="text1"/>
          <w:sz w:val="24"/>
          <w:szCs w:val="24"/>
          <w:lang w:eastAsia="it-IT"/>
        </w:rPr>
        <w:lastRenderedPageBreak/>
        <w:t>la pianificazione della IV edizione della campagna istituzionale sul tema del cyberbullismo che verrà realizzata nel corso del primo trimestre 2023, con  imputazione delle risorse per euro 6.437,44 a valere sulle risorse finanziarie dell’anno 2022 e per euro 47.913,56 a valere sulle risorse finanziarie dell’anno 2023;</w:t>
      </w:r>
    </w:p>
    <w:p w14:paraId="28C10BF3"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l) per il capitolo 858 - </w:t>
      </w:r>
      <w:r w:rsidRPr="00F56356">
        <w:rPr>
          <w:rFonts w:ascii="Times New Roman" w:eastAsia="Times New Roman" w:hAnsi="Times New Roman" w:cs="Times New Roman"/>
          <w:i/>
          <w:color w:val="000000" w:themeColor="text1"/>
          <w:sz w:val="24"/>
          <w:szCs w:val="24"/>
          <w:lang w:eastAsia="it-IT"/>
        </w:rPr>
        <w:t>Fondo per le politiche per la famiglia,</w:t>
      </w:r>
      <w:r w:rsidRPr="00F56356">
        <w:rPr>
          <w:rFonts w:ascii="Times New Roman" w:eastAsia="Times New Roman" w:hAnsi="Times New Roman" w:cs="Times New Roman"/>
          <w:color w:val="000000" w:themeColor="text1"/>
          <w:sz w:val="24"/>
          <w:szCs w:val="24"/>
          <w:lang w:eastAsia="it-IT"/>
        </w:rPr>
        <w:t xml:space="preserve"> in quanto risultano ancora in corso le verifiche sull’ammissibilità delle proposte progettuali pervenute relative all’Avviso pubblico per il finanziamento di progettualità proposte dalle imprese recanti misure organizzative volte a favorire il rientro al lavoro delle lavoratrici madri dopo il parto e quelle relative alla prosecuzione dell’Avviso “Educare insieme”, adottato ai sensi dell’articolo 2, comma 1, lett. a), del decreto di riparto del Fondo per le politiche della famiglia del 25 giugno 2021 e la registrazione da parte della Corte dei conti del decreto integrativo delle risorse destinate allo scorrimento della graduatoria dell’Avviso “Educare in comune”, adottato ai sensi del dell’articolo 1, comma 1, lett. b), del decreto del Ministro per le pari opportunità e la famiglia del 25 giugno 2020, è avvenuta soltanto il 5 dicembre 2022.</w:t>
      </w:r>
    </w:p>
    <w:p w14:paraId="10F43795"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0404FB7E"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4E30B24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531 - </w:t>
      </w:r>
      <w:r w:rsidRPr="00F56356">
        <w:rPr>
          <w:rFonts w:ascii="Times New Roman" w:eastAsia="Times New Roman" w:hAnsi="Times New Roman" w:cs="Times New Roman"/>
          <w:i/>
          <w:color w:val="000000" w:themeColor="text1"/>
          <w:sz w:val="24"/>
          <w:szCs w:val="24"/>
          <w:lang w:eastAsia="it-IT"/>
        </w:rPr>
        <w:t>Fondo per genitori lavoratori separati o divorziati al fine di garantire la continuità di erogazione dell’assegno di mantenimento,</w:t>
      </w:r>
      <w:r w:rsidRPr="00F56356">
        <w:rPr>
          <w:rFonts w:ascii="Times New Roman" w:eastAsia="Times New Roman" w:hAnsi="Times New Roman" w:cs="Times New Roman"/>
          <w:color w:val="000000" w:themeColor="text1"/>
          <w:sz w:val="24"/>
          <w:szCs w:val="24"/>
          <w:lang w:eastAsia="it-IT"/>
        </w:rPr>
        <w:t xml:space="preserve"> le risorse non sono state impegnate in quanto è ancora in corso di definizione l’accordo di collaborazione con INPS. In particolare, l’articolo 9-bis del decreto-legge 21 ottobre 2021, n. 146, convertito, con modificazioni, dalla legge 17 dicembre 2021, n. 215, ha istituito il Fondo per la continuità di erogazione dell’assegno di mantenimento ai genitori separati o divorziati. Con decreto del Presidente del Consiglio dei ministri, da adottare entro sessanta giorni dalla data di entrata in vigore della suindicata disposizione, su proposta del Ministro per le pari opportunità e la famiglia, di concerto con i Ministri dell’economia e delle finanze e della giustizia, sono definiti i criteri e le modalità per la verifica dei presupposti per l’erogazione dei contributi a valere sul fondo. Il provvedimento approvato con decreto del Presidente del Consiglio dei ministri il 23 agosto 2022 è stato pubblicato in data 26 ottobre 2022. In data 8 settembre 2022, considerate le pregresse collaborazioni intercorse con l’Istituto nazionale della previdenza sociale in ambiti di comune interesse istituzionale, sono state avviate formali interlocuzioni, per verificare la disponibilità da parte dell’Istituto a concorrere ad una efficace attuazione della norma, per le fasi inerenti </w:t>
      </w:r>
      <w:proofErr w:type="gramStart"/>
      <w:r w:rsidRPr="00F56356">
        <w:rPr>
          <w:rFonts w:ascii="Times New Roman" w:eastAsia="Times New Roman" w:hAnsi="Times New Roman" w:cs="Times New Roman"/>
          <w:color w:val="000000" w:themeColor="text1"/>
          <w:sz w:val="24"/>
          <w:szCs w:val="24"/>
          <w:lang w:eastAsia="it-IT"/>
        </w:rPr>
        <w:t>la</w:t>
      </w:r>
      <w:proofErr w:type="gramEnd"/>
      <w:r w:rsidRPr="00F56356">
        <w:rPr>
          <w:rFonts w:ascii="Times New Roman" w:eastAsia="Times New Roman" w:hAnsi="Times New Roman" w:cs="Times New Roman"/>
          <w:color w:val="000000" w:themeColor="text1"/>
          <w:sz w:val="24"/>
          <w:szCs w:val="24"/>
          <w:lang w:eastAsia="it-IT"/>
        </w:rPr>
        <w:t xml:space="preserve"> gestione delle istanze e l’erogazione dei contributi ai soggetti interessati, secondo le modalità amministrative ritenute più opportune;</w:t>
      </w:r>
    </w:p>
    <w:p w14:paraId="3D33BBF6"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832 </w:t>
      </w:r>
      <w:r w:rsidRPr="00F56356">
        <w:rPr>
          <w:rFonts w:ascii="Times New Roman" w:eastAsia="Times New Roman" w:hAnsi="Times New Roman" w:cs="Times New Roman"/>
          <w:i/>
          <w:color w:val="000000" w:themeColor="text1"/>
          <w:sz w:val="24"/>
          <w:szCs w:val="24"/>
          <w:lang w:eastAsia="it-IT"/>
        </w:rPr>
        <w:t>- Somme da destinare all’Osservatorio per il contrasto della pedofilia e della pornografia minorile e per l’attuazione e l’avvio della relativa banca dati</w:t>
      </w:r>
      <w:r w:rsidRPr="00F56356">
        <w:rPr>
          <w:rFonts w:ascii="Times New Roman" w:eastAsia="Times New Roman" w:hAnsi="Times New Roman" w:cs="Times New Roman"/>
          <w:color w:val="000000" w:themeColor="text1"/>
          <w:sz w:val="24"/>
          <w:szCs w:val="24"/>
          <w:lang w:eastAsia="it-IT"/>
        </w:rPr>
        <w:t xml:space="preserve">, non sono state impegnate le risorse in quanto l’Osservatorio per il contrasto della pedofilia e della pornografia minorile non </w:t>
      </w:r>
      <w:r w:rsidRPr="00F56356">
        <w:rPr>
          <w:rFonts w:ascii="Times New Roman" w:eastAsia="Times New Roman" w:hAnsi="Times New Roman" w:cs="Times New Roman"/>
          <w:color w:val="000000" w:themeColor="text1"/>
          <w:sz w:val="24"/>
          <w:szCs w:val="24"/>
          <w:lang w:eastAsia="it-IT"/>
        </w:rPr>
        <w:lastRenderedPageBreak/>
        <w:t xml:space="preserve">ha espresso, per quanto riguarda l’annualità 2022, specifici orientamenti circa iniziative nel quadro dei propri compiti istituzionali, rinviando detti approfondimenti al momento dell’avvio del processo di implementazione del Piano nazionale di prevenzione e contrasto dell’abuso e dello sfruttamento sessuale dei minori approvato il 5 maggio 2022, il cui testo è stato definitivamente finalizzato in occasione della seduta plenaria dell’Osservatorio del 18 ottobre 2022 alla presenza del Ministro </w:t>
      </w:r>
      <w:r w:rsidRPr="00F56356">
        <w:rPr>
          <w:rFonts w:ascii="Times New Roman" w:eastAsia="Times New Roman" w:hAnsi="Times New Roman" w:cs="Times New Roman"/>
          <w:i/>
          <w:color w:val="000000" w:themeColor="text1"/>
          <w:sz w:val="24"/>
          <w:szCs w:val="24"/>
          <w:lang w:eastAsia="it-IT"/>
        </w:rPr>
        <w:t>pro tempore</w:t>
      </w:r>
      <w:r w:rsidRPr="00F56356">
        <w:rPr>
          <w:rFonts w:ascii="Times New Roman" w:eastAsia="Times New Roman" w:hAnsi="Times New Roman" w:cs="Times New Roman"/>
          <w:color w:val="000000" w:themeColor="text1"/>
          <w:sz w:val="24"/>
          <w:szCs w:val="24"/>
          <w:lang w:eastAsia="it-IT"/>
        </w:rPr>
        <w:t xml:space="preserve"> per le pari opportunità</w:t>
      </w:r>
      <w:r w:rsidRPr="00F56356">
        <w:rPr>
          <w:rFonts w:ascii="Times New Roman" w:eastAsia="Times New Roman" w:hAnsi="Times New Roman" w:cs="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e la famiglia.</w:t>
      </w:r>
    </w:p>
    <w:p w14:paraId="04BE9D5E"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p>
    <w:p w14:paraId="1FA7E030"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FF0000"/>
          <w:sz w:val="24"/>
          <w:szCs w:val="24"/>
          <w:lang w:eastAsia="it-IT"/>
        </w:rPr>
      </w:pPr>
    </w:p>
    <w:p w14:paraId="06505E65" w14:textId="77777777" w:rsidR="00F56356" w:rsidRPr="00F56356" w:rsidRDefault="00F56356" w:rsidP="00F56356">
      <w:pPr>
        <w:spacing w:after="0" w:line="360" w:lineRule="auto"/>
        <w:ind w:left="284" w:right="-1"/>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(interventi) nel corso del triennio 2020-2022:</w:t>
      </w:r>
    </w:p>
    <w:p w14:paraId="5441EAB5" w14:textId="77777777" w:rsidR="00F56356" w:rsidRPr="00F56356" w:rsidRDefault="00F56356" w:rsidP="00F56356">
      <w:pPr>
        <w:tabs>
          <w:tab w:val="left" w:pos="9356"/>
        </w:tabs>
        <w:spacing w:after="0" w:line="360" w:lineRule="auto"/>
        <w:ind w:left="426" w:right="282"/>
        <w:jc w:val="center"/>
        <w:rPr>
          <w:rFonts w:ascii="Times New Roman" w:eastAsia="Times New Roman" w:hAnsi="Times New Roman" w:cs="Times New Roman"/>
          <w:color w:val="FF0000"/>
          <w:sz w:val="24"/>
          <w:szCs w:val="24"/>
          <w:lang w:eastAsia="it-IT"/>
        </w:rPr>
      </w:pPr>
    </w:p>
    <w:p w14:paraId="7FD60D6C" w14:textId="77777777" w:rsidR="00F56356" w:rsidRPr="00F56356" w:rsidRDefault="00F56356" w:rsidP="00F56356">
      <w:pPr>
        <w:tabs>
          <w:tab w:val="left" w:pos="9356"/>
        </w:tabs>
        <w:spacing w:after="0" w:line="360" w:lineRule="auto"/>
        <w:ind w:left="426" w:right="282"/>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37C44D46" wp14:editId="00D5469B">
            <wp:extent cx="3324479" cy="324783"/>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76756" cy="339660"/>
                    </a:xfrm>
                    <a:prstGeom prst="rect">
                      <a:avLst/>
                    </a:prstGeom>
                    <a:noFill/>
                    <a:ln>
                      <a:noFill/>
                    </a:ln>
                  </pic:spPr>
                </pic:pic>
              </a:graphicData>
            </a:graphic>
          </wp:inline>
        </w:drawing>
      </w:r>
    </w:p>
    <w:p w14:paraId="51CDE91C" w14:textId="77777777" w:rsidR="00F56356" w:rsidRPr="00F56356" w:rsidRDefault="00F56356" w:rsidP="00F56356">
      <w:pPr>
        <w:tabs>
          <w:tab w:val="left" w:pos="9356"/>
        </w:tabs>
        <w:spacing w:after="0" w:line="360" w:lineRule="auto"/>
        <w:ind w:left="426" w:right="282"/>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1102696D" wp14:editId="24932828">
            <wp:extent cx="3376838" cy="2003552"/>
            <wp:effectExtent l="0" t="0" r="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395451" cy="2014595"/>
                    </a:xfrm>
                    <a:prstGeom prst="rect">
                      <a:avLst/>
                    </a:prstGeom>
                    <a:noFill/>
                  </pic:spPr>
                </pic:pic>
              </a:graphicData>
            </a:graphic>
          </wp:inline>
        </w:drawing>
      </w:r>
    </w:p>
    <w:p w14:paraId="6374C132" w14:textId="77777777" w:rsidR="00F56356" w:rsidRPr="00F56356" w:rsidRDefault="00F56356"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112475D5" w14:textId="77777777" w:rsidR="00F56356" w:rsidRPr="00F56356" w:rsidRDefault="00F56356"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3EC9179D" w14:textId="77777777" w:rsidR="00F56356" w:rsidRPr="00F56356" w:rsidRDefault="00F56356"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439BB475" w14:textId="662A4641" w:rsidR="00F56356" w:rsidRDefault="00F56356"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7ED61376" w14:textId="75B58CA0" w:rsidR="0043213C" w:rsidRDefault="0043213C"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50E0D295" w14:textId="5BFB6CBA" w:rsidR="0043213C" w:rsidRDefault="0043213C"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57870A2A" w14:textId="729DCAFE" w:rsidR="0043213C" w:rsidRDefault="0043213C"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2A815508" w14:textId="3EA7D6F8" w:rsidR="0043213C" w:rsidRDefault="0043213C"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47EEB160" w14:textId="2B177C14" w:rsidR="0043213C" w:rsidRDefault="0043213C"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3EFFDAB1" w14:textId="77777777" w:rsidR="0043213C" w:rsidRPr="00F56356" w:rsidRDefault="0043213C"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4766BEDA" w14:textId="77777777" w:rsidR="00F56356" w:rsidRPr="00F56356" w:rsidRDefault="00F56356"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4BB47C93" w14:textId="77777777" w:rsidR="00F56356" w:rsidRPr="00F56356" w:rsidRDefault="00F56356" w:rsidP="00F56356">
      <w:pPr>
        <w:tabs>
          <w:tab w:val="left" w:pos="9356"/>
        </w:tabs>
        <w:spacing w:after="0" w:line="360" w:lineRule="auto"/>
        <w:ind w:left="426" w:right="282"/>
        <w:jc w:val="both"/>
        <w:rPr>
          <w:rFonts w:ascii="Times New Roman" w:eastAsia="Times New Roman" w:hAnsi="Times New Roman" w:cs="Times New Roman"/>
          <w:color w:val="000000" w:themeColor="text1"/>
          <w:sz w:val="24"/>
          <w:szCs w:val="24"/>
          <w:lang w:eastAsia="it-IT"/>
        </w:rPr>
      </w:pPr>
    </w:p>
    <w:p w14:paraId="661BE2E6" w14:textId="77777777" w:rsidR="00F56356" w:rsidRPr="00F56356" w:rsidRDefault="00F56356" w:rsidP="00F56356">
      <w:pPr>
        <w:tabs>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p>
    <w:p w14:paraId="56DC870B" w14:textId="77777777" w:rsidR="00F56356" w:rsidRPr="00F56356" w:rsidRDefault="00F56356" w:rsidP="00F56356">
      <w:pPr>
        <w:tabs>
          <w:tab w:val="left" w:pos="9356"/>
        </w:tabs>
        <w:spacing w:after="0" w:line="360" w:lineRule="auto"/>
        <w:ind w:left="284"/>
        <w:jc w:val="both"/>
        <w:rPr>
          <w:rFonts w:ascii="Times New Roman" w:eastAsia="Times New Roman" w:hAnsi="Times New Roman" w:cs="Times New Roman"/>
          <w:color w:val="FF0000"/>
          <w:sz w:val="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Nella Tabella sottostante è indicata la ripartizione delle risorse relative a interventi per destinatari finali, comprensive delle risorse relative ai residui passivi perenti </w:t>
      </w:r>
      <w:proofErr w:type="spellStart"/>
      <w:r w:rsidRPr="00F56356">
        <w:rPr>
          <w:rFonts w:ascii="Times New Roman" w:eastAsia="Times New Roman" w:hAnsi="Times New Roman" w:cs="Times New Roman"/>
          <w:color w:val="000000" w:themeColor="text1"/>
          <w:sz w:val="24"/>
          <w:szCs w:val="24"/>
          <w:lang w:eastAsia="it-IT"/>
        </w:rPr>
        <w:t>reiscritti</w:t>
      </w:r>
      <w:proofErr w:type="spellEnd"/>
      <w:r w:rsidRPr="00F56356">
        <w:rPr>
          <w:rFonts w:ascii="Times New Roman" w:eastAsia="Times New Roman" w:hAnsi="Times New Roman" w:cs="Times New Roman"/>
          <w:color w:val="000000" w:themeColor="text1"/>
          <w:sz w:val="24"/>
          <w:szCs w:val="24"/>
          <w:lang w:eastAsia="it-IT"/>
        </w:rPr>
        <w:t>:</w:t>
      </w:r>
    </w:p>
    <w:p w14:paraId="653583A4"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15584" behindDoc="1" locked="0" layoutInCell="1" allowOverlap="1" wp14:anchorId="3C78564B" wp14:editId="6F934F93">
            <wp:simplePos x="0" y="0"/>
            <wp:positionH relativeFrom="column">
              <wp:posOffset>165735</wp:posOffset>
            </wp:positionH>
            <wp:positionV relativeFrom="paragraph">
              <wp:posOffset>347980</wp:posOffset>
            </wp:positionV>
            <wp:extent cx="5957570" cy="7894955"/>
            <wp:effectExtent l="0" t="0" r="5080" b="0"/>
            <wp:wrapTight wrapText="bothSides">
              <wp:wrapPolygon edited="0">
                <wp:start x="0" y="0"/>
                <wp:lineTo x="0" y="21108"/>
                <wp:lineTo x="622" y="21525"/>
                <wp:lineTo x="19615" y="21525"/>
                <wp:lineTo x="20859" y="21473"/>
                <wp:lineTo x="21549" y="21265"/>
                <wp:lineTo x="21549" y="0"/>
                <wp:lineTo x="0" y="0"/>
              </wp:wrapPolygon>
            </wp:wrapTight>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57570" cy="7894955"/>
                    </a:xfrm>
                    <a:prstGeom prst="rect">
                      <a:avLst/>
                    </a:prstGeom>
                    <a:noFill/>
                    <a:ln>
                      <a:noFill/>
                    </a:ln>
                  </pic:spPr>
                </pic:pic>
              </a:graphicData>
            </a:graphic>
            <wp14:sizeRelH relativeFrom="margin">
              <wp14:pctWidth>0</wp14:pctWidth>
            </wp14:sizeRelH>
          </wp:anchor>
        </w:drawing>
      </w:r>
    </w:p>
    <w:p w14:paraId="510811D4" w14:textId="78758074" w:rsidR="00F56356" w:rsidRDefault="00F56356" w:rsidP="00F56356">
      <w:pPr>
        <w:spacing w:after="0" w:line="240" w:lineRule="auto"/>
        <w:rPr>
          <w:rFonts w:ascii="Times New Roman" w:eastAsia="Times New Roman" w:hAnsi="Times New Roman" w:cs="Times New Roman"/>
          <w:sz w:val="24"/>
          <w:szCs w:val="24"/>
          <w:lang w:eastAsia="it-IT"/>
        </w:rPr>
      </w:pPr>
    </w:p>
    <w:p w14:paraId="4ECDDF45" w14:textId="77777777" w:rsidR="0043213C" w:rsidRPr="00F56356" w:rsidRDefault="0043213C" w:rsidP="00F56356">
      <w:pPr>
        <w:spacing w:after="0" w:line="240" w:lineRule="auto"/>
        <w:rPr>
          <w:rFonts w:ascii="Times New Roman" w:eastAsia="Times New Roman" w:hAnsi="Times New Roman" w:cs="Times New Roman"/>
          <w:sz w:val="24"/>
          <w:szCs w:val="24"/>
          <w:lang w:eastAsia="it-IT"/>
        </w:rPr>
      </w:pPr>
    </w:p>
    <w:tbl>
      <w:tblPr>
        <w:tblW w:w="9918" w:type="dxa"/>
        <w:tblCellMar>
          <w:left w:w="70" w:type="dxa"/>
          <w:right w:w="70" w:type="dxa"/>
        </w:tblCellMar>
        <w:tblLook w:val="04A0" w:firstRow="1" w:lastRow="0" w:firstColumn="1" w:lastColumn="0" w:noHBand="0" w:noVBand="1"/>
      </w:tblPr>
      <w:tblGrid>
        <w:gridCol w:w="2122"/>
        <w:gridCol w:w="938"/>
        <w:gridCol w:w="1240"/>
        <w:gridCol w:w="1500"/>
        <w:gridCol w:w="1180"/>
        <w:gridCol w:w="1440"/>
        <w:gridCol w:w="1498"/>
      </w:tblGrid>
      <w:tr w:rsidR="00F56356" w:rsidRPr="00F56356" w14:paraId="5E740E50" w14:textId="77777777" w:rsidTr="00F56356">
        <w:trPr>
          <w:trHeight w:val="36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A0D76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10416852" w14:textId="77777777" w:rsidTr="00F56356">
        <w:trPr>
          <w:trHeight w:val="64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555FDF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6EFD8E1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1D3DEB6C" w14:textId="77777777" w:rsidTr="00F56356">
        <w:trPr>
          <w:trHeight w:val="64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84BC2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79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D6E584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39699697" w14:textId="77777777" w:rsidTr="00F56356">
        <w:trPr>
          <w:trHeight w:val="64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B7D4E3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796"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12EBF3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15 - Politiche per la famiglia</w:t>
            </w:r>
          </w:p>
        </w:tc>
      </w:tr>
      <w:tr w:rsidR="00F56356" w:rsidRPr="00F56356" w14:paraId="7A496812" w14:textId="77777777" w:rsidTr="00F56356">
        <w:trPr>
          <w:trHeight w:val="76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2C2E5E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29FA16C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Realizzazione interventi di rilancio dell'attività della Commissione per le adozioni internazionali</w:t>
            </w:r>
          </w:p>
        </w:tc>
      </w:tr>
      <w:tr w:rsidR="00F56356" w:rsidRPr="00F56356" w14:paraId="793A3038" w14:textId="77777777" w:rsidTr="00F56356">
        <w:trPr>
          <w:trHeight w:val="76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D2A842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131DCC7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Implementazione delle relazioni con le Autorità Centrali dei Paesi di origine al fine di contrastare la tendenza del calo delle adozioni.</w:t>
            </w:r>
          </w:p>
        </w:tc>
      </w:tr>
      <w:tr w:rsidR="00F56356" w:rsidRPr="00F56356" w14:paraId="773934AF" w14:textId="77777777" w:rsidTr="00F56356">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858D49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12E1B068"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F40AD64" w14:textId="77777777" w:rsidTr="00F56356">
        <w:trPr>
          <w:trHeight w:val="28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8A7128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6C7F007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43B756B" w14:textId="77777777" w:rsidTr="00F56356">
        <w:trPr>
          <w:trHeight w:val="555"/>
        </w:trPr>
        <w:tc>
          <w:tcPr>
            <w:tcW w:w="2122" w:type="dxa"/>
            <w:vMerge w:val="restart"/>
            <w:tcBorders>
              <w:top w:val="nil"/>
              <w:left w:val="single" w:sz="4" w:space="0" w:color="auto"/>
              <w:bottom w:val="single" w:sz="4" w:space="0" w:color="000000"/>
              <w:right w:val="single" w:sz="4" w:space="0" w:color="auto"/>
            </w:tcBorders>
            <w:shd w:val="clear" w:color="auto" w:fill="auto"/>
            <w:vAlign w:val="center"/>
            <w:hideMark/>
          </w:tcPr>
          <w:p w14:paraId="4F48B3F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14:paraId="332CCE0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518</w:t>
            </w:r>
          </w:p>
        </w:tc>
        <w:tc>
          <w:tcPr>
            <w:tcW w:w="27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E84DA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11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2F74C6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4F65F28B" w14:textId="77777777" w:rsidTr="00F56356">
        <w:trPr>
          <w:trHeight w:val="1170"/>
        </w:trPr>
        <w:tc>
          <w:tcPr>
            <w:tcW w:w="2122" w:type="dxa"/>
            <w:vMerge/>
            <w:tcBorders>
              <w:top w:val="nil"/>
              <w:left w:val="single" w:sz="4" w:space="0" w:color="auto"/>
              <w:bottom w:val="single" w:sz="4" w:space="0" w:color="000000"/>
              <w:right w:val="single" w:sz="4" w:space="0" w:color="auto"/>
            </w:tcBorders>
            <w:vAlign w:val="center"/>
            <w:hideMark/>
          </w:tcPr>
          <w:p w14:paraId="38146DD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8" w:type="dxa"/>
            <w:vMerge/>
            <w:tcBorders>
              <w:top w:val="nil"/>
              <w:left w:val="single" w:sz="4" w:space="0" w:color="auto"/>
              <w:bottom w:val="single" w:sz="4" w:space="0" w:color="000000"/>
              <w:right w:val="single" w:sz="4" w:space="0" w:color="auto"/>
            </w:tcBorders>
            <w:vAlign w:val="center"/>
            <w:hideMark/>
          </w:tcPr>
          <w:p w14:paraId="02C61D5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5600C0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500" w:type="dxa"/>
            <w:tcBorders>
              <w:top w:val="nil"/>
              <w:left w:val="nil"/>
              <w:bottom w:val="single" w:sz="4" w:space="0" w:color="auto"/>
              <w:right w:val="single" w:sz="4" w:space="0" w:color="auto"/>
            </w:tcBorders>
            <w:shd w:val="clear" w:color="auto" w:fill="auto"/>
            <w:vAlign w:val="center"/>
            <w:hideMark/>
          </w:tcPr>
          <w:p w14:paraId="50B9A98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DA99A1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(3)</w:t>
            </w:r>
          </w:p>
        </w:tc>
        <w:tc>
          <w:tcPr>
            <w:tcW w:w="1440" w:type="dxa"/>
            <w:tcBorders>
              <w:top w:val="nil"/>
              <w:left w:val="nil"/>
              <w:bottom w:val="single" w:sz="4" w:space="0" w:color="auto"/>
              <w:right w:val="single" w:sz="4" w:space="0" w:color="auto"/>
            </w:tcBorders>
            <w:shd w:val="clear" w:color="auto" w:fill="auto"/>
            <w:vAlign w:val="center"/>
            <w:hideMark/>
          </w:tcPr>
          <w:p w14:paraId="6E89512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98" w:type="dxa"/>
            <w:tcBorders>
              <w:top w:val="nil"/>
              <w:left w:val="nil"/>
              <w:bottom w:val="single" w:sz="4" w:space="0" w:color="auto"/>
              <w:right w:val="single" w:sz="4" w:space="0" w:color="auto"/>
            </w:tcBorders>
            <w:shd w:val="clear" w:color="auto" w:fill="auto"/>
            <w:vAlign w:val="center"/>
            <w:hideMark/>
          </w:tcPr>
          <w:p w14:paraId="24FB151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AC31FB1" w14:textId="77777777" w:rsidTr="00F56356">
        <w:trPr>
          <w:trHeight w:val="705"/>
        </w:trPr>
        <w:tc>
          <w:tcPr>
            <w:tcW w:w="2122" w:type="dxa"/>
            <w:vMerge/>
            <w:tcBorders>
              <w:top w:val="nil"/>
              <w:left w:val="single" w:sz="4" w:space="0" w:color="auto"/>
              <w:bottom w:val="single" w:sz="4" w:space="0" w:color="000000"/>
              <w:right w:val="single" w:sz="4" w:space="0" w:color="auto"/>
            </w:tcBorders>
            <w:vAlign w:val="center"/>
            <w:hideMark/>
          </w:tcPr>
          <w:p w14:paraId="1516A5C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38" w:type="dxa"/>
            <w:vMerge/>
            <w:tcBorders>
              <w:top w:val="nil"/>
              <w:left w:val="single" w:sz="4" w:space="0" w:color="auto"/>
              <w:bottom w:val="single" w:sz="4" w:space="0" w:color="000000"/>
              <w:right w:val="single" w:sz="4" w:space="0" w:color="auto"/>
            </w:tcBorders>
            <w:vAlign w:val="center"/>
            <w:hideMark/>
          </w:tcPr>
          <w:p w14:paraId="20E175C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46FB0D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16.315.212,00</w:t>
            </w:r>
          </w:p>
        </w:tc>
        <w:tc>
          <w:tcPr>
            <w:tcW w:w="1500" w:type="dxa"/>
            <w:tcBorders>
              <w:top w:val="nil"/>
              <w:left w:val="nil"/>
              <w:bottom w:val="single" w:sz="4" w:space="0" w:color="auto"/>
              <w:right w:val="single" w:sz="4" w:space="0" w:color="auto"/>
            </w:tcBorders>
            <w:shd w:val="clear" w:color="auto" w:fill="auto"/>
            <w:noWrap/>
            <w:vAlign w:val="center"/>
            <w:hideMark/>
          </w:tcPr>
          <w:p w14:paraId="4BDF799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34.248.879,24 (*)</w:t>
            </w:r>
          </w:p>
        </w:tc>
        <w:tc>
          <w:tcPr>
            <w:tcW w:w="1180" w:type="dxa"/>
            <w:tcBorders>
              <w:top w:val="nil"/>
              <w:left w:val="nil"/>
              <w:bottom w:val="single" w:sz="4" w:space="0" w:color="auto"/>
              <w:right w:val="single" w:sz="4" w:space="0" w:color="auto"/>
            </w:tcBorders>
            <w:shd w:val="clear" w:color="auto" w:fill="auto"/>
            <w:noWrap/>
            <w:vAlign w:val="center"/>
            <w:hideMark/>
          </w:tcPr>
          <w:p w14:paraId="5747DDF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952.680,29</w:t>
            </w:r>
          </w:p>
        </w:tc>
        <w:tc>
          <w:tcPr>
            <w:tcW w:w="1440" w:type="dxa"/>
            <w:tcBorders>
              <w:top w:val="nil"/>
              <w:left w:val="nil"/>
              <w:bottom w:val="single" w:sz="4" w:space="0" w:color="auto"/>
              <w:right w:val="single" w:sz="4" w:space="0" w:color="auto"/>
            </w:tcBorders>
            <w:shd w:val="clear" w:color="auto" w:fill="auto"/>
            <w:noWrap/>
            <w:vAlign w:val="center"/>
            <w:hideMark/>
          </w:tcPr>
          <w:p w14:paraId="7B1AECD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1.887.852,14</w:t>
            </w:r>
          </w:p>
        </w:tc>
        <w:tc>
          <w:tcPr>
            <w:tcW w:w="1498" w:type="dxa"/>
            <w:tcBorders>
              <w:top w:val="nil"/>
              <w:left w:val="nil"/>
              <w:bottom w:val="single" w:sz="4" w:space="0" w:color="auto"/>
              <w:right w:val="single" w:sz="4" w:space="0" w:color="auto"/>
            </w:tcBorders>
            <w:shd w:val="clear" w:color="auto" w:fill="auto"/>
            <w:noWrap/>
            <w:vAlign w:val="center"/>
            <w:hideMark/>
          </w:tcPr>
          <w:p w14:paraId="52FE244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2.840.532,</w:t>
            </w:r>
            <w:proofErr w:type="gramStart"/>
            <w:r w:rsidRPr="00F56356">
              <w:rPr>
                <w:rFonts w:ascii="Times New Roman" w:eastAsia="Times New Roman" w:hAnsi="Times New Roman" w:cs="Times New Roman"/>
                <w:color w:val="000000"/>
                <w:sz w:val="18"/>
                <w:szCs w:val="18"/>
                <w:lang w:eastAsia="it-IT"/>
              </w:rPr>
              <w:t>43  (</w:t>
            </w:r>
            <w:proofErr w:type="gramEnd"/>
            <w:r w:rsidRPr="00F56356">
              <w:rPr>
                <w:rFonts w:ascii="Times New Roman" w:eastAsia="Times New Roman" w:hAnsi="Times New Roman" w:cs="Times New Roman"/>
                <w:color w:val="000000"/>
                <w:sz w:val="18"/>
                <w:szCs w:val="18"/>
                <w:lang w:eastAsia="it-IT"/>
              </w:rPr>
              <w:t>**)</w:t>
            </w:r>
          </w:p>
        </w:tc>
      </w:tr>
      <w:tr w:rsidR="00F56356" w:rsidRPr="00F56356" w14:paraId="72CA7C4C" w14:textId="77777777" w:rsidTr="00F56356">
        <w:trPr>
          <w:trHeight w:val="300"/>
        </w:trPr>
        <w:tc>
          <w:tcPr>
            <w:tcW w:w="2122" w:type="dxa"/>
            <w:tcBorders>
              <w:top w:val="nil"/>
              <w:left w:val="single" w:sz="4" w:space="0" w:color="auto"/>
              <w:bottom w:val="nil"/>
              <w:right w:val="nil"/>
            </w:tcBorders>
            <w:shd w:val="clear" w:color="auto" w:fill="auto"/>
            <w:noWrap/>
            <w:vAlign w:val="center"/>
            <w:hideMark/>
          </w:tcPr>
          <w:p w14:paraId="2AA3D05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938" w:type="dxa"/>
            <w:tcBorders>
              <w:top w:val="nil"/>
              <w:left w:val="nil"/>
              <w:bottom w:val="nil"/>
              <w:right w:val="nil"/>
            </w:tcBorders>
            <w:shd w:val="clear" w:color="auto" w:fill="auto"/>
            <w:noWrap/>
            <w:vAlign w:val="bottom"/>
            <w:hideMark/>
          </w:tcPr>
          <w:p w14:paraId="697BBFE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B7E63F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500" w:type="dxa"/>
            <w:tcBorders>
              <w:top w:val="nil"/>
              <w:left w:val="nil"/>
              <w:bottom w:val="nil"/>
              <w:right w:val="nil"/>
            </w:tcBorders>
            <w:shd w:val="clear" w:color="auto" w:fill="auto"/>
            <w:noWrap/>
            <w:vAlign w:val="bottom"/>
            <w:hideMark/>
          </w:tcPr>
          <w:p w14:paraId="4ACD495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083E70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40" w:type="dxa"/>
            <w:tcBorders>
              <w:top w:val="nil"/>
              <w:left w:val="nil"/>
              <w:bottom w:val="nil"/>
              <w:right w:val="nil"/>
            </w:tcBorders>
            <w:shd w:val="clear" w:color="auto" w:fill="auto"/>
            <w:noWrap/>
            <w:vAlign w:val="bottom"/>
            <w:hideMark/>
          </w:tcPr>
          <w:p w14:paraId="1F41B4A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98" w:type="dxa"/>
            <w:tcBorders>
              <w:top w:val="nil"/>
              <w:left w:val="nil"/>
              <w:bottom w:val="nil"/>
              <w:right w:val="single" w:sz="4" w:space="0" w:color="auto"/>
            </w:tcBorders>
            <w:shd w:val="clear" w:color="auto" w:fill="auto"/>
            <w:noWrap/>
            <w:vAlign w:val="bottom"/>
            <w:hideMark/>
          </w:tcPr>
          <w:p w14:paraId="36BC59B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1E2CB86" w14:textId="77777777" w:rsidTr="00F56356">
        <w:trPr>
          <w:trHeight w:val="345"/>
        </w:trPr>
        <w:tc>
          <w:tcPr>
            <w:tcW w:w="9918" w:type="dxa"/>
            <w:gridSpan w:val="7"/>
            <w:tcBorders>
              <w:top w:val="nil"/>
              <w:left w:val="single" w:sz="4" w:space="0" w:color="auto"/>
              <w:bottom w:val="nil"/>
              <w:right w:val="single" w:sz="4" w:space="0" w:color="000000"/>
            </w:tcBorders>
            <w:shd w:val="clear" w:color="auto" w:fill="auto"/>
            <w:vAlign w:val="center"/>
            <w:hideMark/>
          </w:tcPr>
          <w:p w14:paraId="5D0F600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75ECFE0" w14:textId="77777777" w:rsidTr="00F56356">
        <w:trPr>
          <w:trHeight w:val="345"/>
        </w:trPr>
        <w:tc>
          <w:tcPr>
            <w:tcW w:w="9918" w:type="dxa"/>
            <w:gridSpan w:val="7"/>
            <w:tcBorders>
              <w:top w:val="nil"/>
              <w:left w:val="single" w:sz="4" w:space="0" w:color="auto"/>
              <w:bottom w:val="nil"/>
              <w:right w:val="single" w:sz="4" w:space="0" w:color="000000"/>
            </w:tcBorders>
            <w:shd w:val="clear" w:color="auto" w:fill="auto"/>
            <w:vAlign w:val="center"/>
            <w:hideMark/>
          </w:tcPr>
          <w:p w14:paraId="64A6A04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7DDA134E" w14:textId="77777777" w:rsidTr="00F56356">
        <w:trPr>
          <w:trHeight w:val="345"/>
        </w:trPr>
        <w:tc>
          <w:tcPr>
            <w:tcW w:w="9918" w:type="dxa"/>
            <w:gridSpan w:val="7"/>
            <w:tcBorders>
              <w:top w:val="nil"/>
              <w:left w:val="single" w:sz="4" w:space="0" w:color="auto"/>
              <w:bottom w:val="single" w:sz="4" w:space="0" w:color="auto"/>
              <w:right w:val="single" w:sz="4" w:space="0" w:color="000000"/>
            </w:tcBorders>
            <w:shd w:val="clear" w:color="auto" w:fill="auto"/>
            <w:vAlign w:val="center"/>
            <w:hideMark/>
          </w:tcPr>
          <w:p w14:paraId="3B59C4A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19CA02D9" w14:textId="77777777" w:rsidTr="00F56356">
        <w:trPr>
          <w:trHeight w:val="36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392F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9E0DB55" w14:textId="77777777" w:rsidTr="00F56356">
        <w:trPr>
          <w:trHeight w:val="4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5DBEEA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115EB8B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iniziative/attività/protocolli/progetti previsti negli atti programmatici</w:t>
            </w:r>
          </w:p>
        </w:tc>
      </w:tr>
      <w:tr w:rsidR="00F56356" w:rsidRPr="00F56356" w14:paraId="6858CDED" w14:textId="77777777" w:rsidTr="00F56356">
        <w:trPr>
          <w:trHeight w:val="4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24B351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796" w:type="dxa"/>
            <w:gridSpan w:val="6"/>
            <w:tcBorders>
              <w:top w:val="single" w:sz="4" w:space="0" w:color="auto"/>
              <w:left w:val="nil"/>
              <w:bottom w:val="single" w:sz="4" w:space="0" w:color="auto"/>
              <w:right w:val="single" w:sz="4" w:space="0" w:color="000000"/>
            </w:tcBorders>
            <w:shd w:val="clear" w:color="auto" w:fill="auto"/>
            <w:vAlign w:val="center"/>
            <w:hideMark/>
          </w:tcPr>
          <w:p w14:paraId="5A401B0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Sistema informativo interno (SVEVA), sito web, accordi di collaborazione.</w:t>
            </w:r>
          </w:p>
        </w:tc>
      </w:tr>
      <w:tr w:rsidR="00F56356" w:rsidRPr="00F56356" w14:paraId="6E7CC1C5" w14:textId="77777777" w:rsidTr="00F56356">
        <w:trPr>
          <w:trHeight w:val="189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1E0F1C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678" w:type="dxa"/>
            <w:gridSpan w:val="3"/>
            <w:tcBorders>
              <w:top w:val="single" w:sz="4" w:space="0" w:color="auto"/>
              <w:left w:val="nil"/>
              <w:bottom w:val="single" w:sz="4" w:space="0" w:color="auto"/>
              <w:right w:val="single" w:sz="4" w:space="0" w:color="000000"/>
            </w:tcBorders>
            <w:shd w:val="clear" w:color="auto" w:fill="auto"/>
            <w:vAlign w:val="center"/>
            <w:hideMark/>
          </w:tcPr>
          <w:p w14:paraId="1DA7989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roofErr w:type="spellStart"/>
            <w:proofErr w:type="gramStart"/>
            <w:r w:rsidRPr="00F56356">
              <w:rPr>
                <w:rFonts w:ascii="Times New Roman" w:eastAsia="Times New Roman" w:hAnsi="Times New Roman" w:cs="Times New Roman"/>
                <w:color w:val="000000"/>
                <w:sz w:val="20"/>
                <w:szCs w:val="20"/>
                <w:lang w:eastAsia="it-IT"/>
              </w:rPr>
              <w:t>N.iniziative</w:t>
            </w:r>
            <w:proofErr w:type="spellEnd"/>
            <w:proofErr w:type="gramEnd"/>
            <w:r w:rsidRPr="00F56356">
              <w:rPr>
                <w:rFonts w:ascii="Times New Roman" w:eastAsia="Times New Roman" w:hAnsi="Times New Roman" w:cs="Times New Roman"/>
                <w:color w:val="000000"/>
                <w:sz w:val="20"/>
                <w:szCs w:val="20"/>
                <w:lang w:eastAsia="it-IT"/>
              </w:rPr>
              <w:t>-attività-protocolli-progetti avviati per la ripresa delle relazioni con le Autorità Centrali nel rispetto dei principi stabiliti dalla Convenzione de l'</w:t>
            </w:r>
            <w:proofErr w:type="spellStart"/>
            <w:r w:rsidRPr="00F56356">
              <w:rPr>
                <w:rFonts w:ascii="Times New Roman" w:eastAsia="Times New Roman" w:hAnsi="Times New Roman" w:cs="Times New Roman"/>
                <w:color w:val="000000"/>
                <w:sz w:val="20"/>
                <w:szCs w:val="20"/>
                <w:lang w:eastAsia="it-IT"/>
              </w:rPr>
              <w:t>AjA</w:t>
            </w:r>
            <w:proofErr w:type="spellEnd"/>
            <w:r w:rsidRPr="00F56356">
              <w:rPr>
                <w:rFonts w:ascii="Times New Roman" w:eastAsia="Times New Roman" w:hAnsi="Times New Roman" w:cs="Times New Roman"/>
                <w:color w:val="000000"/>
                <w:sz w:val="20"/>
                <w:szCs w:val="20"/>
                <w:lang w:eastAsia="it-IT"/>
              </w:rPr>
              <w:t>/</w:t>
            </w:r>
            <w:proofErr w:type="spellStart"/>
            <w:r w:rsidRPr="00F56356">
              <w:rPr>
                <w:rFonts w:ascii="Times New Roman" w:eastAsia="Times New Roman" w:hAnsi="Times New Roman" w:cs="Times New Roman"/>
                <w:color w:val="000000"/>
                <w:sz w:val="20"/>
                <w:szCs w:val="20"/>
                <w:lang w:eastAsia="it-IT"/>
              </w:rPr>
              <w:t>N.iniziative</w:t>
            </w:r>
            <w:proofErr w:type="spellEnd"/>
            <w:r w:rsidRPr="00F56356">
              <w:rPr>
                <w:rFonts w:ascii="Times New Roman" w:eastAsia="Times New Roman" w:hAnsi="Times New Roman" w:cs="Times New Roman"/>
                <w:color w:val="000000"/>
                <w:sz w:val="20"/>
                <w:szCs w:val="20"/>
                <w:lang w:eastAsia="it-IT"/>
              </w:rPr>
              <w:t xml:space="preserve">-attività-protocolli-progetti  autorizzati/deliberati dalla  CAI </w:t>
            </w:r>
          </w:p>
        </w:tc>
        <w:tc>
          <w:tcPr>
            <w:tcW w:w="1180" w:type="dxa"/>
            <w:tcBorders>
              <w:top w:val="nil"/>
              <w:left w:val="nil"/>
              <w:bottom w:val="single" w:sz="4" w:space="0" w:color="auto"/>
              <w:right w:val="nil"/>
            </w:tcBorders>
            <w:shd w:val="clear" w:color="auto" w:fill="auto"/>
            <w:vAlign w:val="center"/>
            <w:hideMark/>
          </w:tcPr>
          <w:p w14:paraId="4194942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40" w:type="dxa"/>
            <w:tcBorders>
              <w:top w:val="nil"/>
              <w:left w:val="single" w:sz="4" w:space="0" w:color="auto"/>
              <w:bottom w:val="single" w:sz="4" w:space="0" w:color="auto"/>
              <w:right w:val="nil"/>
            </w:tcBorders>
            <w:shd w:val="clear" w:color="auto" w:fill="auto"/>
            <w:vAlign w:val="center"/>
            <w:hideMark/>
          </w:tcPr>
          <w:p w14:paraId="7C0516E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6A4B86B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434CABC6" w14:textId="77777777" w:rsidTr="00F56356">
        <w:trPr>
          <w:trHeight w:val="63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3229CD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67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1E81B7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60721D3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40" w:type="dxa"/>
            <w:tcBorders>
              <w:top w:val="nil"/>
              <w:left w:val="nil"/>
              <w:bottom w:val="single" w:sz="4" w:space="0" w:color="auto"/>
              <w:right w:val="nil"/>
            </w:tcBorders>
            <w:shd w:val="clear" w:color="auto" w:fill="auto"/>
            <w:vAlign w:val="center"/>
            <w:hideMark/>
          </w:tcPr>
          <w:p w14:paraId="14D6916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14:paraId="0695FE6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6F66B14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1ABF5A4"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CFB705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65128D2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3BEFF0C"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214B20F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A3C60A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9548DA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160B823" wp14:editId="7684C265">
            <wp:extent cx="6120130" cy="6563094"/>
            <wp:effectExtent l="0" t="0" r="0" b="9525"/>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20130" cy="6563094"/>
                    </a:xfrm>
                    <a:prstGeom prst="rect">
                      <a:avLst/>
                    </a:prstGeom>
                    <a:noFill/>
                    <a:ln>
                      <a:noFill/>
                    </a:ln>
                  </pic:spPr>
                </pic:pic>
              </a:graphicData>
            </a:graphic>
          </wp:inline>
        </w:drawing>
      </w:r>
    </w:p>
    <w:p w14:paraId="1BCA44B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39BAD12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EF7D476"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49E8B4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21522FE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6903CC1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1B86F48"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2B92057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BE82D5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352092F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3DB3BDB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3381EC19"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A4B5406"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6E334F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65737F7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E2298EC" wp14:editId="70518141">
            <wp:extent cx="6067425" cy="8467725"/>
            <wp:effectExtent l="0" t="0" r="9525" b="9525"/>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067425" cy="8467725"/>
                    </a:xfrm>
                    <a:prstGeom prst="rect">
                      <a:avLst/>
                    </a:prstGeom>
                    <a:noFill/>
                    <a:ln>
                      <a:noFill/>
                    </a:ln>
                  </pic:spPr>
                </pic:pic>
              </a:graphicData>
            </a:graphic>
          </wp:inline>
        </w:drawing>
      </w:r>
    </w:p>
    <w:p w14:paraId="1AEE81C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AF57EF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713C09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BD11170"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1D88D8F" wp14:editId="6BBB4CA3">
            <wp:extent cx="6115050" cy="8077200"/>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15050" cy="8077200"/>
                    </a:xfrm>
                    <a:prstGeom prst="rect">
                      <a:avLst/>
                    </a:prstGeom>
                    <a:noFill/>
                    <a:ln>
                      <a:noFill/>
                    </a:ln>
                  </pic:spPr>
                </pic:pic>
              </a:graphicData>
            </a:graphic>
          </wp:inline>
        </w:drawing>
      </w:r>
    </w:p>
    <w:p w14:paraId="7E96DDA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7CC38745"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7429564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70DFD78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B77F112" wp14:editId="136800A8">
            <wp:extent cx="6124575" cy="8858250"/>
            <wp:effectExtent l="0" t="0" r="9525"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24575" cy="8858250"/>
                    </a:xfrm>
                    <a:prstGeom prst="rect">
                      <a:avLst/>
                    </a:prstGeom>
                    <a:noFill/>
                    <a:ln>
                      <a:noFill/>
                    </a:ln>
                  </pic:spPr>
                </pic:pic>
              </a:graphicData>
            </a:graphic>
          </wp:inline>
        </w:drawing>
      </w:r>
    </w:p>
    <w:p w14:paraId="565B577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17EDDA97" wp14:editId="1AE7971E">
            <wp:extent cx="6086475" cy="8686800"/>
            <wp:effectExtent l="0" t="0" r="9525"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086475" cy="8686800"/>
                    </a:xfrm>
                    <a:prstGeom prst="rect">
                      <a:avLst/>
                    </a:prstGeom>
                    <a:noFill/>
                    <a:ln>
                      <a:noFill/>
                    </a:ln>
                  </pic:spPr>
                </pic:pic>
              </a:graphicData>
            </a:graphic>
          </wp:inline>
        </w:drawing>
      </w:r>
    </w:p>
    <w:p w14:paraId="09383858"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CD64AF4"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419D1F95" wp14:editId="43D16E1F">
            <wp:extent cx="6067425" cy="8420100"/>
            <wp:effectExtent l="0" t="0" r="9525"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67425" cy="8420100"/>
                    </a:xfrm>
                    <a:prstGeom prst="rect">
                      <a:avLst/>
                    </a:prstGeom>
                    <a:noFill/>
                    <a:ln>
                      <a:noFill/>
                    </a:ln>
                  </pic:spPr>
                </pic:pic>
              </a:graphicData>
            </a:graphic>
          </wp:inline>
        </w:drawing>
      </w:r>
    </w:p>
    <w:p w14:paraId="54065B5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2EA02C1" w14:textId="4AFB4118" w:rsidR="00F56356" w:rsidRDefault="00F56356" w:rsidP="00F56356">
      <w:pPr>
        <w:spacing w:after="0" w:line="240" w:lineRule="auto"/>
        <w:rPr>
          <w:rFonts w:ascii="Times New Roman" w:eastAsia="Times New Roman" w:hAnsi="Times New Roman" w:cs="Times New Roman"/>
          <w:sz w:val="24"/>
          <w:szCs w:val="24"/>
          <w:lang w:eastAsia="it-IT"/>
        </w:rPr>
      </w:pPr>
    </w:p>
    <w:p w14:paraId="23FD0632" w14:textId="77777777" w:rsidR="0043213C" w:rsidRPr="00F56356" w:rsidRDefault="0043213C" w:rsidP="00F56356">
      <w:pPr>
        <w:spacing w:after="0" w:line="240" w:lineRule="auto"/>
        <w:rPr>
          <w:rFonts w:ascii="Times New Roman" w:eastAsia="Times New Roman" w:hAnsi="Times New Roman" w:cs="Times New Roman"/>
          <w:sz w:val="24"/>
          <w:szCs w:val="24"/>
          <w:lang w:eastAsia="it-IT"/>
        </w:rPr>
      </w:pPr>
    </w:p>
    <w:p w14:paraId="36784EC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bl>
      <w:tblPr>
        <w:tblW w:w="9380" w:type="dxa"/>
        <w:tblCellMar>
          <w:left w:w="70" w:type="dxa"/>
          <w:right w:w="70" w:type="dxa"/>
        </w:tblCellMar>
        <w:tblLook w:val="04A0" w:firstRow="1" w:lastRow="0" w:firstColumn="1" w:lastColumn="0" w:noHBand="0" w:noVBand="1"/>
      </w:tblPr>
      <w:tblGrid>
        <w:gridCol w:w="2280"/>
        <w:gridCol w:w="540"/>
        <w:gridCol w:w="1240"/>
        <w:gridCol w:w="1380"/>
        <w:gridCol w:w="1180"/>
        <w:gridCol w:w="1340"/>
        <w:gridCol w:w="1420"/>
      </w:tblGrid>
      <w:tr w:rsidR="00F56356" w:rsidRPr="00F56356" w14:paraId="3784CF2E" w14:textId="77777777" w:rsidTr="00F56356">
        <w:trPr>
          <w:trHeight w:val="345"/>
        </w:trPr>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3DA27"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bookmarkStart w:id="61" w:name="RANGE!B1:H24"/>
            <w:r w:rsidRPr="00F56356">
              <w:rPr>
                <w:rFonts w:ascii="Times New Roman" w:eastAsia="Times New Roman" w:hAnsi="Times New Roman" w:cs="Times New Roman"/>
                <w:b/>
                <w:bCs/>
                <w:i/>
                <w:iCs/>
                <w:color w:val="000000"/>
                <w:sz w:val="28"/>
                <w:szCs w:val="28"/>
                <w:lang w:eastAsia="it-IT"/>
              </w:rPr>
              <w:lastRenderedPageBreak/>
              <w:t>SCHEDA OBIETTIVO</w:t>
            </w:r>
            <w:bookmarkEnd w:id="61"/>
          </w:p>
        </w:tc>
      </w:tr>
      <w:tr w:rsidR="00F56356" w:rsidRPr="00F56356" w14:paraId="2EAE2759" w14:textId="77777777" w:rsidTr="00F56356">
        <w:trPr>
          <w:trHeight w:val="49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D0CD6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0880ED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6722FB98" w14:textId="77777777" w:rsidTr="00F56356">
        <w:trPr>
          <w:trHeight w:val="49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6A2841B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56D24A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43C3D08D" w14:textId="77777777" w:rsidTr="00F56356">
        <w:trPr>
          <w:trHeight w:val="49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441ADE8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5D7682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15 - Politiche per la famiglia</w:t>
            </w:r>
          </w:p>
        </w:tc>
      </w:tr>
      <w:tr w:rsidR="00F56356" w:rsidRPr="00F56356" w14:paraId="694407D5" w14:textId="77777777" w:rsidTr="00F56356">
        <w:trPr>
          <w:trHeight w:val="49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4A247B0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490922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Azione di sistema di prevenzione e contrasto degli abusi sessuali a danno dei minori </w:t>
            </w:r>
          </w:p>
        </w:tc>
      </w:tr>
      <w:tr w:rsidR="00F56356" w:rsidRPr="00F56356" w14:paraId="54FAEEE1" w14:textId="77777777" w:rsidTr="00F56356">
        <w:trPr>
          <w:trHeight w:val="49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1ED67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3BAC1DA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Individuazione del gestore del servizio pubblico di emergenza infanzia "114"</w:t>
            </w:r>
          </w:p>
        </w:tc>
      </w:tr>
      <w:tr w:rsidR="00F56356" w:rsidRPr="00F56356" w14:paraId="1E428411" w14:textId="77777777" w:rsidTr="00F56356">
        <w:trPr>
          <w:trHeight w:val="34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9AB0BB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1ECA35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2D30907" w14:textId="77777777" w:rsidTr="00F56356">
        <w:trPr>
          <w:trHeight w:val="34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8D13CA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0E104FD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4AF87B1" w14:textId="77777777" w:rsidTr="00F56356">
        <w:trPr>
          <w:trHeight w:val="435"/>
        </w:trPr>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150E0DF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39731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533</w:t>
            </w: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0167C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9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AF784D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010FFA7" w14:textId="77777777" w:rsidTr="00F56356">
        <w:trPr>
          <w:trHeight w:val="1200"/>
        </w:trPr>
        <w:tc>
          <w:tcPr>
            <w:tcW w:w="2280" w:type="dxa"/>
            <w:vMerge/>
            <w:tcBorders>
              <w:top w:val="nil"/>
              <w:left w:val="single" w:sz="4" w:space="0" w:color="auto"/>
              <w:bottom w:val="single" w:sz="4" w:space="0" w:color="000000"/>
              <w:right w:val="single" w:sz="4" w:space="0" w:color="auto"/>
            </w:tcBorders>
            <w:vAlign w:val="center"/>
            <w:hideMark/>
          </w:tcPr>
          <w:p w14:paraId="7CF5607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C83E81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B6C83A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80" w:type="dxa"/>
            <w:tcBorders>
              <w:top w:val="nil"/>
              <w:left w:val="nil"/>
              <w:bottom w:val="single" w:sz="4" w:space="0" w:color="auto"/>
              <w:right w:val="single" w:sz="4" w:space="0" w:color="auto"/>
            </w:tcBorders>
            <w:shd w:val="clear" w:color="auto" w:fill="auto"/>
            <w:vAlign w:val="center"/>
            <w:hideMark/>
          </w:tcPr>
          <w:p w14:paraId="2D03F69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C17AC9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343E28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20" w:type="dxa"/>
            <w:tcBorders>
              <w:top w:val="nil"/>
              <w:left w:val="nil"/>
              <w:bottom w:val="single" w:sz="4" w:space="0" w:color="auto"/>
              <w:right w:val="single" w:sz="4" w:space="0" w:color="auto"/>
            </w:tcBorders>
            <w:shd w:val="clear" w:color="auto" w:fill="auto"/>
            <w:vAlign w:val="center"/>
            <w:hideMark/>
          </w:tcPr>
          <w:p w14:paraId="5E55790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Totale impegnato</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EE3F9E9" w14:textId="77777777" w:rsidTr="00F56356">
        <w:trPr>
          <w:trHeight w:val="510"/>
        </w:trPr>
        <w:tc>
          <w:tcPr>
            <w:tcW w:w="2280" w:type="dxa"/>
            <w:vMerge/>
            <w:tcBorders>
              <w:top w:val="nil"/>
              <w:left w:val="single" w:sz="4" w:space="0" w:color="auto"/>
              <w:bottom w:val="single" w:sz="4" w:space="0" w:color="000000"/>
              <w:right w:val="single" w:sz="4" w:space="0" w:color="auto"/>
            </w:tcBorders>
            <w:vAlign w:val="center"/>
            <w:hideMark/>
          </w:tcPr>
          <w:p w14:paraId="772C68A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DB8D23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3664B31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600.000,00</w:t>
            </w:r>
          </w:p>
        </w:tc>
        <w:tc>
          <w:tcPr>
            <w:tcW w:w="1380" w:type="dxa"/>
            <w:tcBorders>
              <w:top w:val="nil"/>
              <w:left w:val="nil"/>
              <w:bottom w:val="single" w:sz="4" w:space="0" w:color="auto"/>
              <w:right w:val="single" w:sz="4" w:space="0" w:color="auto"/>
            </w:tcBorders>
            <w:shd w:val="clear" w:color="auto" w:fill="auto"/>
            <w:noWrap/>
            <w:vAlign w:val="center"/>
            <w:hideMark/>
          </w:tcPr>
          <w:p w14:paraId="503734A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810.837,27</w:t>
            </w:r>
          </w:p>
        </w:tc>
        <w:tc>
          <w:tcPr>
            <w:tcW w:w="1180" w:type="dxa"/>
            <w:tcBorders>
              <w:top w:val="nil"/>
              <w:left w:val="nil"/>
              <w:bottom w:val="single" w:sz="4" w:space="0" w:color="auto"/>
              <w:right w:val="single" w:sz="4" w:space="0" w:color="auto"/>
            </w:tcBorders>
            <w:shd w:val="clear" w:color="auto" w:fill="auto"/>
            <w:noWrap/>
            <w:vAlign w:val="center"/>
            <w:hideMark/>
          </w:tcPr>
          <w:p w14:paraId="70EAAB9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4.672,74</w:t>
            </w:r>
          </w:p>
        </w:tc>
        <w:tc>
          <w:tcPr>
            <w:tcW w:w="1340" w:type="dxa"/>
            <w:tcBorders>
              <w:top w:val="nil"/>
              <w:left w:val="nil"/>
              <w:bottom w:val="single" w:sz="4" w:space="0" w:color="auto"/>
              <w:right w:val="single" w:sz="4" w:space="0" w:color="auto"/>
            </w:tcBorders>
            <w:shd w:val="clear" w:color="auto" w:fill="auto"/>
            <w:noWrap/>
            <w:vAlign w:val="center"/>
            <w:hideMark/>
          </w:tcPr>
          <w:p w14:paraId="75C605B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345.802,62</w:t>
            </w:r>
          </w:p>
        </w:tc>
        <w:tc>
          <w:tcPr>
            <w:tcW w:w="1420" w:type="dxa"/>
            <w:tcBorders>
              <w:top w:val="nil"/>
              <w:left w:val="nil"/>
              <w:bottom w:val="single" w:sz="4" w:space="0" w:color="auto"/>
              <w:right w:val="single" w:sz="4" w:space="0" w:color="auto"/>
            </w:tcBorders>
            <w:shd w:val="clear" w:color="auto" w:fill="auto"/>
            <w:noWrap/>
            <w:vAlign w:val="center"/>
            <w:hideMark/>
          </w:tcPr>
          <w:p w14:paraId="48D718E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350.475,36</w:t>
            </w:r>
          </w:p>
        </w:tc>
      </w:tr>
      <w:tr w:rsidR="00F56356" w:rsidRPr="00F56356" w14:paraId="46B757F9" w14:textId="77777777" w:rsidTr="00F56356">
        <w:trPr>
          <w:trHeight w:val="300"/>
        </w:trPr>
        <w:tc>
          <w:tcPr>
            <w:tcW w:w="2280" w:type="dxa"/>
            <w:tcBorders>
              <w:top w:val="nil"/>
              <w:left w:val="single" w:sz="4" w:space="0" w:color="auto"/>
              <w:bottom w:val="nil"/>
              <w:right w:val="nil"/>
            </w:tcBorders>
            <w:shd w:val="clear" w:color="auto" w:fill="auto"/>
            <w:noWrap/>
            <w:vAlign w:val="center"/>
            <w:hideMark/>
          </w:tcPr>
          <w:p w14:paraId="0AF75A3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E4D4334"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517FD7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nil"/>
            </w:tcBorders>
            <w:shd w:val="clear" w:color="auto" w:fill="auto"/>
            <w:noWrap/>
            <w:vAlign w:val="bottom"/>
            <w:hideMark/>
          </w:tcPr>
          <w:p w14:paraId="046323A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6A5AC52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374B72E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single" w:sz="4" w:space="0" w:color="auto"/>
            </w:tcBorders>
            <w:shd w:val="clear" w:color="auto" w:fill="auto"/>
            <w:noWrap/>
            <w:vAlign w:val="bottom"/>
            <w:hideMark/>
          </w:tcPr>
          <w:p w14:paraId="648468D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A7F11FA" w14:textId="77777777" w:rsidTr="00F56356">
        <w:trPr>
          <w:trHeight w:val="300"/>
        </w:trPr>
        <w:tc>
          <w:tcPr>
            <w:tcW w:w="9380" w:type="dxa"/>
            <w:gridSpan w:val="7"/>
            <w:tcBorders>
              <w:top w:val="nil"/>
              <w:left w:val="single" w:sz="4" w:space="0" w:color="auto"/>
              <w:bottom w:val="nil"/>
              <w:right w:val="single" w:sz="4" w:space="0" w:color="000000"/>
            </w:tcBorders>
            <w:shd w:val="clear" w:color="auto" w:fill="auto"/>
            <w:vAlign w:val="center"/>
            <w:hideMark/>
          </w:tcPr>
          <w:p w14:paraId="02B6D11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153BCEC" w14:textId="77777777" w:rsidTr="00F56356">
        <w:trPr>
          <w:trHeight w:val="300"/>
        </w:trPr>
        <w:tc>
          <w:tcPr>
            <w:tcW w:w="9380" w:type="dxa"/>
            <w:gridSpan w:val="7"/>
            <w:tcBorders>
              <w:top w:val="nil"/>
              <w:left w:val="single" w:sz="4" w:space="0" w:color="auto"/>
              <w:bottom w:val="nil"/>
              <w:right w:val="single" w:sz="4" w:space="0" w:color="000000"/>
            </w:tcBorders>
            <w:shd w:val="clear" w:color="auto" w:fill="auto"/>
            <w:vAlign w:val="center"/>
            <w:hideMark/>
          </w:tcPr>
          <w:p w14:paraId="37E1826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2444711C" w14:textId="77777777" w:rsidTr="00F56356">
        <w:trPr>
          <w:trHeight w:val="300"/>
        </w:trPr>
        <w:tc>
          <w:tcPr>
            <w:tcW w:w="9380" w:type="dxa"/>
            <w:gridSpan w:val="7"/>
            <w:tcBorders>
              <w:top w:val="nil"/>
              <w:left w:val="single" w:sz="4" w:space="0" w:color="auto"/>
              <w:bottom w:val="single" w:sz="4" w:space="0" w:color="auto"/>
              <w:right w:val="single" w:sz="4" w:space="0" w:color="000000"/>
            </w:tcBorders>
            <w:shd w:val="clear" w:color="auto" w:fill="auto"/>
            <w:vAlign w:val="center"/>
            <w:hideMark/>
          </w:tcPr>
          <w:p w14:paraId="648382F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475023D9" w14:textId="77777777" w:rsidTr="00F56356">
        <w:trPr>
          <w:trHeight w:val="390"/>
        </w:trPr>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B4132A"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E4B505D" w14:textId="77777777" w:rsidTr="00F56356">
        <w:trPr>
          <w:trHeight w:val="67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687C23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D74A0D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Pubblicazione dell'Avviso e individuazione del gestore del servizio pubblico di emergenza infanzia "114"</w:t>
            </w:r>
          </w:p>
        </w:tc>
      </w:tr>
      <w:tr w:rsidR="00F56356" w:rsidRPr="00F56356" w14:paraId="3870C169" w14:textId="77777777" w:rsidTr="00F56356">
        <w:trPr>
          <w:trHeight w:val="67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2A56EE2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63FB3D6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Sito web dipartimentale, Protocollo informatico</w:t>
            </w:r>
          </w:p>
        </w:tc>
      </w:tr>
      <w:tr w:rsidR="00F56356" w:rsidRPr="00F56356" w14:paraId="3D6643A7" w14:textId="77777777" w:rsidTr="00F56356">
        <w:trPr>
          <w:trHeight w:val="67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8B8BD2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60" w:type="dxa"/>
            <w:gridSpan w:val="3"/>
            <w:tcBorders>
              <w:top w:val="single" w:sz="4" w:space="0" w:color="auto"/>
              <w:left w:val="nil"/>
              <w:bottom w:val="single" w:sz="4" w:space="0" w:color="auto"/>
              <w:right w:val="single" w:sz="4" w:space="0" w:color="000000"/>
            </w:tcBorders>
            <w:shd w:val="clear" w:color="auto" w:fill="auto"/>
            <w:vAlign w:val="center"/>
            <w:hideMark/>
          </w:tcPr>
          <w:p w14:paraId="423E2DA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1. Pubblicazione dell'Avviso; </w:t>
            </w:r>
            <w:proofErr w:type="gramStart"/>
            <w:r w:rsidRPr="00F56356">
              <w:rPr>
                <w:rFonts w:ascii="Times New Roman" w:eastAsia="Times New Roman" w:hAnsi="Times New Roman" w:cs="Times New Roman"/>
                <w:color w:val="000000"/>
                <w:sz w:val="20"/>
                <w:szCs w:val="20"/>
                <w:lang w:eastAsia="it-IT"/>
              </w:rPr>
              <w:t>2.Individuazione</w:t>
            </w:r>
            <w:proofErr w:type="gramEnd"/>
            <w:r w:rsidRPr="00F56356">
              <w:rPr>
                <w:rFonts w:ascii="Times New Roman" w:eastAsia="Times New Roman" w:hAnsi="Times New Roman" w:cs="Times New Roman"/>
                <w:color w:val="000000"/>
                <w:sz w:val="20"/>
                <w:szCs w:val="20"/>
                <w:lang w:eastAsia="it-IT"/>
              </w:rPr>
              <w:t xml:space="preserve"> del Gestore </w:t>
            </w:r>
          </w:p>
        </w:tc>
        <w:tc>
          <w:tcPr>
            <w:tcW w:w="1180" w:type="dxa"/>
            <w:tcBorders>
              <w:top w:val="nil"/>
              <w:left w:val="nil"/>
              <w:bottom w:val="single" w:sz="4" w:space="0" w:color="auto"/>
              <w:right w:val="nil"/>
            </w:tcBorders>
            <w:shd w:val="clear" w:color="auto" w:fill="auto"/>
            <w:vAlign w:val="center"/>
            <w:hideMark/>
          </w:tcPr>
          <w:p w14:paraId="666961D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3DC361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62143C9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8479914" w14:textId="77777777" w:rsidTr="00F56356">
        <w:trPr>
          <w:trHeight w:val="69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73E37B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8ECE78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437A599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2/2</w:t>
            </w:r>
          </w:p>
        </w:tc>
        <w:tc>
          <w:tcPr>
            <w:tcW w:w="1340" w:type="dxa"/>
            <w:tcBorders>
              <w:top w:val="nil"/>
              <w:left w:val="nil"/>
              <w:bottom w:val="single" w:sz="4" w:space="0" w:color="auto"/>
              <w:right w:val="nil"/>
            </w:tcBorders>
            <w:shd w:val="clear" w:color="auto" w:fill="auto"/>
            <w:vAlign w:val="center"/>
            <w:hideMark/>
          </w:tcPr>
          <w:p w14:paraId="47CCD1B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2/2</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179773F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r w:rsidR="00F56356" w:rsidRPr="00F56356" w14:paraId="695ADFD6" w14:textId="77777777" w:rsidTr="00F56356">
        <w:trPr>
          <w:trHeight w:val="570"/>
        </w:trPr>
        <w:tc>
          <w:tcPr>
            <w:tcW w:w="9380" w:type="dxa"/>
            <w:gridSpan w:val="7"/>
            <w:tcBorders>
              <w:top w:val="single" w:sz="4" w:space="0" w:color="auto"/>
              <w:left w:val="single" w:sz="4" w:space="0" w:color="auto"/>
              <w:bottom w:val="nil"/>
              <w:right w:val="single" w:sz="4" w:space="0" w:color="000000"/>
            </w:tcBorders>
            <w:shd w:val="clear" w:color="000000" w:fill="FFFFFF"/>
            <w:vAlign w:val="center"/>
            <w:hideMark/>
          </w:tcPr>
          <w:p w14:paraId="5DC85467"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Lo scostamento tra lo stanziamento definitivo di competenza, i pagamenti in c/competenza e il totale impegnato è dovuto al seguente ordine di </w:t>
            </w:r>
            <w:proofErr w:type="gramStart"/>
            <w:r w:rsidRPr="00F56356">
              <w:rPr>
                <w:rFonts w:ascii="Times New Roman" w:eastAsia="Times New Roman" w:hAnsi="Times New Roman" w:cs="Times New Roman"/>
                <w:color w:val="000000"/>
                <w:sz w:val="18"/>
                <w:szCs w:val="18"/>
                <w:lang w:eastAsia="it-IT"/>
              </w:rPr>
              <w:t xml:space="preserve">motivi:   </w:t>
            </w:r>
            <w:proofErr w:type="gramEnd"/>
            <w:r w:rsidRPr="00F56356">
              <w:rPr>
                <w:rFonts w:ascii="Times New Roman" w:eastAsia="Times New Roman" w:hAnsi="Times New Roman" w:cs="Times New Roman"/>
                <w:color w:val="000000"/>
                <w:sz w:val="18"/>
                <w:szCs w:val="18"/>
                <w:lang w:eastAsia="it-IT"/>
              </w:rPr>
              <w:t xml:space="preserve"> </w:t>
            </w:r>
          </w:p>
        </w:tc>
      </w:tr>
      <w:tr w:rsidR="00F56356" w:rsidRPr="00F56356" w14:paraId="5A1E0494" w14:textId="77777777" w:rsidTr="00F56356">
        <w:trPr>
          <w:trHeight w:val="765"/>
        </w:trPr>
        <w:tc>
          <w:tcPr>
            <w:tcW w:w="9380" w:type="dxa"/>
            <w:gridSpan w:val="7"/>
            <w:tcBorders>
              <w:top w:val="nil"/>
              <w:left w:val="single" w:sz="4" w:space="0" w:color="auto"/>
              <w:bottom w:val="nil"/>
              <w:right w:val="single" w:sz="4" w:space="0" w:color="000000"/>
            </w:tcBorders>
            <w:shd w:val="clear" w:color="000000" w:fill="FFFFFF"/>
            <w:vAlign w:val="center"/>
            <w:hideMark/>
          </w:tcPr>
          <w:p w14:paraId="5E4A0E93"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1) In data 30 dicembre 2021 è stata adottata la determina per l'emanazione, nel corso dell'anno 2022, di un Avviso pubblico per la concessione di un contributo per la gestione del numero pubblico di emergenza infanzia 114, in considerazione della </w:t>
            </w:r>
            <w:proofErr w:type="gramStart"/>
            <w:r w:rsidRPr="00F56356">
              <w:rPr>
                <w:rFonts w:ascii="Times New Roman" w:eastAsia="Times New Roman" w:hAnsi="Times New Roman" w:cs="Times New Roman"/>
                <w:color w:val="000000"/>
                <w:sz w:val="18"/>
                <w:szCs w:val="18"/>
                <w:lang w:eastAsia="it-IT"/>
              </w:rPr>
              <w:t>scadenza  dell</w:t>
            </w:r>
            <w:proofErr w:type="gramEnd"/>
            <w:r w:rsidRPr="00F56356">
              <w:rPr>
                <w:rFonts w:ascii="Times New Roman" w:eastAsia="Times New Roman" w:hAnsi="Times New Roman" w:cs="Times New Roman"/>
                <w:color w:val="000000"/>
                <w:sz w:val="18"/>
                <w:szCs w:val="18"/>
                <w:lang w:eastAsia="it-IT"/>
              </w:rPr>
              <w:t xml:space="preserve">' Accordo triennale del 28 giugno 2019 prevista per il 27 giugno 2022.   </w:t>
            </w:r>
          </w:p>
        </w:tc>
      </w:tr>
      <w:tr w:rsidR="00F56356" w:rsidRPr="00F56356" w14:paraId="111C1318" w14:textId="77777777" w:rsidTr="00F56356">
        <w:trPr>
          <w:trHeight w:val="825"/>
        </w:trPr>
        <w:tc>
          <w:tcPr>
            <w:tcW w:w="9380" w:type="dxa"/>
            <w:gridSpan w:val="7"/>
            <w:tcBorders>
              <w:top w:val="nil"/>
              <w:left w:val="single" w:sz="4" w:space="0" w:color="auto"/>
              <w:bottom w:val="nil"/>
              <w:right w:val="single" w:sz="4" w:space="0" w:color="000000"/>
            </w:tcBorders>
            <w:shd w:val="clear" w:color="000000" w:fill="FFFFFF"/>
            <w:vAlign w:val="center"/>
            <w:hideMark/>
          </w:tcPr>
          <w:p w14:paraId="4CA2802D"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2) Sul capitolo in oggetto gravano, tra l'altro, le risorse impegnate per </w:t>
            </w:r>
            <w:proofErr w:type="gramStart"/>
            <w:r w:rsidRPr="00F56356">
              <w:rPr>
                <w:rFonts w:ascii="Times New Roman" w:eastAsia="Times New Roman" w:hAnsi="Times New Roman" w:cs="Times New Roman"/>
                <w:color w:val="000000"/>
                <w:sz w:val="18"/>
                <w:szCs w:val="18"/>
                <w:lang w:eastAsia="it-IT"/>
              </w:rPr>
              <w:t>euro  14.640</w:t>
            </w:r>
            <w:proofErr w:type="gramEnd"/>
            <w:r w:rsidRPr="00F56356">
              <w:rPr>
                <w:rFonts w:ascii="Times New Roman" w:eastAsia="Times New Roman" w:hAnsi="Times New Roman" w:cs="Times New Roman"/>
                <w:color w:val="000000"/>
                <w:sz w:val="18"/>
                <w:szCs w:val="18"/>
                <w:lang w:eastAsia="it-IT"/>
              </w:rPr>
              <w:t xml:space="preserve">,00 inerenti il costo annuale relativo al contratto triennale  per l'utenza del numero di emergenza infanzia 114 gestita da  Telecom S.p.A.  Le risorse pagate in favore di Telecom </w:t>
            </w:r>
            <w:proofErr w:type="spellStart"/>
            <w:r w:rsidRPr="00F56356">
              <w:rPr>
                <w:rFonts w:ascii="Times New Roman" w:eastAsia="Times New Roman" w:hAnsi="Times New Roman" w:cs="Times New Roman"/>
                <w:color w:val="000000"/>
                <w:sz w:val="18"/>
                <w:szCs w:val="18"/>
                <w:lang w:eastAsia="it-IT"/>
              </w:rPr>
              <w:t>S.pA</w:t>
            </w:r>
            <w:proofErr w:type="spellEnd"/>
            <w:r w:rsidRPr="00F56356">
              <w:rPr>
                <w:rFonts w:ascii="Times New Roman" w:eastAsia="Times New Roman" w:hAnsi="Times New Roman" w:cs="Times New Roman"/>
                <w:color w:val="000000"/>
                <w:sz w:val="18"/>
                <w:szCs w:val="18"/>
                <w:lang w:eastAsia="it-IT"/>
              </w:rPr>
              <w:t xml:space="preserve">. nel corso dell'esercizio finanziario 2022 ammontano a euro 4.672,74.   </w:t>
            </w:r>
          </w:p>
        </w:tc>
      </w:tr>
      <w:tr w:rsidR="00F56356" w:rsidRPr="00F56356" w14:paraId="33DAD9FF" w14:textId="77777777" w:rsidTr="00F56356">
        <w:trPr>
          <w:trHeight w:val="1305"/>
        </w:trPr>
        <w:tc>
          <w:tcPr>
            <w:tcW w:w="9380" w:type="dxa"/>
            <w:gridSpan w:val="7"/>
            <w:tcBorders>
              <w:top w:val="nil"/>
              <w:left w:val="single" w:sz="4" w:space="0" w:color="auto"/>
              <w:bottom w:val="single" w:sz="4" w:space="0" w:color="auto"/>
              <w:right w:val="single" w:sz="4" w:space="0" w:color="000000"/>
            </w:tcBorders>
            <w:shd w:val="clear" w:color="000000" w:fill="FFFFFF"/>
            <w:vAlign w:val="center"/>
            <w:hideMark/>
          </w:tcPr>
          <w:p w14:paraId="7D1543E6"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3) In data 26 luglio 2022 è stato stipulato un nuovo Accordo triennale di </w:t>
            </w:r>
            <w:proofErr w:type="gramStart"/>
            <w:r w:rsidRPr="00F56356">
              <w:rPr>
                <w:rFonts w:ascii="Times New Roman" w:eastAsia="Times New Roman" w:hAnsi="Times New Roman" w:cs="Times New Roman"/>
                <w:color w:val="000000"/>
                <w:sz w:val="18"/>
                <w:szCs w:val="18"/>
                <w:lang w:eastAsia="it-IT"/>
              </w:rPr>
              <w:t>euro  1.499.977</w:t>
            </w:r>
            <w:proofErr w:type="gramEnd"/>
            <w:r w:rsidRPr="00F56356">
              <w:rPr>
                <w:rFonts w:ascii="Times New Roman" w:eastAsia="Times New Roman" w:hAnsi="Times New Roman" w:cs="Times New Roman"/>
                <w:color w:val="000000"/>
                <w:sz w:val="18"/>
                <w:szCs w:val="18"/>
                <w:lang w:eastAsia="it-IT"/>
              </w:rPr>
              <w:t>,00 in favore della Fondazione SOS Telefono Azzurro Onlus per la gestione del numero di emergenza infanzia 114. Le suddette risorse sono state complessivamente impegnate e imputate per euro 124.998,09 all'esercizio 2022, per euro 499.992,36 agli esercizi 2023 e 2024, ed euro 374.994,19 all'anno 2025. Nell'esercizio 2022 non risulta nessuna erogazione in favore della Fondazione a valere sulle risorse impegnate per l'anno 2022 in quanto non risulta presentata nessuna rendicontazione di spesa dalla stessa Fondazione.</w:t>
            </w:r>
          </w:p>
        </w:tc>
      </w:tr>
    </w:tbl>
    <w:p w14:paraId="6DE9E6D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14908A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29DE3DB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47A70AE" wp14:editId="78419FBF">
            <wp:extent cx="6120130" cy="8371108"/>
            <wp:effectExtent l="0" t="0" r="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20130" cy="8371108"/>
                    </a:xfrm>
                    <a:prstGeom prst="rect">
                      <a:avLst/>
                    </a:prstGeom>
                    <a:noFill/>
                    <a:ln>
                      <a:noFill/>
                    </a:ln>
                  </pic:spPr>
                </pic:pic>
              </a:graphicData>
            </a:graphic>
          </wp:inline>
        </w:drawing>
      </w:r>
    </w:p>
    <w:p w14:paraId="4DF1AAA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B2BE1F1" w14:textId="3CE362CA" w:rsidR="00F56356" w:rsidRDefault="00F56356" w:rsidP="00F56356">
      <w:pPr>
        <w:spacing w:after="0" w:line="240" w:lineRule="auto"/>
        <w:rPr>
          <w:rFonts w:ascii="Times New Roman" w:eastAsia="Times New Roman" w:hAnsi="Times New Roman" w:cs="Times New Roman"/>
          <w:sz w:val="24"/>
          <w:szCs w:val="24"/>
          <w:lang w:eastAsia="it-IT"/>
        </w:rPr>
      </w:pPr>
    </w:p>
    <w:p w14:paraId="7A51A2D1" w14:textId="77777777" w:rsidR="0043213C" w:rsidRPr="00F56356" w:rsidRDefault="0043213C" w:rsidP="00F56356">
      <w:pPr>
        <w:spacing w:after="0" w:line="240" w:lineRule="auto"/>
        <w:rPr>
          <w:rFonts w:ascii="Times New Roman" w:eastAsia="Times New Roman" w:hAnsi="Times New Roman" w:cs="Times New Roman"/>
          <w:sz w:val="24"/>
          <w:szCs w:val="24"/>
          <w:lang w:eastAsia="it-IT"/>
        </w:rPr>
      </w:pPr>
    </w:p>
    <w:p w14:paraId="6D87B343"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bl>
      <w:tblPr>
        <w:tblW w:w="9380" w:type="dxa"/>
        <w:tblCellMar>
          <w:left w:w="70" w:type="dxa"/>
          <w:right w:w="70" w:type="dxa"/>
        </w:tblCellMar>
        <w:tblLook w:val="04A0" w:firstRow="1" w:lastRow="0" w:firstColumn="1" w:lastColumn="0" w:noHBand="0" w:noVBand="1"/>
      </w:tblPr>
      <w:tblGrid>
        <w:gridCol w:w="2280"/>
        <w:gridCol w:w="540"/>
        <w:gridCol w:w="1240"/>
        <w:gridCol w:w="1380"/>
        <w:gridCol w:w="1180"/>
        <w:gridCol w:w="1340"/>
        <w:gridCol w:w="1420"/>
      </w:tblGrid>
      <w:tr w:rsidR="00F56356" w:rsidRPr="00F56356" w14:paraId="1A0ACF1B" w14:textId="77777777" w:rsidTr="00F56356">
        <w:trPr>
          <w:trHeight w:val="375"/>
        </w:trPr>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F513F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31BDCA31" w14:textId="77777777" w:rsidTr="00F56356">
        <w:trPr>
          <w:trHeight w:val="61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2BB80E6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4F0C9BB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30FEE081" w14:textId="77777777" w:rsidTr="00F56356">
        <w:trPr>
          <w:trHeight w:val="61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9027B1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F37F6A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639D5A85" w14:textId="77777777" w:rsidTr="00F56356">
        <w:trPr>
          <w:trHeight w:val="61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CF77B4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D41E28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15 - Politiche per la famiglia</w:t>
            </w:r>
          </w:p>
        </w:tc>
      </w:tr>
      <w:tr w:rsidR="00F56356" w:rsidRPr="00F56356" w14:paraId="6AC664A8" w14:textId="77777777" w:rsidTr="00F56356">
        <w:trPr>
          <w:trHeight w:val="73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26A680C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5CA616D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Realizzazione interventi per il sostegno dell'adozione internazionale</w:t>
            </w:r>
          </w:p>
        </w:tc>
      </w:tr>
      <w:tr w:rsidR="00F56356" w:rsidRPr="00F56356" w14:paraId="79876BCD" w14:textId="77777777" w:rsidTr="00F56356">
        <w:trPr>
          <w:trHeight w:val="73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810703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09AE29D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Misure di sostegno alle famiglie adottive delle spese inerenti </w:t>
            </w:r>
            <w:proofErr w:type="gramStart"/>
            <w:r w:rsidRPr="00F56356">
              <w:rPr>
                <w:rFonts w:ascii="Times New Roman" w:eastAsia="Times New Roman" w:hAnsi="Times New Roman" w:cs="Times New Roman"/>
                <w:color w:val="000000"/>
                <w:sz w:val="20"/>
                <w:szCs w:val="20"/>
                <w:lang w:eastAsia="it-IT"/>
              </w:rPr>
              <w:t>le</w:t>
            </w:r>
            <w:proofErr w:type="gramEnd"/>
            <w:r w:rsidRPr="00F56356">
              <w:rPr>
                <w:rFonts w:ascii="Times New Roman" w:eastAsia="Times New Roman" w:hAnsi="Times New Roman" w:cs="Times New Roman"/>
                <w:color w:val="000000"/>
                <w:sz w:val="20"/>
                <w:szCs w:val="20"/>
                <w:lang w:eastAsia="it-IT"/>
              </w:rPr>
              <w:t xml:space="preserve"> adozioni internazionali</w:t>
            </w:r>
          </w:p>
        </w:tc>
      </w:tr>
      <w:tr w:rsidR="00F56356" w:rsidRPr="00F56356" w14:paraId="63A935A9" w14:textId="77777777" w:rsidTr="00F56356">
        <w:trPr>
          <w:trHeight w:val="73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B3F83B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2EADFBF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B93BE92" w14:textId="77777777" w:rsidTr="00F56356">
        <w:trPr>
          <w:trHeight w:val="73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6D7C6DE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599245F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9B78E72" w14:textId="77777777" w:rsidTr="00F56356">
        <w:trPr>
          <w:trHeight w:val="585"/>
        </w:trPr>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4E02C1B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CDE7F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538</w:t>
            </w: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49A75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9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CA53A3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2CE0CBFB" w14:textId="77777777" w:rsidTr="00F56356">
        <w:trPr>
          <w:trHeight w:val="1215"/>
        </w:trPr>
        <w:tc>
          <w:tcPr>
            <w:tcW w:w="2280" w:type="dxa"/>
            <w:vMerge/>
            <w:tcBorders>
              <w:top w:val="nil"/>
              <w:left w:val="single" w:sz="4" w:space="0" w:color="auto"/>
              <w:bottom w:val="single" w:sz="4" w:space="0" w:color="000000"/>
              <w:right w:val="single" w:sz="4" w:space="0" w:color="auto"/>
            </w:tcBorders>
            <w:vAlign w:val="center"/>
            <w:hideMark/>
          </w:tcPr>
          <w:p w14:paraId="71E0A14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197EFE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4CDBDD0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80" w:type="dxa"/>
            <w:tcBorders>
              <w:top w:val="nil"/>
              <w:left w:val="nil"/>
              <w:bottom w:val="single" w:sz="4" w:space="0" w:color="auto"/>
              <w:right w:val="single" w:sz="4" w:space="0" w:color="auto"/>
            </w:tcBorders>
            <w:shd w:val="clear" w:color="auto" w:fill="auto"/>
            <w:vAlign w:val="center"/>
            <w:hideMark/>
          </w:tcPr>
          <w:p w14:paraId="29BAC9B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7DD8E3C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04A6CD3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20" w:type="dxa"/>
            <w:tcBorders>
              <w:top w:val="nil"/>
              <w:left w:val="nil"/>
              <w:bottom w:val="single" w:sz="4" w:space="0" w:color="auto"/>
              <w:right w:val="single" w:sz="4" w:space="0" w:color="auto"/>
            </w:tcBorders>
            <w:shd w:val="clear" w:color="auto" w:fill="auto"/>
            <w:vAlign w:val="center"/>
            <w:hideMark/>
          </w:tcPr>
          <w:p w14:paraId="0E1A955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Totale impegnato</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2AA46BD" w14:textId="77777777" w:rsidTr="00F56356">
        <w:trPr>
          <w:trHeight w:val="600"/>
        </w:trPr>
        <w:tc>
          <w:tcPr>
            <w:tcW w:w="2280" w:type="dxa"/>
            <w:vMerge/>
            <w:tcBorders>
              <w:top w:val="nil"/>
              <w:left w:val="single" w:sz="4" w:space="0" w:color="auto"/>
              <w:bottom w:val="single" w:sz="4" w:space="0" w:color="000000"/>
              <w:right w:val="single" w:sz="4" w:space="0" w:color="auto"/>
            </w:tcBorders>
            <w:vAlign w:val="center"/>
            <w:hideMark/>
          </w:tcPr>
          <w:p w14:paraId="46FE22B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E85B73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AD2ADC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7.500.000,00</w:t>
            </w:r>
          </w:p>
        </w:tc>
        <w:tc>
          <w:tcPr>
            <w:tcW w:w="1380" w:type="dxa"/>
            <w:tcBorders>
              <w:top w:val="nil"/>
              <w:left w:val="nil"/>
              <w:bottom w:val="single" w:sz="4" w:space="0" w:color="auto"/>
              <w:right w:val="single" w:sz="4" w:space="0" w:color="auto"/>
            </w:tcBorders>
            <w:shd w:val="clear" w:color="auto" w:fill="auto"/>
            <w:noWrap/>
            <w:vAlign w:val="center"/>
            <w:hideMark/>
          </w:tcPr>
          <w:p w14:paraId="4F62256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20.812.629,00</w:t>
            </w:r>
          </w:p>
        </w:tc>
        <w:tc>
          <w:tcPr>
            <w:tcW w:w="1180" w:type="dxa"/>
            <w:tcBorders>
              <w:top w:val="nil"/>
              <w:left w:val="nil"/>
              <w:bottom w:val="single" w:sz="4" w:space="0" w:color="auto"/>
              <w:right w:val="single" w:sz="4" w:space="0" w:color="auto"/>
            </w:tcBorders>
            <w:shd w:val="clear" w:color="auto" w:fill="auto"/>
            <w:noWrap/>
            <w:vAlign w:val="center"/>
            <w:hideMark/>
          </w:tcPr>
          <w:p w14:paraId="0341C66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4.473.717,04</w:t>
            </w:r>
          </w:p>
        </w:tc>
        <w:tc>
          <w:tcPr>
            <w:tcW w:w="1340" w:type="dxa"/>
            <w:tcBorders>
              <w:top w:val="nil"/>
              <w:left w:val="nil"/>
              <w:bottom w:val="single" w:sz="4" w:space="0" w:color="auto"/>
              <w:right w:val="single" w:sz="4" w:space="0" w:color="auto"/>
            </w:tcBorders>
            <w:shd w:val="clear" w:color="auto" w:fill="auto"/>
            <w:noWrap/>
            <w:vAlign w:val="center"/>
            <w:hideMark/>
          </w:tcPr>
          <w:p w14:paraId="0D64F2B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420" w:type="dxa"/>
            <w:tcBorders>
              <w:top w:val="nil"/>
              <w:left w:val="nil"/>
              <w:bottom w:val="single" w:sz="4" w:space="0" w:color="auto"/>
              <w:right w:val="single" w:sz="4" w:space="0" w:color="auto"/>
            </w:tcBorders>
            <w:shd w:val="clear" w:color="auto" w:fill="auto"/>
            <w:noWrap/>
            <w:vAlign w:val="center"/>
            <w:hideMark/>
          </w:tcPr>
          <w:p w14:paraId="74BF86F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4.473.717,04</w:t>
            </w:r>
          </w:p>
        </w:tc>
      </w:tr>
      <w:tr w:rsidR="00F56356" w:rsidRPr="00F56356" w14:paraId="295F2EF4" w14:textId="77777777" w:rsidTr="00F56356">
        <w:trPr>
          <w:trHeight w:val="270"/>
        </w:trPr>
        <w:tc>
          <w:tcPr>
            <w:tcW w:w="2280" w:type="dxa"/>
            <w:tcBorders>
              <w:top w:val="nil"/>
              <w:left w:val="single" w:sz="4" w:space="0" w:color="auto"/>
              <w:bottom w:val="nil"/>
              <w:right w:val="nil"/>
            </w:tcBorders>
            <w:shd w:val="clear" w:color="auto" w:fill="auto"/>
            <w:noWrap/>
            <w:vAlign w:val="center"/>
            <w:hideMark/>
          </w:tcPr>
          <w:p w14:paraId="0968AEBC"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0040F55"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06CCE9B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nil"/>
            </w:tcBorders>
            <w:shd w:val="clear" w:color="auto" w:fill="auto"/>
            <w:noWrap/>
            <w:vAlign w:val="bottom"/>
            <w:hideMark/>
          </w:tcPr>
          <w:p w14:paraId="7E2F40B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75D3670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4A2465C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single" w:sz="4" w:space="0" w:color="auto"/>
            </w:tcBorders>
            <w:shd w:val="clear" w:color="auto" w:fill="auto"/>
            <w:noWrap/>
            <w:vAlign w:val="bottom"/>
            <w:hideMark/>
          </w:tcPr>
          <w:p w14:paraId="7160CB2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0301204" w14:textId="77777777" w:rsidTr="00F56356">
        <w:trPr>
          <w:trHeight w:val="285"/>
        </w:trPr>
        <w:tc>
          <w:tcPr>
            <w:tcW w:w="9380" w:type="dxa"/>
            <w:gridSpan w:val="7"/>
            <w:tcBorders>
              <w:top w:val="nil"/>
              <w:left w:val="single" w:sz="4" w:space="0" w:color="auto"/>
              <w:bottom w:val="nil"/>
              <w:right w:val="single" w:sz="4" w:space="0" w:color="000000"/>
            </w:tcBorders>
            <w:shd w:val="clear" w:color="auto" w:fill="auto"/>
            <w:vAlign w:val="center"/>
            <w:hideMark/>
          </w:tcPr>
          <w:p w14:paraId="439903B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073A823" w14:textId="77777777" w:rsidTr="00F56356">
        <w:trPr>
          <w:trHeight w:val="285"/>
        </w:trPr>
        <w:tc>
          <w:tcPr>
            <w:tcW w:w="9380" w:type="dxa"/>
            <w:gridSpan w:val="7"/>
            <w:tcBorders>
              <w:top w:val="nil"/>
              <w:left w:val="single" w:sz="4" w:space="0" w:color="auto"/>
              <w:bottom w:val="nil"/>
              <w:right w:val="single" w:sz="4" w:space="0" w:color="000000"/>
            </w:tcBorders>
            <w:shd w:val="clear" w:color="auto" w:fill="auto"/>
            <w:vAlign w:val="center"/>
            <w:hideMark/>
          </w:tcPr>
          <w:p w14:paraId="2F3006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1B2EFECE" w14:textId="77777777" w:rsidTr="00F56356">
        <w:trPr>
          <w:trHeight w:val="285"/>
        </w:trPr>
        <w:tc>
          <w:tcPr>
            <w:tcW w:w="9380" w:type="dxa"/>
            <w:gridSpan w:val="7"/>
            <w:tcBorders>
              <w:top w:val="nil"/>
              <w:left w:val="single" w:sz="4" w:space="0" w:color="auto"/>
              <w:bottom w:val="single" w:sz="4" w:space="0" w:color="auto"/>
              <w:right w:val="single" w:sz="4" w:space="0" w:color="000000"/>
            </w:tcBorders>
            <w:shd w:val="clear" w:color="auto" w:fill="auto"/>
            <w:vAlign w:val="center"/>
            <w:hideMark/>
          </w:tcPr>
          <w:p w14:paraId="5006426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7F826A05" w14:textId="77777777" w:rsidTr="00F56356">
        <w:trPr>
          <w:trHeight w:val="300"/>
        </w:trPr>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F1E8F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94BBBCC" w14:textId="77777777" w:rsidTr="00F56356">
        <w:trPr>
          <w:trHeight w:val="39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492A476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602824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progetti/iniziative/attività previsti negli atti programmatici della CAI.</w:t>
            </w:r>
          </w:p>
        </w:tc>
      </w:tr>
      <w:tr w:rsidR="00F56356" w:rsidRPr="00F56356" w14:paraId="064D3C0D" w14:textId="77777777" w:rsidTr="00F56356">
        <w:trPr>
          <w:trHeight w:val="63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4970665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812DA4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Programma assentito dall'Organo di vertice politico-amministrativo, protocollo informatico; sito web; PEC; SIGOGE; accordi di collaborazione</w:t>
            </w:r>
          </w:p>
        </w:tc>
      </w:tr>
      <w:tr w:rsidR="00F56356" w:rsidRPr="00F56356" w14:paraId="357AB36D" w14:textId="77777777" w:rsidTr="00F56356">
        <w:trPr>
          <w:trHeight w:val="81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C05793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60" w:type="dxa"/>
            <w:gridSpan w:val="3"/>
            <w:tcBorders>
              <w:top w:val="single" w:sz="4" w:space="0" w:color="auto"/>
              <w:left w:val="nil"/>
              <w:bottom w:val="single" w:sz="4" w:space="0" w:color="auto"/>
              <w:right w:val="single" w:sz="4" w:space="0" w:color="000000"/>
            </w:tcBorders>
            <w:shd w:val="clear" w:color="auto" w:fill="auto"/>
            <w:vAlign w:val="center"/>
            <w:hideMark/>
          </w:tcPr>
          <w:p w14:paraId="5909140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roofErr w:type="spellStart"/>
            <w:proofErr w:type="gramStart"/>
            <w:r w:rsidRPr="00F56356">
              <w:rPr>
                <w:rFonts w:ascii="Times New Roman" w:eastAsia="Times New Roman" w:hAnsi="Times New Roman" w:cs="Times New Roman"/>
                <w:color w:val="000000"/>
                <w:sz w:val="20"/>
                <w:szCs w:val="20"/>
                <w:lang w:eastAsia="it-IT"/>
              </w:rPr>
              <w:t>N.Progetti</w:t>
            </w:r>
            <w:proofErr w:type="spellEnd"/>
            <w:proofErr w:type="gramEnd"/>
            <w:r w:rsidRPr="00F56356">
              <w:rPr>
                <w:rFonts w:ascii="Times New Roman" w:eastAsia="Times New Roman" w:hAnsi="Times New Roman" w:cs="Times New Roman"/>
                <w:color w:val="000000"/>
                <w:sz w:val="20"/>
                <w:szCs w:val="20"/>
                <w:lang w:eastAsia="it-IT"/>
              </w:rPr>
              <w:t xml:space="preserve">/iniziative/attività avviati rispetto a </w:t>
            </w:r>
            <w:proofErr w:type="spellStart"/>
            <w:r w:rsidRPr="00F56356">
              <w:rPr>
                <w:rFonts w:ascii="Times New Roman" w:eastAsia="Times New Roman" w:hAnsi="Times New Roman" w:cs="Times New Roman"/>
                <w:color w:val="000000"/>
                <w:sz w:val="20"/>
                <w:szCs w:val="20"/>
                <w:lang w:eastAsia="it-IT"/>
              </w:rPr>
              <w:t>N.progetti</w:t>
            </w:r>
            <w:proofErr w:type="spellEnd"/>
            <w:r w:rsidRPr="00F56356">
              <w:rPr>
                <w:rFonts w:ascii="Times New Roman" w:eastAsia="Times New Roman" w:hAnsi="Times New Roman" w:cs="Times New Roman"/>
                <w:color w:val="000000"/>
                <w:sz w:val="20"/>
                <w:szCs w:val="20"/>
                <w:lang w:eastAsia="it-IT"/>
              </w:rPr>
              <w:t>/</w:t>
            </w:r>
            <w:proofErr w:type="spellStart"/>
            <w:r w:rsidRPr="00F56356">
              <w:rPr>
                <w:rFonts w:ascii="Times New Roman" w:eastAsia="Times New Roman" w:hAnsi="Times New Roman" w:cs="Times New Roman"/>
                <w:color w:val="000000"/>
                <w:sz w:val="20"/>
                <w:szCs w:val="20"/>
                <w:lang w:eastAsia="it-IT"/>
              </w:rPr>
              <w:t>inizaitive</w:t>
            </w:r>
            <w:proofErr w:type="spellEnd"/>
            <w:r w:rsidRPr="00F56356">
              <w:rPr>
                <w:rFonts w:ascii="Times New Roman" w:eastAsia="Times New Roman" w:hAnsi="Times New Roman" w:cs="Times New Roman"/>
                <w:color w:val="000000"/>
                <w:sz w:val="20"/>
                <w:szCs w:val="20"/>
                <w:lang w:eastAsia="it-IT"/>
              </w:rPr>
              <w:t>/attività decise dalla CAI</w:t>
            </w:r>
          </w:p>
        </w:tc>
        <w:tc>
          <w:tcPr>
            <w:tcW w:w="1180" w:type="dxa"/>
            <w:tcBorders>
              <w:top w:val="nil"/>
              <w:left w:val="nil"/>
              <w:bottom w:val="single" w:sz="4" w:space="0" w:color="auto"/>
              <w:right w:val="nil"/>
            </w:tcBorders>
            <w:shd w:val="clear" w:color="auto" w:fill="auto"/>
            <w:vAlign w:val="center"/>
            <w:hideMark/>
          </w:tcPr>
          <w:p w14:paraId="4C52BFA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1D8EC1A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8A8240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F6C499F" w14:textId="77777777" w:rsidTr="00F56356">
        <w:trPr>
          <w:trHeight w:val="58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F422DB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8E1C75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38A9FF7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6CBB744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6E68395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68512736"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0C5A234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79081A6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6E9E9C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6BAB457"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3A52BC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28E01CF"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CE82DBA"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522F1601"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736C119B"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bl>
      <w:tblPr>
        <w:tblW w:w="9380" w:type="dxa"/>
        <w:tblCellMar>
          <w:left w:w="70" w:type="dxa"/>
          <w:right w:w="70" w:type="dxa"/>
        </w:tblCellMar>
        <w:tblLook w:val="04A0" w:firstRow="1" w:lastRow="0" w:firstColumn="1" w:lastColumn="0" w:noHBand="0" w:noVBand="1"/>
      </w:tblPr>
      <w:tblGrid>
        <w:gridCol w:w="2280"/>
        <w:gridCol w:w="540"/>
        <w:gridCol w:w="1240"/>
        <w:gridCol w:w="1380"/>
        <w:gridCol w:w="1180"/>
        <w:gridCol w:w="1340"/>
        <w:gridCol w:w="1420"/>
      </w:tblGrid>
      <w:tr w:rsidR="00F56356" w:rsidRPr="00F56356" w14:paraId="6E54A975" w14:textId="77777777" w:rsidTr="00F56356">
        <w:trPr>
          <w:trHeight w:val="375"/>
        </w:trPr>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C611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451E7C1E" w14:textId="77777777" w:rsidTr="00F56356">
        <w:trPr>
          <w:trHeight w:val="63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40F5D70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3246119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7096C0EB" w14:textId="77777777" w:rsidTr="00F56356">
        <w:trPr>
          <w:trHeight w:val="63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D8C5AB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C8049A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0244BE42" w14:textId="77777777" w:rsidTr="00F56356">
        <w:trPr>
          <w:trHeight w:val="63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273E01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269DCB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15 - Politiche per la famiglia</w:t>
            </w:r>
          </w:p>
        </w:tc>
      </w:tr>
      <w:tr w:rsidR="00F56356" w:rsidRPr="00F56356" w14:paraId="4DAC141E" w14:textId="77777777" w:rsidTr="00F56356">
        <w:trPr>
          <w:trHeight w:val="51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2243ADC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196EE0A0"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207113F" w14:textId="77777777" w:rsidTr="00F56356">
        <w:trPr>
          <w:trHeight w:val="55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D8CB35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9C9E94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180333C4" w14:textId="77777777" w:rsidTr="00F56356">
        <w:trPr>
          <w:trHeight w:val="63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42D909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1311414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interventi di contrasto del cyberbullismo</w:t>
            </w:r>
          </w:p>
        </w:tc>
      </w:tr>
      <w:tr w:rsidR="00F56356" w:rsidRPr="00F56356" w14:paraId="5503C98B" w14:textId="77777777" w:rsidTr="00F56356">
        <w:trPr>
          <w:trHeight w:val="111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4DE5A54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E0305D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Interventi di prevenzione e di sensibilizzazione sul fenomeno del cyberbullismo in coerenza con quanto previsto dall'articolo 3, comma 5, della Legge 29 maggio 2017, n. 71 "Disposizioni a tutela dei minori per la prevenzione ed il contrasto del fenomeno del cyberbullismo"</w:t>
            </w:r>
          </w:p>
        </w:tc>
      </w:tr>
      <w:tr w:rsidR="00F56356" w:rsidRPr="00F56356" w14:paraId="3FB30DA2" w14:textId="77777777" w:rsidTr="00F56356">
        <w:trPr>
          <w:trHeight w:val="525"/>
        </w:trPr>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D57BB6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9BE2DF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539</w:t>
            </w: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FF5859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9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912C24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5734D6B0" w14:textId="77777777" w:rsidTr="00F56356">
        <w:trPr>
          <w:trHeight w:val="1215"/>
        </w:trPr>
        <w:tc>
          <w:tcPr>
            <w:tcW w:w="2280" w:type="dxa"/>
            <w:vMerge/>
            <w:tcBorders>
              <w:top w:val="nil"/>
              <w:left w:val="single" w:sz="4" w:space="0" w:color="auto"/>
              <w:bottom w:val="single" w:sz="4" w:space="0" w:color="000000"/>
              <w:right w:val="single" w:sz="4" w:space="0" w:color="auto"/>
            </w:tcBorders>
            <w:vAlign w:val="center"/>
            <w:hideMark/>
          </w:tcPr>
          <w:p w14:paraId="531EC76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5ED4CC8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4B7388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80" w:type="dxa"/>
            <w:tcBorders>
              <w:top w:val="nil"/>
              <w:left w:val="nil"/>
              <w:bottom w:val="single" w:sz="4" w:space="0" w:color="auto"/>
              <w:right w:val="single" w:sz="4" w:space="0" w:color="auto"/>
            </w:tcBorders>
            <w:shd w:val="clear" w:color="auto" w:fill="auto"/>
            <w:vAlign w:val="center"/>
            <w:hideMark/>
          </w:tcPr>
          <w:p w14:paraId="2400529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3B6CF92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5E9FB4B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20" w:type="dxa"/>
            <w:tcBorders>
              <w:top w:val="nil"/>
              <w:left w:val="nil"/>
              <w:bottom w:val="single" w:sz="4" w:space="0" w:color="auto"/>
              <w:right w:val="single" w:sz="4" w:space="0" w:color="auto"/>
            </w:tcBorders>
            <w:shd w:val="clear" w:color="auto" w:fill="auto"/>
            <w:vAlign w:val="center"/>
            <w:hideMark/>
          </w:tcPr>
          <w:p w14:paraId="2FE3F4D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Totale impegnato</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C0C95B7" w14:textId="77777777" w:rsidTr="00F56356">
        <w:trPr>
          <w:trHeight w:val="390"/>
        </w:trPr>
        <w:tc>
          <w:tcPr>
            <w:tcW w:w="2280" w:type="dxa"/>
            <w:vMerge/>
            <w:tcBorders>
              <w:top w:val="nil"/>
              <w:left w:val="single" w:sz="4" w:space="0" w:color="auto"/>
              <w:bottom w:val="single" w:sz="4" w:space="0" w:color="000000"/>
              <w:right w:val="single" w:sz="4" w:space="0" w:color="auto"/>
            </w:tcBorders>
            <w:vAlign w:val="center"/>
            <w:hideMark/>
          </w:tcPr>
          <w:p w14:paraId="211CFE1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704BD41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2814C1F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48.498,00</w:t>
            </w:r>
          </w:p>
        </w:tc>
        <w:tc>
          <w:tcPr>
            <w:tcW w:w="1380" w:type="dxa"/>
            <w:tcBorders>
              <w:top w:val="nil"/>
              <w:left w:val="nil"/>
              <w:bottom w:val="single" w:sz="4" w:space="0" w:color="auto"/>
              <w:right w:val="single" w:sz="4" w:space="0" w:color="auto"/>
            </w:tcBorders>
            <w:shd w:val="clear" w:color="auto" w:fill="auto"/>
            <w:noWrap/>
            <w:vAlign w:val="center"/>
            <w:hideMark/>
          </w:tcPr>
          <w:p w14:paraId="3F60DB9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54.935,44</w:t>
            </w:r>
          </w:p>
        </w:tc>
        <w:tc>
          <w:tcPr>
            <w:tcW w:w="1180" w:type="dxa"/>
            <w:tcBorders>
              <w:top w:val="nil"/>
              <w:left w:val="nil"/>
              <w:bottom w:val="single" w:sz="4" w:space="0" w:color="auto"/>
              <w:right w:val="single" w:sz="4" w:space="0" w:color="auto"/>
            </w:tcBorders>
            <w:shd w:val="clear" w:color="auto" w:fill="auto"/>
            <w:noWrap/>
            <w:vAlign w:val="center"/>
            <w:hideMark/>
          </w:tcPr>
          <w:p w14:paraId="01D5340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B39DA4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6.437,44</w:t>
            </w:r>
          </w:p>
        </w:tc>
        <w:tc>
          <w:tcPr>
            <w:tcW w:w="1420" w:type="dxa"/>
            <w:tcBorders>
              <w:top w:val="nil"/>
              <w:left w:val="nil"/>
              <w:bottom w:val="single" w:sz="4" w:space="0" w:color="auto"/>
              <w:right w:val="single" w:sz="4" w:space="0" w:color="auto"/>
            </w:tcBorders>
            <w:shd w:val="clear" w:color="auto" w:fill="auto"/>
            <w:noWrap/>
            <w:vAlign w:val="center"/>
            <w:hideMark/>
          </w:tcPr>
          <w:p w14:paraId="257747DC"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6.437,44</w:t>
            </w:r>
          </w:p>
        </w:tc>
      </w:tr>
      <w:tr w:rsidR="00F56356" w:rsidRPr="00F56356" w14:paraId="3438D245" w14:textId="77777777" w:rsidTr="00F56356">
        <w:trPr>
          <w:trHeight w:val="270"/>
        </w:trPr>
        <w:tc>
          <w:tcPr>
            <w:tcW w:w="2280" w:type="dxa"/>
            <w:tcBorders>
              <w:top w:val="nil"/>
              <w:left w:val="single" w:sz="4" w:space="0" w:color="auto"/>
              <w:bottom w:val="nil"/>
              <w:right w:val="nil"/>
            </w:tcBorders>
            <w:shd w:val="clear" w:color="auto" w:fill="auto"/>
            <w:noWrap/>
            <w:vAlign w:val="center"/>
            <w:hideMark/>
          </w:tcPr>
          <w:p w14:paraId="39D882A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219B74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6F98305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nil"/>
            </w:tcBorders>
            <w:shd w:val="clear" w:color="auto" w:fill="auto"/>
            <w:noWrap/>
            <w:vAlign w:val="bottom"/>
            <w:hideMark/>
          </w:tcPr>
          <w:p w14:paraId="3C83AA3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225B86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1C2018A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single" w:sz="4" w:space="0" w:color="auto"/>
            </w:tcBorders>
            <w:shd w:val="clear" w:color="auto" w:fill="auto"/>
            <w:noWrap/>
            <w:vAlign w:val="bottom"/>
            <w:hideMark/>
          </w:tcPr>
          <w:p w14:paraId="165E218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2F04426" w14:textId="77777777" w:rsidTr="00F56356">
        <w:trPr>
          <w:trHeight w:val="285"/>
        </w:trPr>
        <w:tc>
          <w:tcPr>
            <w:tcW w:w="9380" w:type="dxa"/>
            <w:gridSpan w:val="7"/>
            <w:tcBorders>
              <w:top w:val="nil"/>
              <w:left w:val="single" w:sz="4" w:space="0" w:color="auto"/>
              <w:bottom w:val="nil"/>
              <w:right w:val="single" w:sz="4" w:space="0" w:color="000000"/>
            </w:tcBorders>
            <w:shd w:val="clear" w:color="auto" w:fill="auto"/>
            <w:vAlign w:val="center"/>
            <w:hideMark/>
          </w:tcPr>
          <w:p w14:paraId="02E76A93"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1AF3ACEE" w14:textId="77777777" w:rsidTr="00F56356">
        <w:trPr>
          <w:trHeight w:val="285"/>
        </w:trPr>
        <w:tc>
          <w:tcPr>
            <w:tcW w:w="9380" w:type="dxa"/>
            <w:gridSpan w:val="7"/>
            <w:tcBorders>
              <w:top w:val="nil"/>
              <w:left w:val="single" w:sz="4" w:space="0" w:color="auto"/>
              <w:bottom w:val="nil"/>
              <w:right w:val="single" w:sz="4" w:space="0" w:color="000000"/>
            </w:tcBorders>
            <w:shd w:val="clear" w:color="auto" w:fill="auto"/>
            <w:vAlign w:val="center"/>
            <w:hideMark/>
          </w:tcPr>
          <w:p w14:paraId="567328D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0E123006" w14:textId="77777777" w:rsidTr="00F56356">
        <w:trPr>
          <w:trHeight w:val="285"/>
        </w:trPr>
        <w:tc>
          <w:tcPr>
            <w:tcW w:w="9380" w:type="dxa"/>
            <w:gridSpan w:val="7"/>
            <w:tcBorders>
              <w:top w:val="nil"/>
              <w:left w:val="single" w:sz="4" w:space="0" w:color="auto"/>
              <w:bottom w:val="single" w:sz="4" w:space="0" w:color="auto"/>
              <w:right w:val="single" w:sz="4" w:space="0" w:color="000000"/>
            </w:tcBorders>
            <w:shd w:val="clear" w:color="auto" w:fill="auto"/>
            <w:vAlign w:val="center"/>
            <w:hideMark/>
          </w:tcPr>
          <w:p w14:paraId="113DE1F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405B82FC" w14:textId="77777777" w:rsidTr="00F56356">
        <w:trPr>
          <w:trHeight w:val="420"/>
        </w:trPr>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C91C9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5930B19" w14:textId="77777777" w:rsidTr="00F56356">
        <w:trPr>
          <w:trHeight w:val="76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11BCD03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138BCF0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avviare progetti/iniziative nell'ambito delle politiche di settore rispetto al totale dei progetti/iniziative autorizzati</w:t>
            </w:r>
          </w:p>
        </w:tc>
      </w:tr>
      <w:tr w:rsidR="00F56356" w:rsidRPr="00F56356" w14:paraId="594CF8A3" w14:textId="77777777" w:rsidTr="00F56356">
        <w:trPr>
          <w:trHeight w:val="630"/>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251DB51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7FB8381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SICOGE; sistema di monitoraggio della direttiva; Protocollo informatico</w:t>
            </w:r>
          </w:p>
        </w:tc>
      </w:tr>
      <w:tr w:rsidR="00F56356" w:rsidRPr="00F56356" w14:paraId="2DB72F50" w14:textId="77777777" w:rsidTr="00F56356">
        <w:trPr>
          <w:trHeight w:val="1215"/>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78EB723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60" w:type="dxa"/>
            <w:gridSpan w:val="3"/>
            <w:tcBorders>
              <w:top w:val="single" w:sz="4" w:space="0" w:color="auto"/>
              <w:left w:val="nil"/>
              <w:bottom w:val="single" w:sz="4" w:space="0" w:color="auto"/>
              <w:right w:val="single" w:sz="4" w:space="0" w:color="000000"/>
            </w:tcBorders>
            <w:shd w:val="clear" w:color="auto" w:fill="auto"/>
            <w:vAlign w:val="center"/>
            <w:hideMark/>
          </w:tcPr>
          <w:p w14:paraId="7B8A4CA6"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N. progetti/iniziative avviati / N. progetti/iniziative programmati sulla base della Direttiva generale dell'autorità politica </w:t>
            </w:r>
          </w:p>
        </w:tc>
        <w:tc>
          <w:tcPr>
            <w:tcW w:w="1180" w:type="dxa"/>
            <w:tcBorders>
              <w:top w:val="nil"/>
              <w:left w:val="nil"/>
              <w:bottom w:val="single" w:sz="4" w:space="0" w:color="auto"/>
              <w:right w:val="nil"/>
            </w:tcBorders>
            <w:shd w:val="clear" w:color="auto" w:fill="auto"/>
            <w:vAlign w:val="center"/>
            <w:hideMark/>
          </w:tcPr>
          <w:p w14:paraId="03AB690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61E8FA9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1E29D3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5016A37" w14:textId="77777777" w:rsidTr="00F56356">
        <w:trPr>
          <w:trHeight w:val="585"/>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679ED71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AE950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vAlign w:val="center"/>
            <w:hideMark/>
          </w:tcPr>
          <w:p w14:paraId="6B98EBB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6496A23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01DA0BC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425492EE"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419581D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1FA3C71D"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p w14:paraId="691A767B" w14:textId="28E0180D" w:rsidR="00F56356" w:rsidRDefault="00F56356" w:rsidP="00F56356">
      <w:pPr>
        <w:spacing w:after="0" w:line="24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89A48BE" wp14:editId="21E5594C">
            <wp:extent cx="6246564" cy="8839200"/>
            <wp:effectExtent l="0" t="0" r="1905"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249797" cy="8843775"/>
                    </a:xfrm>
                    <a:prstGeom prst="rect">
                      <a:avLst/>
                    </a:prstGeom>
                    <a:noFill/>
                    <a:ln>
                      <a:noFill/>
                    </a:ln>
                  </pic:spPr>
                </pic:pic>
              </a:graphicData>
            </a:graphic>
          </wp:inline>
        </w:drawing>
      </w:r>
    </w:p>
    <w:p w14:paraId="38076265" w14:textId="77777777" w:rsidR="0043213C" w:rsidRPr="00F56356" w:rsidRDefault="0043213C" w:rsidP="00F56356">
      <w:pPr>
        <w:spacing w:after="0" w:line="240" w:lineRule="auto"/>
        <w:rPr>
          <w:rFonts w:ascii="Times New Roman" w:eastAsia="Times New Roman" w:hAnsi="Times New Roman" w:cs="Times New Roman"/>
          <w:sz w:val="24"/>
          <w:szCs w:val="24"/>
          <w:lang w:eastAsia="it-IT"/>
        </w:rPr>
      </w:pPr>
    </w:p>
    <w:tbl>
      <w:tblPr>
        <w:tblW w:w="9918" w:type="dxa"/>
        <w:tblCellMar>
          <w:left w:w="70" w:type="dxa"/>
          <w:right w:w="70" w:type="dxa"/>
        </w:tblCellMar>
        <w:tblLook w:val="04A0" w:firstRow="1" w:lastRow="0" w:firstColumn="1" w:lastColumn="0" w:noHBand="0" w:noVBand="1"/>
      </w:tblPr>
      <w:tblGrid>
        <w:gridCol w:w="2520"/>
        <w:gridCol w:w="540"/>
        <w:gridCol w:w="1265"/>
        <w:gridCol w:w="1500"/>
        <w:gridCol w:w="1180"/>
        <w:gridCol w:w="1440"/>
        <w:gridCol w:w="1473"/>
      </w:tblGrid>
      <w:tr w:rsidR="00F56356" w:rsidRPr="00F56356" w14:paraId="3382CF4F" w14:textId="77777777" w:rsidTr="00F56356">
        <w:trPr>
          <w:trHeight w:val="36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40297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lastRenderedPageBreak/>
              <w:t>SCHEDA OBIETTIVO</w:t>
            </w:r>
          </w:p>
        </w:tc>
      </w:tr>
      <w:tr w:rsidR="00F56356" w:rsidRPr="00F56356" w14:paraId="31747B7D" w14:textId="77777777" w:rsidTr="00F56356">
        <w:trPr>
          <w:trHeight w:val="42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C57DBD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1198E42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567A0866" w14:textId="77777777" w:rsidTr="00F56356">
        <w:trPr>
          <w:trHeight w:val="405"/>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5CB2386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39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C2AF15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roofErr w:type="gramStart"/>
            <w:r w:rsidRPr="00F56356">
              <w:rPr>
                <w:rFonts w:ascii="Times New Roman" w:eastAsia="Times New Roman" w:hAnsi="Times New Roman" w:cs="Times New Roman"/>
                <w:color w:val="000000"/>
                <w:sz w:val="20"/>
                <w:szCs w:val="20"/>
                <w:lang w:eastAsia="it-IT"/>
              </w:rPr>
              <w:t>24.5  -</w:t>
            </w:r>
            <w:proofErr w:type="gramEnd"/>
            <w:r w:rsidRPr="00F56356">
              <w:rPr>
                <w:rFonts w:ascii="Times New Roman" w:eastAsia="Times New Roman" w:hAnsi="Times New Roman" w:cs="Times New Roman"/>
                <w:color w:val="000000"/>
                <w:sz w:val="20"/>
                <w:szCs w:val="20"/>
                <w:lang w:eastAsia="it-IT"/>
              </w:rPr>
              <w:t>Famiglia, pari opportunità e situazioni di disagio</w:t>
            </w:r>
          </w:p>
        </w:tc>
      </w:tr>
      <w:tr w:rsidR="00F56356" w:rsidRPr="00F56356" w14:paraId="0CE6D90A" w14:textId="77777777" w:rsidTr="00F56356">
        <w:trPr>
          <w:trHeight w:val="51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2A110D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39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80EDAA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15 - Politiche per la famiglia</w:t>
            </w:r>
          </w:p>
        </w:tc>
      </w:tr>
      <w:tr w:rsidR="00F56356" w:rsidRPr="00F56356" w14:paraId="14A7DC9F" w14:textId="77777777" w:rsidTr="00F56356">
        <w:trPr>
          <w:trHeight w:val="661"/>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F211A1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03F2CCC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Predisposizione e trasmissione dello schema di decreto concernente il riparto delle risorse del Fondo per le politiche della famiglia per l’anno 2022 da adottarsi a seguito dell'Intesa sancita in sede di Conferenza Unificata</w:t>
            </w:r>
          </w:p>
        </w:tc>
      </w:tr>
      <w:tr w:rsidR="00F56356" w:rsidRPr="00F56356" w14:paraId="1FCBC079" w14:textId="77777777" w:rsidTr="00F56356">
        <w:trPr>
          <w:trHeight w:val="969"/>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06C774D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2CD91A1E"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Per l'utilizzazione delle risorse assegnate al Fondo per le politiche della famiglia si provvede annualmente mediante la programmazione della destinazione delle stesse con apposito decreto di riparto, ai sensi dell'articolo 1, comma 1252, della Legge 27 dicembre 2006, n. 296, che deve essere adottato d'Intesa sancita in sede di conferenza unificata</w:t>
            </w:r>
          </w:p>
        </w:tc>
      </w:tr>
      <w:tr w:rsidR="00F56356" w:rsidRPr="00F56356" w14:paraId="5D7BED83" w14:textId="77777777" w:rsidTr="00F56356">
        <w:trPr>
          <w:trHeight w:val="285"/>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66A3B80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31D8994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D898F9D" w14:textId="77777777" w:rsidTr="00F56356">
        <w:trPr>
          <w:trHeight w:val="285"/>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76539C7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00A5A3CD"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2751555" w14:textId="77777777" w:rsidTr="00F56356">
        <w:trPr>
          <w:trHeight w:val="360"/>
        </w:trPr>
        <w:tc>
          <w:tcPr>
            <w:tcW w:w="2520" w:type="dxa"/>
            <w:vMerge w:val="restart"/>
            <w:tcBorders>
              <w:top w:val="nil"/>
              <w:left w:val="single" w:sz="4" w:space="0" w:color="auto"/>
              <w:bottom w:val="single" w:sz="4" w:space="0" w:color="000000"/>
              <w:right w:val="single" w:sz="4" w:space="0" w:color="auto"/>
            </w:tcBorders>
            <w:shd w:val="clear" w:color="auto" w:fill="auto"/>
            <w:vAlign w:val="center"/>
            <w:hideMark/>
          </w:tcPr>
          <w:p w14:paraId="5157775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89386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858</w:t>
            </w:r>
          </w:p>
        </w:tc>
        <w:tc>
          <w:tcPr>
            <w:tcW w:w="276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461A1D"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09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64C20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2EFBE3D1" w14:textId="77777777" w:rsidTr="00F56356">
        <w:trPr>
          <w:trHeight w:val="1095"/>
        </w:trPr>
        <w:tc>
          <w:tcPr>
            <w:tcW w:w="2520" w:type="dxa"/>
            <w:vMerge/>
            <w:tcBorders>
              <w:top w:val="nil"/>
              <w:left w:val="single" w:sz="4" w:space="0" w:color="auto"/>
              <w:bottom w:val="single" w:sz="4" w:space="0" w:color="000000"/>
              <w:right w:val="single" w:sz="4" w:space="0" w:color="auto"/>
            </w:tcBorders>
            <w:vAlign w:val="center"/>
            <w:hideMark/>
          </w:tcPr>
          <w:p w14:paraId="70C048F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BBB81C6"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65" w:type="dxa"/>
            <w:tcBorders>
              <w:top w:val="nil"/>
              <w:left w:val="nil"/>
              <w:bottom w:val="single" w:sz="4" w:space="0" w:color="auto"/>
              <w:right w:val="single" w:sz="4" w:space="0" w:color="auto"/>
            </w:tcBorders>
            <w:shd w:val="clear" w:color="auto" w:fill="auto"/>
            <w:vAlign w:val="center"/>
            <w:hideMark/>
          </w:tcPr>
          <w:p w14:paraId="036E473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500" w:type="dxa"/>
            <w:tcBorders>
              <w:top w:val="nil"/>
              <w:left w:val="nil"/>
              <w:bottom w:val="single" w:sz="4" w:space="0" w:color="auto"/>
              <w:right w:val="single" w:sz="4" w:space="0" w:color="auto"/>
            </w:tcBorders>
            <w:shd w:val="clear" w:color="auto" w:fill="auto"/>
            <w:vAlign w:val="center"/>
            <w:hideMark/>
          </w:tcPr>
          <w:p w14:paraId="38AE20D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0B2E52C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(3)</w:t>
            </w:r>
          </w:p>
        </w:tc>
        <w:tc>
          <w:tcPr>
            <w:tcW w:w="1440" w:type="dxa"/>
            <w:tcBorders>
              <w:top w:val="nil"/>
              <w:left w:val="nil"/>
              <w:bottom w:val="single" w:sz="4" w:space="0" w:color="auto"/>
              <w:right w:val="single" w:sz="4" w:space="0" w:color="auto"/>
            </w:tcBorders>
            <w:shd w:val="clear" w:color="auto" w:fill="auto"/>
            <w:vAlign w:val="center"/>
            <w:hideMark/>
          </w:tcPr>
          <w:p w14:paraId="0B2AC6D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73" w:type="dxa"/>
            <w:tcBorders>
              <w:top w:val="nil"/>
              <w:left w:val="nil"/>
              <w:bottom w:val="single" w:sz="4" w:space="0" w:color="auto"/>
              <w:right w:val="single" w:sz="4" w:space="0" w:color="auto"/>
            </w:tcBorders>
            <w:shd w:val="clear" w:color="auto" w:fill="auto"/>
            <w:vAlign w:val="center"/>
            <w:hideMark/>
          </w:tcPr>
          <w:p w14:paraId="031A9CB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647E7D1" w14:textId="77777777" w:rsidTr="00F56356">
        <w:trPr>
          <w:trHeight w:val="492"/>
        </w:trPr>
        <w:tc>
          <w:tcPr>
            <w:tcW w:w="2520" w:type="dxa"/>
            <w:vMerge/>
            <w:tcBorders>
              <w:top w:val="nil"/>
              <w:left w:val="single" w:sz="4" w:space="0" w:color="auto"/>
              <w:bottom w:val="single" w:sz="4" w:space="0" w:color="000000"/>
              <w:right w:val="single" w:sz="4" w:space="0" w:color="auto"/>
            </w:tcBorders>
            <w:vAlign w:val="center"/>
            <w:hideMark/>
          </w:tcPr>
          <w:p w14:paraId="105F84A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3B7095D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65" w:type="dxa"/>
            <w:tcBorders>
              <w:top w:val="nil"/>
              <w:left w:val="nil"/>
              <w:bottom w:val="single" w:sz="4" w:space="0" w:color="auto"/>
              <w:right w:val="single" w:sz="4" w:space="0" w:color="auto"/>
            </w:tcBorders>
            <w:shd w:val="clear" w:color="auto" w:fill="auto"/>
            <w:noWrap/>
            <w:vAlign w:val="center"/>
            <w:hideMark/>
          </w:tcPr>
          <w:p w14:paraId="69323D0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100.887.314,00</w:t>
            </w:r>
          </w:p>
        </w:tc>
        <w:tc>
          <w:tcPr>
            <w:tcW w:w="1500" w:type="dxa"/>
            <w:tcBorders>
              <w:top w:val="nil"/>
              <w:left w:val="nil"/>
              <w:bottom w:val="single" w:sz="4" w:space="0" w:color="auto"/>
              <w:right w:val="single" w:sz="4" w:space="0" w:color="auto"/>
            </w:tcBorders>
            <w:shd w:val="clear" w:color="auto" w:fill="auto"/>
            <w:noWrap/>
            <w:vAlign w:val="center"/>
            <w:hideMark/>
          </w:tcPr>
          <w:p w14:paraId="475B945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186.842.454,92</w:t>
            </w:r>
          </w:p>
        </w:tc>
        <w:tc>
          <w:tcPr>
            <w:tcW w:w="1180" w:type="dxa"/>
            <w:tcBorders>
              <w:top w:val="nil"/>
              <w:left w:val="nil"/>
              <w:bottom w:val="single" w:sz="4" w:space="0" w:color="auto"/>
              <w:right w:val="single" w:sz="4" w:space="0" w:color="auto"/>
            </w:tcBorders>
            <w:shd w:val="clear" w:color="auto" w:fill="auto"/>
            <w:noWrap/>
            <w:vAlign w:val="center"/>
            <w:hideMark/>
          </w:tcPr>
          <w:p w14:paraId="1F5708A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25.332.849,01</w:t>
            </w:r>
          </w:p>
        </w:tc>
        <w:tc>
          <w:tcPr>
            <w:tcW w:w="1440" w:type="dxa"/>
            <w:tcBorders>
              <w:top w:val="nil"/>
              <w:left w:val="nil"/>
              <w:bottom w:val="single" w:sz="4" w:space="0" w:color="auto"/>
              <w:right w:val="single" w:sz="4" w:space="0" w:color="auto"/>
            </w:tcBorders>
            <w:shd w:val="clear" w:color="auto" w:fill="auto"/>
            <w:noWrap/>
            <w:vAlign w:val="center"/>
            <w:hideMark/>
          </w:tcPr>
          <w:p w14:paraId="68F2CA5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28.644.489,66</w:t>
            </w:r>
          </w:p>
        </w:tc>
        <w:tc>
          <w:tcPr>
            <w:tcW w:w="1473" w:type="dxa"/>
            <w:tcBorders>
              <w:top w:val="nil"/>
              <w:left w:val="nil"/>
              <w:bottom w:val="single" w:sz="4" w:space="0" w:color="auto"/>
              <w:right w:val="single" w:sz="4" w:space="0" w:color="auto"/>
            </w:tcBorders>
            <w:shd w:val="clear" w:color="auto" w:fill="auto"/>
            <w:noWrap/>
            <w:vAlign w:val="center"/>
            <w:hideMark/>
          </w:tcPr>
          <w:p w14:paraId="4549AB9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53.977.338,67</w:t>
            </w:r>
          </w:p>
        </w:tc>
      </w:tr>
      <w:tr w:rsidR="00F56356" w:rsidRPr="00F56356" w14:paraId="19754620" w14:textId="77777777" w:rsidTr="00F56356">
        <w:trPr>
          <w:trHeight w:val="240"/>
        </w:trPr>
        <w:tc>
          <w:tcPr>
            <w:tcW w:w="2520" w:type="dxa"/>
            <w:tcBorders>
              <w:top w:val="nil"/>
              <w:left w:val="single" w:sz="4" w:space="0" w:color="auto"/>
              <w:bottom w:val="nil"/>
              <w:right w:val="nil"/>
            </w:tcBorders>
            <w:shd w:val="clear" w:color="auto" w:fill="auto"/>
            <w:noWrap/>
            <w:vAlign w:val="center"/>
            <w:hideMark/>
          </w:tcPr>
          <w:p w14:paraId="7F95065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1321AB3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65" w:type="dxa"/>
            <w:tcBorders>
              <w:top w:val="nil"/>
              <w:left w:val="nil"/>
              <w:bottom w:val="nil"/>
              <w:right w:val="nil"/>
            </w:tcBorders>
            <w:shd w:val="clear" w:color="auto" w:fill="auto"/>
            <w:noWrap/>
            <w:vAlign w:val="bottom"/>
            <w:hideMark/>
          </w:tcPr>
          <w:p w14:paraId="0DB18AC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500" w:type="dxa"/>
            <w:tcBorders>
              <w:top w:val="nil"/>
              <w:left w:val="nil"/>
              <w:bottom w:val="nil"/>
              <w:right w:val="nil"/>
            </w:tcBorders>
            <w:shd w:val="clear" w:color="auto" w:fill="auto"/>
            <w:noWrap/>
            <w:vAlign w:val="bottom"/>
            <w:hideMark/>
          </w:tcPr>
          <w:p w14:paraId="6F2610E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262ECC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40" w:type="dxa"/>
            <w:tcBorders>
              <w:top w:val="nil"/>
              <w:left w:val="nil"/>
              <w:bottom w:val="nil"/>
              <w:right w:val="nil"/>
            </w:tcBorders>
            <w:shd w:val="clear" w:color="auto" w:fill="auto"/>
            <w:noWrap/>
            <w:vAlign w:val="bottom"/>
            <w:hideMark/>
          </w:tcPr>
          <w:p w14:paraId="48230C3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73" w:type="dxa"/>
            <w:tcBorders>
              <w:top w:val="nil"/>
              <w:left w:val="nil"/>
              <w:bottom w:val="nil"/>
              <w:right w:val="single" w:sz="4" w:space="0" w:color="auto"/>
            </w:tcBorders>
            <w:shd w:val="clear" w:color="auto" w:fill="auto"/>
            <w:noWrap/>
            <w:vAlign w:val="bottom"/>
            <w:hideMark/>
          </w:tcPr>
          <w:p w14:paraId="0398D6C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5836A8E" w14:textId="77777777" w:rsidTr="00F56356">
        <w:trPr>
          <w:trHeight w:val="285"/>
        </w:trPr>
        <w:tc>
          <w:tcPr>
            <w:tcW w:w="9918" w:type="dxa"/>
            <w:gridSpan w:val="7"/>
            <w:tcBorders>
              <w:top w:val="nil"/>
              <w:left w:val="single" w:sz="4" w:space="0" w:color="auto"/>
              <w:bottom w:val="nil"/>
              <w:right w:val="single" w:sz="4" w:space="0" w:color="000000"/>
            </w:tcBorders>
            <w:shd w:val="clear" w:color="auto" w:fill="auto"/>
            <w:vAlign w:val="center"/>
            <w:hideMark/>
          </w:tcPr>
          <w:p w14:paraId="430FF05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8F8A5D4" w14:textId="77777777" w:rsidTr="00F56356">
        <w:trPr>
          <w:trHeight w:val="285"/>
        </w:trPr>
        <w:tc>
          <w:tcPr>
            <w:tcW w:w="9918" w:type="dxa"/>
            <w:gridSpan w:val="7"/>
            <w:tcBorders>
              <w:top w:val="nil"/>
              <w:left w:val="single" w:sz="4" w:space="0" w:color="auto"/>
              <w:bottom w:val="nil"/>
              <w:right w:val="single" w:sz="4" w:space="0" w:color="000000"/>
            </w:tcBorders>
            <w:shd w:val="clear" w:color="auto" w:fill="auto"/>
            <w:vAlign w:val="center"/>
            <w:hideMark/>
          </w:tcPr>
          <w:p w14:paraId="2D9BB19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1012CB0E" w14:textId="77777777" w:rsidTr="00F56356">
        <w:trPr>
          <w:trHeight w:val="285"/>
        </w:trPr>
        <w:tc>
          <w:tcPr>
            <w:tcW w:w="9918" w:type="dxa"/>
            <w:gridSpan w:val="7"/>
            <w:tcBorders>
              <w:top w:val="nil"/>
              <w:left w:val="single" w:sz="4" w:space="0" w:color="auto"/>
              <w:bottom w:val="single" w:sz="4" w:space="0" w:color="auto"/>
              <w:right w:val="single" w:sz="4" w:space="0" w:color="000000"/>
            </w:tcBorders>
            <w:shd w:val="clear" w:color="auto" w:fill="auto"/>
            <w:vAlign w:val="center"/>
            <w:hideMark/>
          </w:tcPr>
          <w:p w14:paraId="05FE83C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170BB23C" w14:textId="77777777" w:rsidTr="00F56356">
        <w:trPr>
          <w:trHeight w:val="360"/>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04966D"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6F4B2BC3" w14:textId="77777777" w:rsidTr="00F56356">
        <w:trPr>
          <w:trHeight w:val="81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6C16B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3535E2D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Tempestività nella predisposizione e trasmissione all'Autorità politica dello schema di decreto di riparto del Fondo per le politiche della famiglia per l'anno 2022</w:t>
            </w:r>
          </w:p>
        </w:tc>
      </w:tr>
      <w:tr w:rsidR="00F56356" w:rsidRPr="00F56356" w14:paraId="0944E1F1" w14:textId="77777777" w:rsidTr="00F56356">
        <w:trPr>
          <w:trHeight w:val="330"/>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1DACEC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398" w:type="dxa"/>
            <w:gridSpan w:val="6"/>
            <w:tcBorders>
              <w:top w:val="single" w:sz="4" w:space="0" w:color="auto"/>
              <w:left w:val="nil"/>
              <w:bottom w:val="single" w:sz="4" w:space="0" w:color="auto"/>
              <w:right w:val="single" w:sz="4" w:space="0" w:color="000000"/>
            </w:tcBorders>
            <w:shd w:val="clear" w:color="auto" w:fill="auto"/>
            <w:vAlign w:val="center"/>
            <w:hideMark/>
          </w:tcPr>
          <w:p w14:paraId="323A7FC8"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Protocollo informatico</w:t>
            </w:r>
          </w:p>
        </w:tc>
      </w:tr>
      <w:tr w:rsidR="00F56356" w:rsidRPr="00F56356" w14:paraId="5DD94955" w14:textId="77777777" w:rsidTr="00F56356">
        <w:trPr>
          <w:trHeight w:val="1714"/>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329C9C9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305" w:type="dxa"/>
            <w:gridSpan w:val="3"/>
            <w:tcBorders>
              <w:top w:val="single" w:sz="4" w:space="0" w:color="auto"/>
              <w:left w:val="nil"/>
              <w:bottom w:val="single" w:sz="4" w:space="0" w:color="auto"/>
              <w:right w:val="single" w:sz="4" w:space="0" w:color="000000"/>
            </w:tcBorders>
            <w:shd w:val="clear" w:color="auto" w:fill="auto"/>
            <w:vAlign w:val="center"/>
            <w:hideMark/>
          </w:tcPr>
          <w:p w14:paraId="3D2F1B2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Tempestività nella predisposizione e trasmissione all’Autorità politica dello schema di decreto di riparto delle risorse del Fondo per le politiche della Famiglia per l’anno 2022 entro 120 gg dalla disponibilità dei fondi sul pertinente capitolo di bilancio</w:t>
            </w:r>
          </w:p>
        </w:tc>
        <w:tc>
          <w:tcPr>
            <w:tcW w:w="1180" w:type="dxa"/>
            <w:tcBorders>
              <w:top w:val="nil"/>
              <w:left w:val="nil"/>
              <w:bottom w:val="single" w:sz="4" w:space="0" w:color="auto"/>
              <w:right w:val="nil"/>
            </w:tcBorders>
            <w:shd w:val="clear" w:color="auto" w:fill="auto"/>
            <w:vAlign w:val="center"/>
            <w:hideMark/>
          </w:tcPr>
          <w:p w14:paraId="53307A2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440" w:type="dxa"/>
            <w:tcBorders>
              <w:top w:val="nil"/>
              <w:left w:val="single" w:sz="4" w:space="0" w:color="auto"/>
              <w:bottom w:val="single" w:sz="4" w:space="0" w:color="auto"/>
              <w:right w:val="nil"/>
            </w:tcBorders>
            <w:shd w:val="clear" w:color="auto" w:fill="auto"/>
            <w:vAlign w:val="center"/>
            <w:hideMark/>
          </w:tcPr>
          <w:p w14:paraId="05CB411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618C48F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7242F52" w14:textId="77777777" w:rsidTr="00F56356">
        <w:trPr>
          <w:trHeight w:val="54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3DF34E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30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4FD081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giorni di ritardo</w:t>
            </w:r>
          </w:p>
        </w:tc>
        <w:tc>
          <w:tcPr>
            <w:tcW w:w="1180" w:type="dxa"/>
            <w:tcBorders>
              <w:top w:val="nil"/>
              <w:left w:val="nil"/>
              <w:bottom w:val="single" w:sz="4" w:space="0" w:color="auto"/>
              <w:right w:val="single" w:sz="4" w:space="0" w:color="auto"/>
            </w:tcBorders>
            <w:shd w:val="clear" w:color="auto" w:fill="auto"/>
            <w:noWrap/>
            <w:vAlign w:val="center"/>
            <w:hideMark/>
          </w:tcPr>
          <w:p w14:paraId="0A2B23C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440" w:type="dxa"/>
            <w:tcBorders>
              <w:top w:val="nil"/>
              <w:left w:val="nil"/>
              <w:bottom w:val="single" w:sz="4" w:space="0" w:color="auto"/>
              <w:right w:val="nil"/>
            </w:tcBorders>
            <w:shd w:val="clear" w:color="auto" w:fill="auto"/>
            <w:vAlign w:val="center"/>
            <w:hideMark/>
          </w:tcPr>
          <w:p w14:paraId="34078A1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c>
          <w:tcPr>
            <w:tcW w:w="1473" w:type="dxa"/>
            <w:tcBorders>
              <w:top w:val="nil"/>
              <w:left w:val="single" w:sz="4" w:space="0" w:color="auto"/>
              <w:bottom w:val="single" w:sz="4" w:space="0" w:color="auto"/>
              <w:right w:val="single" w:sz="4" w:space="0" w:color="auto"/>
            </w:tcBorders>
            <w:shd w:val="clear" w:color="auto" w:fill="auto"/>
            <w:vAlign w:val="center"/>
            <w:hideMark/>
          </w:tcPr>
          <w:p w14:paraId="204877A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w:t>
            </w:r>
          </w:p>
        </w:tc>
      </w:tr>
      <w:tr w:rsidR="00F56356" w:rsidRPr="00F56356" w14:paraId="5407D71A" w14:textId="77777777" w:rsidTr="00F56356">
        <w:trPr>
          <w:trHeight w:val="2976"/>
        </w:trPr>
        <w:tc>
          <w:tcPr>
            <w:tcW w:w="9918"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2381FD9"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Lo scostamento tra i valori target a preventivo e i valori target a consuntivo relativo ai giorni di ritardo è dovuto al seguente ordine di motivi:                                                                                                                                                                                                                                  </w:t>
            </w:r>
          </w:p>
          <w:p w14:paraId="1E2AB77A"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In relazione alla </w:t>
            </w:r>
            <w:proofErr w:type="spellStart"/>
            <w:r w:rsidRPr="00F56356">
              <w:rPr>
                <w:rFonts w:ascii="Times New Roman" w:eastAsia="Times New Roman" w:hAnsi="Times New Roman" w:cs="Times New Roman"/>
                <w:color w:val="000000"/>
                <w:sz w:val="18"/>
                <w:szCs w:val="18"/>
                <w:lang w:eastAsia="it-IT"/>
              </w:rPr>
              <w:t>trasmmissione</w:t>
            </w:r>
            <w:proofErr w:type="spellEnd"/>
            <w:r w:rsidRPr="00F56356">
              <w:rPr>
                <w:rFonts w:ascii="Times New Roman" w:eastAsia="Times New Roman" w:hAnsi="Times New Roman" w:cs="Times New Roman"/>
                <w:color w:val="000000"/>
                <w:sz w:val="18"/>
                <w:szCs w:val="18"/>
                <w:lang w:eastAsia="it-IT"/>
              </w:rPr>
              <w:t xml:space="preserve"> all'Autorità politica dello schema di decreto di riparto delle risorse del Fondo per le politiche della famiglia per l'annualità 2022, si </w:t>
            </w:r>
            <w:proofErr w:type="spellStart"/>
            <w:r w:rsidRPr="00F56356">
              <w:rPr>
                <w:rFonts w:ascii="Times New Roman" w:eastAsia="Times New Roman" w:hAnsi="Times New Roman" w:cs="Times New Roman"/>
                <w:color w:val="000000"/>
                <w:sz w:val="18"/>
                <w:szCs w:val="18"/>
                <w:lang w:eastAsia="it-IT"/>
              </w:rPr>
              <w:t>evidenia</w:t>
            </w:r>
            <w:proofErr w:type="spellEnd"/>
            <w:r w:rsidRPr="00F56356">
              <w:rPr>
                <w:rFonts w:ascii="Times New Roman" w:eastAsia="Times New Roman" w:hAnsi="Times New Roman" w:cs="Times New Roman"/>
                <w:color w:val="000000"/>
                <w:sz w:val="18"/>
                <w:szCs w:val="18"/>
                <w:lang w:eastAsia="it-IT"/>
              </w:rPr>
              <w:t xml:space="preserve"> preliminarmente che in sede di intesa della Conferenza unificata per il 2021 le Regioni avevano consegnato una raccomandazione chiedendo al Governo di impegnarsi ad attivare un tavolo tecnico per rivedere i criteri di riparto del Fondo per l’anno 2022.</w:t>
            </w:r>
          </w:p>
          <w:p w14:paraId="67CD8F85"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Il Dipartimento ha, quindi, attivato le opportune interlocuzioni, raccogliendo le proposte delle Regioni e, con nota prot. DIPOFAM 474 del 24 gennaio 2022 il tavolo è stato convocato. A seguito dei lavori del tavolo, il Coordinatore della Commissione delle politiche sociali ha comunicato al Capo  del Dipartimento per le politiche della famiglia che, a seguito del confronto interregionale svolto, la Commissione nella riunione tenutasi in data 27 aprile 2022 ha condiviso all’unanimità di mantenere anche per l’anno 2022 i criteri di riparto applicati nelle precedenti annualità, con l’impegno di sottoporre al Dipartimento per le politiche della famiglia una proposta di nuovi criteri condivisa da tutte le Regioni e le Province autonome ai fini dell’adozione del riparto del Fondo per l’anno 2023. Tanto premesso, con nota prot. DIPOFAM 3131 del 30 maggio 2022, è stato trasmesso all'Autorità politica il decreto di riparto ai fini delle eventuali valutazioni e dell’acquisizione della firma del provvedimento.                                                                                                                                                                                                                                   </w:t>
            </w:r>
          </w:p>
        </w:tc>
      </w:tr>
    </w:tbl>
    <w:p w14:paraId="4BD3EEF7"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1C835080"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CDR 16 “</w:t>
      </w:r>
      <w:r w:rsidRPr="00F56356">
        <w:rPr>
          <w:rFonts w:ascii="Times New Roman" w:eastAsia="Times New Roman" w:hAnsi="Times New Roman" w:cs="Times New Roman"/>
          <w:b/>
          <w:sz w:val="24"/>
          <w:szCs w:val="24"/>
          <w:lang w:eastAsia="it-IT"/>
        </w:rPr>
        <w:t>Politiche giovanili e Servizio civile universale</w:t>
      </w:r>
      <w:r w:rsidRPr="00F56356">
        <w:rPr>
          <w:rFonts w:ascii="Times New Roman" w:eastAsia="Times New Roman" w:hAnsi="Times New Roman" w:cs="Times New Roman"/>
          <w:b/>
          <w:color w:val="000000" w:themeColor="text1"/>
          <w:sz w:val="24"/>
          <w:szCs w:val="24"/>
          <w:lang w:eastAsia="it-IT"/>
        </w:rPr>
        <w:t>”</w:t>
      </w:r>
    </w:p>
    <w:p w14:paraId="74B3FF03"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14"/>
          <w:szCs w:val="24"/>
          <w:lang w:eastAsia="it-IT"/>
        </w:rPr>
      </w:pPr>
    </w:p>
    <w:p w14:paraId="384AFEF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1</w:t>
      </w:r>
      <w:r w:rsidRPr="00F56356">
        <w:rPr>
          <w:rFonts w:ascii="Times New Roman" w:eastAsia="Times New Roman" w:hAnsi="Times New Roman" w:cs="Times New Roman"/>
          <w:color w:val="000000" w:themeColor="text1"/>
          <w:sz w:val="24"/>
          <w:szCs w:val="24"/>
          <w:lang w:eastAsia="it-IT"/>
        </w:rPr>
        <w:t xml:space="preserve"> - Organi costituzionali, a rilevanza costituzionale e Presidenza del Consiglio dei ministri </w:t>
      </w:r>
    </w:p>
    <w:p w14:paraId="3025152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Programma 1.3 -</w:t>
      </w:r>
      <w:r w:rsidRPr="00F56356">
        <w:rPr>
          <w:rFonts w:ascii="Times New Roman" w:eastAsia="Times New Roman" w:hAnsi="Times New Roman" w:cs="Times New Roman"/>
          <w:color w:val="000000" w:themeColor="text1"/>
          <w:sz w:val="24"/>
          <w:szCs w:val="24"/>
          <w:lang w:eastAsia="it-IT"/>
        </w:rPr>
        <w:t xml:space="preserve"> Presidenza del Consiglio dei ministri</w:t>
      </w:r>
    </w:p>
    <w:p w14:paraId="19A8C8C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0"/>
          <w:szCs w:val="24"/>
          <w:lang w:eastAsia="it-IT"/>
        </w:rPr>
      </w:pPr>
    </w:p>
    <w:p w14:paraId="7B2AD40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30</w:t>
      </w:r>
      <w:r w:rsidRPr="00F56356">
        <w:rPr>
          <w:rFonts w:ascii="Times New Roman" w:eastAsia="Times New Roman" w:hAnsi="Times New Roman" w:cs="Times New Roman"/>
          <w:color w:val="000000" w:themeColor="text1"/>
          <w:sz w:val="24"/>
          <w:szCs w:val="24"/>
          <w:lang w:eastAsia="it-IT"/>
        </w:rPr>
        <w:t xml:space="preserve"> - Giovani e sport  </w:t>
      </w:r>
    </w:p>
    <w:p w14:paraId="35140B2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Programma 30.2</w:t>
      </w:r>
      <w:r w:rsidRPr="00F56356">
        <w:rPr>
          <w:rFonts w:ascii="Times New Roman" w:eastAsia="Times New Roman" w:hAnsi="Times New Roman" w:cs="Times New Roman"/>
          <w:color w:val="000000" w:themeColor="text1"/>
          <w:sz w:val="24"/>
          <w:szCs w:val="24"/>
          <w:lang w:eastAsia="it-IT"/>
        </w:rPr>
        <w:t xml:space="preserve"> - Incentivazione e sostegno alla gioventù</w:t>
      </w:r>
    </w:p>
    <w:p w14:paraId="5CFD648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0006B58A" w14:textId="77777777" w:rsidR="00F56356" w:rsidRPr="00F56356" w:rsidRDefault="00F56356" w:rsidP="00F56356">
      <w:pPr>
        <w:spacing w:after="0" w:line="360" w:lineRule="auto"/>
        <w:ind w:left="284"/>
        <w:jc w:val="both"/>
        <w:rPr>
          <w:rFonts w:ascii="Times New Roman" w:eastAsia="Times New Roman" w:hAnsi="Times New Roman" w:cs="Times New Roman"/>
          <w:b/>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1.  </w:t>
      </w:r>
      <w:r w:rsidRPr="00F56356">
        <w:rPr>
          <w:rFonts w:ascii="Times New Roman" w:eastAsia="Times New Roman" w:hAnsi="Times New Roman" w:cs="Times New Roman"/>
          <w:b/>
          <w:i/>
          <w:color w:val="000000" w:themeColor="text1"/>
          <w:sz w:val="24"/>
          <w:szCs w:val="24"/>
          <w:lang w:eastAsia="it-IT"/>
        </w:rPr>
        <w:t>Mission</w:t>
      </w:r>
    </w:p>
    <w:p w14:paraId="1C6F137A"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 xml:space="preserve">Il Centro di responsabilità 16 “Politiche giovanili e Servizio civile universale” assicura l’attuazione delle politiche in favore delle giovani generazioni nonché di quelle in materia di servizio civile universale e di obiezione di coscienza. In particolare, cura gli adempimenti giuridici ed amministrativi, lo studio e l’istruttoria degli atti concernenti l’esercizio delle funzioni in materia di politiche giovanili, con particolare riguardo all’affermazione dei diritti dei giovani all’espressione, anche in forma associativa, delle loro istanze e dei loro interessi e del diritto di partecipare alla vita pubblica; all’inclusione sociale giovanile,  alla prevenzione e al contrasto del disagio giovanile nelle diverse forme; promuove il diritto dei giovani alla casa, ai </w:t>
      </w:r>
      <w:proofErr w:type="spellStart"/>
      <w:r w:rsidRPr="00F56356">
        <w:rPr>
          <w:rFonts w:ascii="Times New Roman" w:eastAsia="Times New Roman" w:hAnsi="Times New Roman" w:cs="Times New Roman"/>
          <w:sz w:val="24"/>
          <w:szCs w:val="24"/>
          <w:lang w:eastAsia="it-IT"/>
        </w:rPr>
        <w:t>saperi</w:t>
      </w:r>
      <w:proofErr w:type="spellEnd"/>
      <w:r w:rsidRPr="00F56356">
        <w:rPr>
          <w:rFonts w:ascii="Times New Roman" w:eastAsia="Times New Roman" w:hAnsi="Times New Roman" w:cs="Times New Roman"/>
          <w:sz w:val="24"/>
          <w:szCs w:val="24"/>
          <w:lang w:eastAsia="it-IT"/>
        </w:rPr>
        <w:t xml:space="preserve"> e all’innovazione tecnologica, nonché alla promozione e al sostegno del lavoro e dell’imprenditoria giovanile; alla promozione e sostegno delle attività creative, delle iniziative culturali e di spettacolo dei giovani e delle iniziative riguardanti il tempo libero, i viaggi culturali e di studio; provvede alla promozione e al sostegno dell’accesso dei giovani a progetti, programmi e finanziamenti internazionali e comunitari. Cura, altresì, la gestione del Fondo per le politiche giovanili, di cui all’articolo 19, comma 2, del decreto-legge 4 luglio 2006, n.223, convertito, con modificazioni, dalla legge 4 agosto 2006, n. 248 e assicura la gestione delle risorse europee per la realizzazione dei progetti assegnati al Dipartimento nel quadro della normativa vigente, nonché la rappresentanza del Governo negli organismi internazionali ed europei istituiti in materia di politiche giovanili. Dal 2012, </w:t>
      </w:r>
      <w:r w:rsidRPr="00F56356">
        <w:rPr>
          <w:rFonts w:ascii="Times New Roman" w:eastAsia="Times New Roman" w:hAnsi="Times New Roman" w:cs="Times New Roman"/>
          <w:color w:val="000000" w:themeColor="text1"/>
          <w:sz w:val="24"/>
          <w:szCs w:val="24"/>
          <w:lang w:eastAsia="it-IT"/>
        </w:rPr>
        <w:t>in attuazione della delibera CIPE n. 113 del 26 ottobre 2012, il Dipartimento è responsabile dell’attuazione dei programmi e degli interventi finanziati nell’ambito del Piano di Azione e Coesione (PAC) “Progetti promossi da giovani del privato sociale”. Inoltre, svolge attività di supporto all’Autorità politica nella vigilanza sull’Agenzia nazionale per i giovani, di cui all’articolo 5 del decreto-legge 27 dicembre 2006, n. 297, convertito, con modificazioni, dalla legge 23 febbraio 2007, n. 15, e all’Autorità nazionale dei programmi comunitari gestiti dall’Agenzia nazionale per i giovani; cura i rapporti con il Consiglio nazionale dei giovani e assicura le attività connesse alla rappresentanza del Governo negli organismi comunitari e internazionali e nei rapporti con gli organismi stessi in materia di politiche giovanili.</w:t>
      </w:r>
    </w:p>
    <w:p w14:paraId="6C4AE67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I</w:t>
      </w:r>
      <w:r w:rsidRPr="00F56356">
        <w:rPr>
          <w:rFonts w:ascii="Times New Roman" w:eastAsia="Times New Roman" w:hAnsi="Times New Roman" w:cs="Times New Roman"/>
          <w:sz w:val="24"/>
          <w:szCs w:val="24"/>
          <w:lang w:eastAsia="it-IT"/>
        </w:rPr>
        <w:t xml:space="preserve">l Dipartimento svolge, altresì, le funzioni relative al servizio civile universale, quale strumento finalizzato alla difesa non armata e non violenta della patria, all’educazione e alla pace tra i popoli, nonché ai valori fondativi della Repubblica, valorizzando il ruolo di politica attiva giovanile del Paese, così come disciplinato dal </w:t>
      </w:r>
      <w:r w:rsidRPr="00F56356">
        <w:rPr>
          <w:rFonts w:ascii="Times New Roman" w:eastAsia="Times New Roman" w:hAnsi="Times New Roman" w:cs="Times New Roman"/>
          <w:color w:val="000000" w:themeColor="text1"/>
          <w:sz w:val="24"/>
          <w:szCs w:val="24"/>
          <w:lang w:eastAsia="it-IT"/>
        </w:rPr>
        <w:t xml:space="preserve">decreto legislativo 6 marzo 2017, n. 40. </w:t>
      </w:r>
    </w:p>
    <w:p w14:paraId="10786516" w14:textId="77777777" w:rsidR="00F56356" w:rsidRPr="00F56356" w:rsidRDefault="00F56356" w:rsidP="00F56356">
      <w:pPr>
        <w:spacing w:after="0" w:line="360" w:lineRule="auto"/>
        <w:ind w:left="284"/>
        <w:jc w:val="both"/>
        <w:rPr>
          <w:rFonts w:ascii="Times New Roman" w:eastAsia="Times New Roman" w:hAnsi="Times New Roman" w:cs="Times New Roman"/>
          <w:i/>
          <w:sz w:val="24"/>
          <w:szCs w:val="24"/>
          <w:lang w:eastAsia="it-IT"/>
        </w:rPr>
      </w:pPr>
      <w:r w:rsidRPr="00F56356">
        <w:rPr>
          <w:rFonts w:ascii="Times New Roman" w:eastAsia="Times New Roman" w:hAnsi="Times New Roman" w:cs="Times New Roman"/>
          <w:color w:val="000000" w:themeColor="text1"/>
          <w:sz w:val="24"/>
          <w:szCs w:val="24"/>
          <w:lang w:eastAsia="it-IT"/>
        </w:rPr>
        <w:t>In particolare, cura l’organizzazione e lo svolgimento del servizio civile universale, la programmazione, l’indirizzo, il coordinamento e il controllo, anche con riferimento alla valutazione dell’impatto, nonché le attività connesse all’iscrizione degli enti all’albo di servizio civile universale, alla formazione, alla valutazione e approvazione dei programmi di intervento, all’assegnazione e gestione degli operatori volontari. Coordina l’attività della Consulta nazionale del servizio civile universale, cura la programmazione finanziaria e la gestione amministrativa e contabile del Fondo nazionale per il servizio civile e tratta il contenzioso nelle materie di propria competenza. Svolge i compiti inerenti all’obiezione di coscienza nonché le eventuali attività di cui all’articolo 8 della legge 8 luglio 1998, n. 230 e agli articoli 2097 e seguenti del decreto legislativo 15 marzo 2010, n. 66 in materia di obiezione di coscienza.</w:t>
      </w:r>
    </w:p>
    <w:p w14:paraId="75CAA839"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10"/>
          <w:szCs w:val="24"/>
          <w:lang w:eastAsia="it-IT"/>
        </w:rPr>
      </w:pPr>
    </w:p>
    <w:p w14:paraId="7AA48B7D"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10"/>
          <w:szCs w:val="24"/>
          <w:lang w:eastAsia="it-IT"/>
        </w:rPr>
      </w:pPr>
    </w:p>
    <w:p w14:paraId="1588331F"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w:t>
      </w:r>
      <w:r w:rsidRPr="00F56356">
        <w:rPr>
          <w:rFonts w:ascii="Times New Roman" w:eastAsia="Times New Roman" w:hAnsi="Times New Roman" w:cs="Times New Roman"/>
          <w:b/>
          <w:iCs/>
          <w:color w:val="000000" w:themeColor="text1"/>
          <w:sz w:val="24"/>
          <w:szCs w:val="24"/>
          <w:lang w:eastAsia="it-IT"/>
        </w:rPr>
        <w:t>Ricostruzione flussi finanziari e aspetti rilevanti della gestione</w:t>
      </w:r>
      <w:r w:rsidRPr="00F56356">
        <w:rPr>
          <w:rFonts w:ascii="Times New Roman" w:eastAsia="Times New Roman" w:hAnsi="Times New Roman" w:cs="Times New Roman"/>
          <w:b/>
          <w:color w:val="000000" w:themeColor="text1"/>
          <w:sz w:val="24"/>
          <w:szCs w:val="24"/>
          <w:lang w:eastAsia="it-IT"/>
        </w:rPr>
        <w:t xml:space="preserve"> </w:t>
      </w:r>
    </w:p>
    <w:p w14:paraId="251DF7B7"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414.933.642,44, di cui euro 299.914.532,00 costituiscono l’assegnazione per il Fondo nazionale per il servizio civile, a valere sul capitolo 228. Della rimanente somma di euro 115.019.110,44, euro 3.649.869,00 sono riferiti a reiscrizioni di residui passivi perenti ed euro 18.240.935,44 a riassegnazioni dall’avanzo di esercizio 2021.</w:t>
      </w:r>
    </w:p>
    <w:p w14:paraId="09B4FDF4"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10"/>
          <w:szCs w:val="24"/>
          <w:lang w:eastAsia="it-IT"/>
        </w:rPr>
      </w:pPr>
    </w:p>
    <w:p w14:paraId="7F7F1E47" w14:textId="77777777" w:rsidR="00F56356" w:rsidRPr="00F56356" w:rsidRDefault="00F56356" w:rsidP="00F56356">
      <w:pPr>
        <w:tabs>
          <w:tab w:val="left" w:pos="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343.304.565,73, con una economia di bilancio di euro 71.629.076,71. Il totale dei pagamenti riferiti alla competenza è stato pari a euro 307.010.344,06, con un indice di capacità di pagamento (rapporto pagato/impegnato) che si attesta all’89,43 per cento.</w:t>
      </w:r>
    </w:p>
    <w:p w14:paraId="4AB9832D"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49EA3914"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399C850A"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44A8A321" w14:textId="0E5694F6" w:rsid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2A9D53CC" w14:textId="70A475F3"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704DD7FF" w14:textId="7564410D"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222093D3" w14:textId="77777777" w:rsidR="0043213C" w:rsidRPr="00F56356"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1487024E"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1A703198"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5D2B641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Si riporta qui di seguito l’andamento delle politiche attive (interventi) nel corso del triennio 2020-2022:</w:t>
      </w:r>
    </w:p>
    <w:p w14:paraId="64ABB852"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769F7BE4" wp14:editId="5F60DE60">
            <wp:extent cx="3583813" cy="604242"/>
            <wp:effectExtent l="0" t="0" r="0" b="5715"/>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58239" cy="616790"/>
                    </a:xfrm>
                    <a:prstGeom prst="rect">
                      <a:avLst/>
                    </a:prstGeom>
                    <a:noFill/>
                    <a:ln>
                      <a:noFill/>
                    </a:ln>
                  </pic:spPr>
                </pic:pic>
              </a:graphicData>
            </a:graphic>
          </wp:inline>
        </w:drawing>
      </w:r>
    </w:p>
    <w:p w14:paraId="2ACB0632"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223FEF27" wp14:editId="09C682B0">
            <wp:extent cx="3595243" cy="1692011"/>
            <wp:effectExtent l="0" t="0" r="5715" b="381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28379" cy="1707605"/>
                    </a:xfrm>
                    <a:prstGeom prst="rect">
                      <a:avLst/>
                    </a:prstGeom>
                    <a:noFill/>
                  </pic:spPr>
                </pic:pic>
              </a:graphicData>
            </a:graphic>
          </wp:inline>
        </w:drawing>
      </w:r>
    </w:p>
    <w:p w14:paraId="49B96EED"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69E14DDE"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102.147.453,68. Su questi sono stati effettuati pagamenti per euro 32.467.088,32 e realizzate economie per euro 1.745.373,85.</w:t>
      </w:r>
    </w:p>
    <w:p w14:paraId="03751A57"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000000" w:themeColor="text1"/>
          <w:sz w:val="24"/>
          <w:szCs w:val="24"/>
          <w:lang w:eastAsia="it-IT"/>
        </w:rPr>
      </w:pPr>
    </w:p>
    <w:p w14:paraId="3E80232B"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p w14:paraId="54D1FEDD"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000000" w:themeColor="text1"/>
          <w:sz w:val="12"/>
          <w:szCs w:val="24"/>
          <w:lang w:eastAsia="it-IT"/>
        </w:rPr>
      </w:pPr>
    </w:p>
    <w:tbl>
      <w:tblPr>
        <w:tblW w:w="6860" w:type="dxa"/>
        <w:jc w:val="center"/>
        <w:tblCellMar>
          <w:left w:w="70" w:type="dxa"/>
          <w:right w:w="70" w:type="dxa"/>
        </w:tblCellMar>
        <w:tblLook w:val="04A0" w:firstRow="1" w:lastRow="0" w:firstColumn="1" w:lastColumn="0" w:noHBand="0" w:noVBand="1"/>
      </w:tblPr>
      <w:tblGrid>
        <w:gridCol w:w="479"/>
        <w:gridCol w:w="1574"/>
        <w:gridCol w:w="1440"/>
        <w:gridCol w:w="996"/>
        <w:gridCol w:w="1219"/>
        <w:gridCol w:w="1152"/>
      </w:tblGrid>
      <w:tr w:rsidR="00F56356" w:rsidRPr="00F56356" w14:paraId="715FBEC5"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B40C0"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2DB42AFE" w14:textId="77777777" w:rsidTr="00F56356">
        <w:trPr>
          <w:trHeight w:val="465"/>
          <w:jc w:val="center"/>
        </w:trPr>
        <w:tc>
          <w:tcPr>
            <w:tcW w:w="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266E2D"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74" w:type="dxa"/>
            <w:vMerge w:val="restart"/>
            <w:tcBorders>
              <w:top w:val="nil"/>
              <w:left w:val="single" w:sz="4" w:space="0" w:color="auto"/>
              <w:bottom w:val="single" w:sz="4" w:space="0" w:color="auto"/>
              <w:right w:val="single" w:sz="4" w:space="0" w:color="auto"/>
            </w:tcBorders>
            <w:shd w:val="clear" w:color="auto" w:fill="auto"/>
            <w:vAlign w:val="center"/>
            <w:hideMark/>
          </w:tcPr>
          <w:p w14:paraId="3A5D695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14:paraId="2C9E58BE"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67" w:type="dxa"/>
            <w:gridSpan w:val="3"/>
            <w:tcBorders>
              <w:top w:val="single" w:sz="4" w:space="0" w:color="auto"/>
              <w:left w:val="nil"/>
              <w:bottom w:val="single" w:sz="4" w:space="0" w:color="auto"/>
              <w:right w:val="single" w:sz="4" w:space="0" w:color="000000"/>
            </w:tcBorders>
            <w:shd w:val="clear" w:color="auto" w:fill="auto"/>
            <w:vAlign w:val="center"/>
            <w:hideMark/>
          </w:tcPr>
          <w:p w14:paraId="51BF29D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737E1FDE" w14:textId="77777777" w:rsidTr="00F56356">
        <w:trPr>
          <w:trHeight w:val="300"/>
          <w:jc w:val="center"/>
        </w:trPr>
        <w:tc>
          <w:tcPr>
            <w:tcW w:w="479" w:type="dxa"/>
            <w:vMerge/>
            <w:tcBorders>
              <w:top w:val="nil"/>
              <w:left w:val="single" w:sz="4" w:space="0" w:color="auto"/>
              <w:bottom w:val="single" w:sz="4" w:space="0" w:color="auto"/>
              <w:right w:val="single" w:sz="4" w:space="0" w:color="auto"/>
            </w:tcBorders>
            <w:vAlign w:val="center"/>
            <w:hideMark/>
          </w:tcPr>
          <w:p w14:paraId="73E2139C"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74" w:type="dxa"/>
            <w:vMerge/>
            <w:tcBorders>
              <w:top w:val="nil"/>
              <w:left w:val="single" w:sz="4" w:space="0" w:color="auto"/>
              <w:bottom w:val="single" w:sz="4" w:space="0" w:color="auto"/>
              <w:right w:val="single" w:sz="4" w:space="0" w:color="auto"/>
            </w:tcBorders>
            <w:vAlign w:val="center"/>
            <w:hideMark/>
          </w:tcPr>
          <w:p w14:paraId="4317307F"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440" w:type="dxa"/>
            <w:vMerge/>
            <w:tcBorders>
              <w:top w:val="nil"/>
              <w:left w:val="single" w:sz="4" w:space="0" w:color="auto"/>
              <w:bottom w:val="single" w:sz="4" w:space="0" w:color="auto"/>
              <w:right w:val="single" w:sz="4" w:space="0" w:color="auto"/>
            </w:tcBorders>
            <w:vAlign w:val="center"/>
            <w:hideMark/>
          </w:tcPr>
          <w:p w14:paraId="6BAC5678"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96" w:type="dxa"/>
            <w:tcBorders>
              <w:top w:val="nil"/>
              <w:left w:val="nil"/>
              <w:bottom w:val="single" w:sz="4" w:space="0" w:color="auto"/>
              <w:right w:val="single" w:sz="4" w:space="0" w:color="auto"/>
            </w:tcBorders>
            <w:shd w:val="clear" w:color="auto" w:fill="auto"/>
            <w:vAlign w:val="center"/>
            <w:hideMark/>
          </w:tcPr>
          <w:p w14:paraId="4D7E2DB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219" w:type="dxa"/>
            <w:tcBorders>
              <w:top w:val="nil"/>
              <w:left w:val="nil"/>
              <w:bottom w:val="single" w:sz="4" w:space="0" w:color="auto"/>
              <w:right w:val="single" w:sz="4" w:space="0" w:color="auto"/>
            </w:tcBorders>
            <w:shd w:val="clear" w:color="auto" w:fill="auto"/>
            <w:vAlign w:val="center"/>
            <w:hideMark/>
          </w:tcPr>
          <w:p w14:paraId="7CAD4DC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52" w:type="dxa"/>
            <w:tcBorders>
              <w:top w:val="nil"/>
              <w:left w:val="nil"/>
              <w:bottom w:val="single" w:sz="4" w:space="0" w:color="auto"/>
              <w:right w:val="single" w:sz="4" w:space="0" w:color="auto"/>
            </w:tcBorders>
            <w:shd w:val="clear" w:color="auto" w:fill="auto"/>
            <w:vAlign w:val="center"/>
            <w:hideMark/>
          </w:tcPr>
          <w:p w14:paraId="1F8CB16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62BE2221"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48997FF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790</w:t>
            </w:r>
          </w:p>
        </w:tc>
        <w:tc>
          <w:tcPr>
            <w:tcW w:w="1574" w:type="dxa"/>
            <w:tcBorders>
              <w:top w:val="nil"/>
              <w:left w:val="nil"/>
              <w:bottom w:val="single" w:sz="4" w:space="0" w:color="auto"/>
              <w:right w:val="single" w:sz="4" w:space="0" w:color="auto"/>
            </w:tcBorders>
            <w:shd w:val="clear" w:color="auto" w:fill="auto"/>
            <w:noWrap/>
            <w:vAlign w:val="center"/>
            <w:hideMark/>
          </w:tcPr>
          <w:p w14:paraId="43CFB59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199,99</w:t>
            </w:r>
          </w:p>
        </w:tc>
        <w:tc>
          <w:tcPr>
            <w:tcW w:w="1440" w:type="dxa"/>
            <w:tcBorders>
              <w:top w:val="nil"/>
              <w:left w:val="nil"/>
              <w:bottom w:val="single" w:sz="4" w:space="0" w:color="auto"/>
              <w:right w:val="single" w:sz="4" w:space="0" w:color="auto"/>
            </w:tcBorders>
            <w:shd w:val="clear" w:color="auto" w:fill="auto"/>
            <w:noWrap/>
            <w:vAlign w:val="center"/>
            <w:hideMark/>
          </w:tcPr>
          <w:p w14:paraId="12767A4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199,99</w:t>
            </w:r>
          </w:p>
        </w:tc>
        <w:tc>
          <w:tcPr>
            <w:tcW w:w="996" w:type="dxa"/>
            <w:tcBorders>
              <w:top w:val="nil"/>
              <w:left w:val="nil"/>
              <w:bottom w:val="single" w:sz="4" w:space="0" w:color="auto"/>
              <w:right w:val="single" w:sz="4" w:space="0" w:color="auto"/>
            </w:tcBorders>
            <w:shd w:val="clear" w:color="auto" w:fill="auto"/>
            <w:noWrap/>
            <w:vAlign w:val="center"/>
            <w:hideMark/>
          </w:tcPr>
          <w:p w14:paraId="663D215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219" w:type="dxa"/>
            <w:tcBorders>
              <w:top w:val="nil"/>
              <w:left w:val="nil"/>
              <w:bottom w:val="single" w:sz="4" w:space="0" w:color="auto"/>
              <w:right w:val="nil"/>
            </w:tcBorders>
            <w:shd w:val="clear" w:color="auto" w:fill="auto"/>
            <w:noWrap/>
            <w:vAlign w:val="center"/>
            <w:hideMark/>
          </w:tcPr>
          <w:p w14:paraId="5235385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5EBF0F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1B985FF" w14:textId="77777777" w:rsidTr="00F56356">
        <w:trPr>
          <w:trHeight w:val="24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33302BAC"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838</w:t>
            </w:r>
          </w:p>
        </w:tc>
        <w:tc>
          <w:tcPr>
            <w:tcW w:w="1574" w:type="dxa"/>
            <w:tcBorders>
              <w:top w:val="nil"/>
              <w:left w:val="nil"/>
              <w:bottom w:val="single" w:sz="4" w:space="0" w:color="auto"/>
              <w:right w:val="single" w:sz="4" w:space="0" w:color="auto"/>
            </w:tcBorders>
            <w:shd w:val="clear" w:color="auto" w:fill="auto"/>
            <w:noWrap/>
            <w:vAlign w:val="center"/>
            <w:hideMark/>
          </w:tcPr>
          <w:p w14:paraId="5A083D9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12.285,36</w:t>
            </w:r>
          </w:p>
        </w:tc>
        <w:tc>
          <w:tcPr>
            <w:tcW w:w="1440" w:type="dxa"/>
            <w:tcBorders>
              <w:top w:val="nil"/>
              <w:left w:val="nil"/>
              <w:bottom w:val="single" w:sz="4" w:space="0" w:color="auto"/>
              <w:right w:val="single" w:sz="4" w:space="0" w:color="auto"/>
            </w:tcBorders>
            <w:shd w:val="clear" w:color="auto" w:fill="auto"/>
            <w:noWrap/>
            <w:vAlign w:val="center"/>
            <w:hideMark/>
          </w:tcPr>
          <w:p w14:paraId="093007C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20,95</w:t>
            </w:r>
          </w:p>
        </w:tc>
        <w:tc>
          <w:tcPr>
            <w:tcW w:w="996" w:type="dxa"/>
            <w:tcBorders>
              <w:top w:val="nil"/>
              <w:left w:val="nil"/>
              <w:bottom w:val="single" w:sz="4" w:space="0" w:color="auto"/>
              <w:right w:val="single" w:sz="4" w:space="0" w:color="auto"/>
            </w:tcBorders>
            <w:shd w:val="clear" w:color="auto" w:fill="auto"/>
            <w:noWrap/>
            <w:vAlign w:val="center"/>
            <w:hideMark/>
          </w:tcPr>
          <w:p w14:paraId="12A8088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70</w:t>
            </w:r>
          </w:p>
        </w:tc>
        <w:tc>
          <w:tcPr>
            <w:tcW w:w="1219" w:type="dxa"/>
            <w:tcBorders>
              <w:top w:val="nil"/>
              <w:left w:val="nil"/>
              <w:bottom w:val="single" w:sz="4" w:space="0" w:color="auto"/>
              <w:right w:val="single" w:sz="4" w:space="0" w:color="auto"/>
            </w:tcBorders>
            <w:shd w:val="clear" w:color="auto" w:fill="auto"/>
            <w:noWrap/>
            <w:vAlign w:val="center"/>
            <w:hideMark/>
          </w:tcPr>
          <w:p w14:paraId="535D1B8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99,83</w:t>
            </w:r>
          </w:p>
        </w:tc>
        <w:tc>
          <w:tcPr>
            <w:tcW w:w="1152" w:type="dxa"/>
            <w:tcBorders>
              <w:top w:val="nil"/>
              <w:left w:val="nil"/>
              <w:bottom w:val="single" w:sz="4" w:space="0" w:color="auto"/>
              <w:right w:val="single" w:sz="4" w:space="0" w:color="auto"/>
            </w:tcBorders>
            <w:shd w:val="clear" w:color="auto" w:fill="auto"/>
            <w:noWrap/>
            <w:vAlign w:val="center"/>
            <w:hideMark/>
          </w:tcPr>
          <w:p w14:paraId="35F70CF9"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29,83</w:t>
            </w:r>
          </w:p>
        </w:tc>
      </w:tr>
      <w:tr w:rsidR="00F56356" w:rsidRPr="00F56356" w14:paraId="445B08F1" w14:textId="77777777" w:rsidTr="00F56356">
        <w:trPr>
          <w:trHeight w:val="31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14:paraId="255663CD"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74" w:type="dxa"/>
            <w:tcBorders>
              <w:top w:val="nil"/>
              <w:left w:val="nil"/>
              <w:bottom w:val="single" w:sz="4" w:space="0" w:color="auto"/>
              <w:right w:val="single" w:sz="4" w:space="0" w:color="auto"/>
            </w:tcBorders>
            <w:shd w:val="clear" w:color="auto" w:fill="auto"/>
            <w:noWrap/>
            <w:vAlign w:val="center"/>
            <w:hideMark/>
          </w:tcPr>
          <w:p w14:paraId="7E3F72FB"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12.485,35</w:t>
            </w:r>
          </w:p>
        </w:tc>
        <w:tc>
          <w:tcPr>
            <w:tcW w:w="1440" w:type="dxa"/>
            <w:tcBorders>
              <w:top w:val="nil"/>
              <w:left w:val="nil"/>
              <w:bottom w:val="single" w:sz="4" w:space="0" w:color="auto"/>
              <w:right w:val="single" w:sz="4" w:space="0" w:color="auto"/>
            </w:tcBorders>
            <w:shd w:val="clear" w:color="auto" w:fill="auto"/>
            <w:noWrap/>
            <w:vAlign w:val="center"/>
            <w:hideMark/>
          </w:tcPr>
          <w:p w14:paraId="632AFA46"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220,94</w:t>
            </w:r>
          </w:p>
        </w:tc>
        <w:tc>
          <w:tcPr>
            <w:tcW w:w="996" w:type="dxa"/>
            <w:tcBorders>
              <w:top w:val="nil"/>
              <w:left w:val="nil"/>
              <w:bottom w:val="nil"/>
              <w:right w:val="nil"/>
            </w:tcBorders>
            <w:shd w:val="clear" w:color="auto" w:fill="auto"/>
            <w:noWrap/>
            <w:vAlign w:val="center"/>
            <w:hideMark/>
          </w:tcPr>
          <w:p w14:paraId="02D0294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219" w:type="dxa"/>
            <w:tcBorders>
              <w:top w:val="nil"/>
              <w:left w:val="nil"/>
              <w:bottom w:val="nil"/>
              <w:right w:val="nil"/>
            </w:tcBorders>
            <w:shd w:val="clear" w:color="auto" w:fill="auto"/>
            <w:noWrap/>
            <w:vAlign w:val="center"/>
            <w:hideMark/>
          </w:tcPr>
          <w:p w14:paraId="06CC0DB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52" w:type="dxa"/>
            <w:tcBorders>
              <w:top w:val="nil"/>
              <w:left w:val="nil"/>
              <w:bottom w:val="nil"/>
              <w:right w:val="nil"/>
            </w:tcBorders>
            <w:shd w:val="clear" w:color="auto" w:fill="auto"/>
            <w:noWrap/>
            <w:vAlign w:val="center"/>
            <w:hideMark/>
          </w:tcPr>
          <w:p w14:paraId="5D37E50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372DF50"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sz w:val="24"/>
          <w:szCs w:val="24"/>
          <w:lang w:eastAsia="it-IT"/>
        </w:rPr>
      </w:pPr>
    </w:p>
    <w:tbl>
      <w:tblPr>
        <w:tblW w:w="6860" w:type="dxa"/>
        <w:jc w:val="center"/>
        <w:tblCellMar>
          <w:left w:w="70" w:type="dxa"/>
          <w:right w:w="70" w:type="dxa"/>
        </w:tblCellMar>
        <w:tblLook w:val="04A0" w:firstRow="1" w:lastRow="0" w:firstColumn="1" w:lastColumn="0" w:noHBand="0" w:noVBand="1"/>
      </w:tblPr>
      <w:tblGrid>
        <w:gridCol w:w="469"/>
        <w:gridCol w:w="1613"/>
        <w:gridCol w:w="1554"/>
        <w:gridCol w:w="956"/>
        <w:gridCol w:w="1171"/>
        <w:gridCol w:w="1106"/>
      </w:tblGrid>
      <w:tr w:rsidR="00F56356" w:rsidRPr="00F56356" w14:paraId="7B485C92"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DF122"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78A8B255" w14:textId="77777777" w:rsidTr="00F56356">
        <w:trPr>
          <w:trHeight w:val="465"/>
          <w:jc w:val="center"/>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14483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13" w:type="dxa"/>
            <w:vMerge w:val="restart"/>
            <w:tcBorders>
              <w:top w:val="nil"/>
              <w:left w:val="single" w:sz="4" w:space="0" w:color="auto"/>
              <w:bottom w:val="single" w:sz="4" w:space="0" w:color="auto"/>
              <w:right w:val="single" w:sz="4" w:space="0" w:color="auto"/>
            </w:tcBorders>
            <w:shd w:val="clear" w:color="auto" w:fill="auto"/>
            <w:vAlign w:val="center"/>
            <w:hideMark/>
          </w:tcPr>
          <w:p w14:paraId="7F237DDB"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54" w:type="dxa"/>
            <w:vMerge w:val="restart"/>
            <w:tcBorders>
              <w:top w:val="nil"/>
              <w:left w:val="single" w:sz="4" w:space="0" w:color="auto"/>
              <w:bottom w:val="single" w:sz="4" w:space="0" w:color="auto"/>
              <w:right w:val="single" w:sz="4" w:space="0" w:color="auto"/>
            </w:tcBorders>
            <w:shd w:val="clear" w:color="auto" w:fill="auto"/>
            <w:vAlign w:val="center"/>
            <w:hideMark/>
          </w:tcPr>
          <w:p w14:paraId="0FA041E2"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33" w:type="dxa"/>
            <w:gridSpan w:val="3"/>
            <w:tcBorders>
              <w:top w:val="single" w:sz="4" w:space="0" w:color="auto"/>
              <w:left w:val="nil"/>
              <w:bottom w:val="single" w:sz="4" w:space="0" w:color="auto"/>
              <w:right w:val="single" w:sz="4" w:space="0" w:color="000000"/>
            </w:tcBorders>
            <w:shd w:val="clear" w:color="auto" w:fill="auto"/>
            <w:vAlign w:val="center"/>
            <w:hideMark/>
          </w:tcPr>
          <w:p w14:paraId="120C3061"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443474DF" w14:textId="77777777" w:rsidTr="00F56356">
        <w:trPr>
          <w:trHeight w:val="300"/>
          <w:jc w:val="center"/>
        </w:trPr>
        <w:tc>
          <w:tcPr>
            <w:tcW w:w="460" w:type="dxa"/>
            <w:vMerge/>
            <w:tcBorders>
              <w:top w:val="nil"/>
              <w:left w:val="single" w:sz="4" w:space="0" w:color="auto"/>
              <w:bottom w:val="single" w:sz="4" w:space="0" w:color="auto"/>
              <w:right w:val="single" w:sz="4" w:space="0" w:color="auto"/>
            </w:tcBorders>
            <w:vAlign w:val="center"/>
            <w:hideMark/>
          </w:tcPr>
          <w:p w14:paraId="7ACE5073"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13" w:type="dxa"/>
            <w:vMerge/>
            <w:tcBorders>
              <w:top w:val="nil"/>
              <w:left w:val="single" w:sz="4" w:space="0" w:color="auto"/>
              <w:bottom w:val="single" w:sz="4" w:space="0" w:color="auto"/>
              <w:right w:val="single" w:sz="4" w:space="0" w:color="auto"/>
            </w:tcBorders>
            <w:vAlign w:val="center"/>
            <w:hideMark/>
          </w:tcPr>
          <w:p w14:paraId="57F1496E"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54" w:type="dxa"/>
            <w:vMerge/>
            <w:tcBorders>
              <w:top w:val="nil"/>
              <w:left w:val="single" w:sz="4" w:space="0" w:color="auto"/>
              <w:bottom w:val="single" w:sz="4" w:space="0" w:color="auto"/>
              <w:right w:val="single" w:sz="4" w:space="0" w:color="auto"/>
            </w:tcBorders>
            <w:vAlign w:val="center"/>
            <w:hideMark/>
          </w:tcPr>
          <w:p w14:paraId="5E9AF253"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56" w:type="dxa"/>
            <w:tcBorders>
              <w:top w:val="nil"/>
              <w:left w:val="nil"/>
              <w:bottom w:val="single" w:sz="4" w:space="0" w:color="auto"/>
              <w:right w:val="single" w:sz="4" w:space="0" w:color="auto"/>
            </w:tcBorders>
            <w:shd w:val="clear" w:color="auto" w:fill="auto"/>
            <w:vAlign w:val="center"/>
            <w:hideMark/>
          </w:tcPr>
          <w:p w14:paraId="794F538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71" w:type="dxa"/>
            <w:tcBorders>
              <w:top w:val="nil"/>
              <w:left w:val="nil"/>
              <w:bottom w:val="single" w:sz="4" w:space="0" w:color="auto"/>
              <w:right w:val="single" w:sz="4" w:space="0" w:color="auto"/>
            </w:tcBorders>
            <w:shd w:val="clear" w:color="auto" w:fill="auto"/>
            <w:vAlign w:val="center"/>
            <w:hideMark/>
          </w:tcPr>
          <w:p w14:paraId="7344927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06" w:type="dxa"/>
            <w:tcBorders>
              <w:top w:val="nil"/>
              <w:left w:val="nil"/>
              <w:bottom w:val="single" w:sz="4" w:space="0" w:color="auto"/>
              <w:right w:val="single" w:sz="4" w:space="0" w:color="auto"/>
            </w:tcBorders>
            <w:shd w:val="clear" w:color="auto" w:fill="auto"/>
            <w:vAlign w:val="center"/>
            <w:hideMark/>
          </w:tcPr>
          <w:p w14:paraId="28B50959"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1827AA53"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746B2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791</w:t>
            </w:r>
          </w:p>
        </w:tc>
        <w:tc>
          <w:tcPr>
            <w:tcW w:w="1613" w:type="dxa"/>
            <w:tcBorders>
              <w:top w:val="nil"/>
              <w:left w:val="nil"/>
              <w:bottom w:val="single" w:sz="4" w:space="0" w:color="auto"/>
              <w:right w:val="single" w:sz="4" w:space="0" w:color="auto"/>
            </w:tcBorders>
            <w:shd w:val="clear" w:color="auto" w:fill="auto"/>
            <w:noWrap/>
            <w:vAlign w:val="center"/>
            <w:hideMark/>
          </w:tcPr>
          <w:p w14:paraId="2C4060D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20.089,86</w:t>
            </w:r>
          </w:p>
        </w:tc>
        <w:tc>
          <w:tcPr>
            <w:tcW w:w="1554" w:type="dxa"/>
            <w:tcBorders>
              <w:top w:val="nil"/>
              <w:left w:val="nil"/>
              <w:bottom w:val="single" w:sz="4" w:space="0" w:color="auto"/>
              <w:right w:val="single" w:sz="4" w:space="0" w:color="auto"/>
            </w:tcBorders>
            <w:shd w:val="clear" w:color="auto" w:fill="auto"/>
            <w:noWrap/>
            <w:vAlign w:val="center"/>
            <w:hideMark/>
          </w:tcPr>
          <w:p w14:paraId="3CD0A4A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7.452,37</w:t>
            </w:r>
          </w:p>
        </w:tc>
        <w:tc>
          <w:tcPr>
            <w:tcW w:w="956" w:type="dxa"/>
            <w:tcBorders>
              <w:top w:val="nil"/>
              <w:left w:val="nil"/>
              <w:bottom w:val="single" w:sz="4" w:space="0" w:color="auto"/>
              <w:right w:val="single" w:sz="4" w:space="0" w:color="auto"/>
            </w:tcBorders>
            <w:shd w:val="clear" w:color="auto" w:fill="auto"/>
            <w:noWrap/>
            <w:vAlign w:val="center"/>
            <w:hideMark/>
          </w:tcPr>
          <w:p w14:paraId="2B494E2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w:t>
            </w:r>
          </w:p>
        </w:tc>
        <w:tc>
          <w:tcPr>
            <w:tcW w:w="1171" w:type="dxa"/>
            <w:tcBorders>
              <w:top w:val="nil"/>
              <w:left w:val="nil"/>
              <w:bottom w:val="single" w:sz="4" w:space="0" w:color="auto"/>
              <w:right w:val="single" w:sz="4" w:space="0" w:color="auto"/>
            </w:tcBorders>
            <w:shd w:val="clear" w:color="auto" w:fill="auto"/>
            <w:noWrap/>
            <w:vAlign w:val="center"/>
            <w:hideMark/>
          </w:tcPr>
          <w:p w14:paraId="3647B31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62,90</w:t>
            </w:r>
          </w:p>
        </w:tc>
        <w:tc>
          <w:tcPr>
            <w:tcW w:w="1106" w:type="dxa"/>
            <w:tcBorders>
              <w:top w:val="nil"/>
              <w:left w:val="nil"/>
              <w:bottom w:val="single" w:sz="4" w:space="0" w:color="auto"/>
              <w:right w:val="single" w:sz="4" w:space="0" w:color="auto"/>
            </w:tcBorders>
            <w:shd w:val="clear" w:color="auto" w:fill="auto"/>
            <w:noWrap/>
            <w:vAlign w:val="center"/>
            <w:hideMark/>
          </w:tcPr>
          <w:p w14:paraId="77AF38E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2,90</w:t>
            </w:r>
          </w:p>
        </w:tc>
      </w:tr>
      <w:tr w:rsidR="00F56356" w:rsidRPr="00F56356" w14:paraId="0BD97704"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4BDFDE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792</w:t>
            </w:r>
          </w:p>
        </w:tc>
        <w:tc>
          <w:tcPr>
            <w:tcW w:w="1613" w:type="dxa"/>
            <w:tcBorders>
              <w:top w:val="nil"/>
              <w:left w:val="nil"/>
              <w:bottom w:val="single" w:sz="4" w:space="0" w:color="auto"/>
              <w:right w:val="single" w:sz="4" w:space="0" w:color="auto"/>
            </w:tcBorders>
            <w:shd w:val="clear" w:color="auto" w:fill="auto"/>
            <w:noWrap/>
            <w:vAlign w:val="center"/>
            <w:hideMark/>
          </w:tcPr>
          <w:p w14:paraId="47C2794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360.000,00</w:t>
            </w:r>
          </w:p>
        </w:tc>
        <w:tc>
          <w:tcPr>
            <w:tcW w:w="1554" w:type="dxa"/>
            <w:tcBorders>
              <w:top w:val="nil"/>
              <w:left w:val="nil"/>
              <w:bottom w:val="single" w:sz="4" w:space="0" w:color="auto"/>
              <w:right w:val="single" w:sz="4" w:space="0" w:color="auto"/>
            </w:tcBorders>
            <w:shd w:val="clear" w:color="auto" w:fill="auto"/>
            <w:noWrap/>
            <w:vAlign w:val="center"/>
            <w:hideMark/>
          </w:tcPr>
          <w:p w14:paraId="0AB2B9D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120.000,00</w:t>
            </w:r>
          </w:p>
        </w:tc>
        <w:tc>
          <w:tcPr>
            <w:tcW w:w="956" w:type="dxa"/>
            <w:tcBorders>
              <w:top w:val="nil"/>
              <w:left w:val="nil"/>
              <w:bottom w:val="single" w:sz="4" w:space="0" w:color="auto"/>
              <w:right w:val="single" w:sz="4" w:space="0" w:color="auto"/>
            </w:tcBorders>
            <w:shd w:val="clear" w:color="auto" w:fill="auto"/>
            <w:noWrap/>
            <w:vAlign w:val="center"/>
            <w:hideMark/>
          </w:tcPr>
          <w:p w14:paraId="0591017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w:t>
            </w:r>
          </w:p>
        </w:tc>
        <w:tc>
          <w:tcPr>
            <w:tcW w:w="1171" w:type="dxa"/>
            <w:tcBorders>
              <w:top w:val="nil"/>
              <w:left w:val="nil"/>
              <w:bottom w:val="single" w:sz="4" w:space="0" w:color="auto"/>
              <w:right w:val="single" w:sz="4" w:space="0" w:color="auto"/>
            </w:tcBorders>
            <w:shd w:val="clear" w:color="auto" w:fill="auto"/>
            <w:noWrap/>
            <w:vAlign w:val="center"/>
            <w:hideMark/>
          </w:tcPr>
          <w:p w14:paraId="26F121B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66,67</w:t>
            </w:r>
          </w:p>
        </w:tc>
        <w:tc>
          <w:tcPr>
            <w:tcW w:w="1106" w:type="dxa"/>
            <w:tcBorders>
              <w:top w:val="nil"/>
              <w:left w:val="nil"/>
              <w:bottom w:val="single" w:sz="4" w:space="0" w:color="auto"/>
              <w:right w:val="single" w:sz="4" w:space="0" w:color="auto"/>
            </w:tcBorders>
            <w:shd w:val="clear" w:color="auto" w:fill="auto"/>
            <w:noWrap/>
            <w:vAlign w:val="center"/>
            <w:hideMark/>
          </w:tcPr>
          <w:p w14:paraId="0BA674B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26,67</w:t>
            </w:r>
          </w:p>
        </w:tc>
      </w:tr>
      <w:tr w:rsidR="00F56356" w:rsidRPr="00F56356" w14:paraId="58147A62"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0B78DB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793</w:t>
            </w:r>
          </w:p>
        </w:tc>
        <w:tc>
          <w:tcPr>
            <w:tcW w:w="1613" w:type="dxa"/>
            <w:tcBorders>
              <w:top w:val="nil"/>
              <w:left w:val="nil"/>
              <w:bottom w:val="single" w:sz="4" w:space="0" w:color="auto"/>
              <w:right w:val="single" w:sz="4" w:space="0" w:color="auto"/>
            </w:tcBorders>
            <w:shd w:val="clear" w:color="auto" w:fill="auto"/>
            <w:noWrap/>
            <w:vAlign w:val="center"/>
            <w:hideMark/>
          </w:tcPr>
          <w:p w14:paraId="0CC3DD2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184.002,43</w:t>
            </w:r>
          </w:p>
        </w:tc>
        <w:tc>
          <w:tcPr>
            <w:tcW w:w="1554" w:type="dxa"/>
            <w:tcBorders>
              <w:top w:val="nil"/>
              <w:left w:val="nil"/>
              <w:bottom w:val="single" w:sz="4" w:space="0" w:color="auto"/>
              <w:right w:val="single" w:sz="4" w:space="0" w:color="auto"/>
            </w:tcBorders>
            <w:shd w:val="clear" w:color="auto" w:fill="auto"/>
            <w:noWrap/>
            <w:vAlign w:val="center"/>
            <w:hideMark/>
          </w:tcPr>
          <w:p w14:paraId="5108D65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56" w:type="dxa"/>
            <w:tcBorders>
              <w:top w:val="nil"/>
              <w:left w:val="nil"/>
              <w:bottom w:val="single" w:sz="4" w:space="0" w:color="auto"/>
              <w:right w:val="single" w:sz="4" w:space="0" w:color="auto"/>
            </w:tcBorders>
            <w:shd w:val="clear" w:color="auto" w:fill="auto"/>
            <w:noWrap/>
            <w:vAlign w:val="center"/>
            <w:hideMark/>
          </w:tcPr>
          <w:p w14:paraId="5B12F2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nil"/>
            </w:tcBorders>
            <w:shd w:val="clear" w:color="auto" w:fill="auto"/>
            <w:noWrap/>
            <w:vAlign w:val="center"/>
            <w:hideMark/>
          </w:tcPr>
          <w:p w14:paraId="00FBD16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579DB42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9AE77FD"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A7D479"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853</w:t>
            </w:r>
          </w:p>
        </w:tc>
        <w:tc>
          <w:tcPr>
            <w:tcW w:w="1613" w:type="dxa"/>
            <w:tcBorders>
              <w:top w:val="nil"/>
              <w:left w:val="nil"/>
              <w:bottom w:val="single" w:sz="4" w:space="0" w:color="auto"/>
              <w:right w:val="single" w:sz="4" w:space="0" w:color="auto"/>
            </w:tcBorders>
            <w:shd w:val="clear" w:color="auto" w:fill="auto"/>
            <w:noWrap/>
            <w:vAlign w:val="center"/>
            <w:hideMark/>
          </w:tcPr>
          <w:p w14:paraId="558EFBC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90.910.400,42</w:t>
            </w:r>
          </w:p>
        </w:tc>
        <w:tc>
          <w:tcPr>
            <w:tcW w:w="1554" w:type="dxa"/>
            <w:tcBorders>
              <w:top w:val="nil"/>
              <w:left w:val="nil"/>
              <w:bottom w:val="single" w:sz="4" w:space="0" w:color="auto"/>
              <w:right w:val="single" w:sz="4" w:space="0" w:color="auto"/>
            </w:tcBorders>
            <w:shd w:val="clear" w:color="auto" w:fill="auto"/>
            <w:noWrap/>
            <w:vAlign w:val="center"/>
            <w:hideMark/>
          </w:tcPr>
          <w:p w14:paraId="695CCDC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62.050.464,74</w:t>
            </w:r>
          </w:p>
        </w:tc>
        <w:tc>
          <w:tcPr>
            <w:tcW w:w="956" w:type="dxa"/>
            <w:tcBorders>
              <w:top w:val="nil"/>
              <w:left w:val="nil"/>
              <w:bottom w:val="single" w:sz="4" w:space="0" w:color="auto"/>
              <w:right w:val="single" w:sz="4" w:space="0" w:color="auto"/>
            </w:tcBorders>
            <w:shd w:val="clear" w:color="auto" w:fill="auto"/>
            <w:noWrap/>
            <w:vAlign w:val="center"/>
            <w:hideMark/>
          </w:tcPr>
          <w:p w14:paraId="284EA9F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single" w:sz="4" w:space="0" w:color="auto"/>
            </w:tcBorders>
            <w:shd w:val="clear" w:color="auto" w:fill="auto"/>
            <w:noWrap/>
            <w:vAlign w:val="center"/>
            <w:hideMark/>
          </w:tcPr>
          <w:p w14:paraId="6CDAAFA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31,75</w:t>
            </w:r>
          </w:p>
        </w:tc>
        <w:tc>
          <w:tcPr>
            <w:tcW w:w="1106" w:type="dxa"/>
            <w:tcBorders>
              <w:top w:val="nil"/>
              <w:left w:val="nil"/>
              <w:bottom w:val="single" w:sz="4" w:space="0" w:color="auto"/>
              <w:right w:val="single" w:sz="4" w:space="0" w:color="auto"/>
            </w:tcBorders>
            <w:shd w:val="clear" w:color="auto" w:fill="auto"/>
            <w:noWrap/>
            <w:vAlign w:val="center"/>
            <w:hideMark/>
          </w:tcPr>
          <w:p w14:paraId="1C90CA5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CD8E29B"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53E1AB3"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889</w:t>
            </w:r>
          </w:p>
        </w:tc>
        <w:tc>
          <w:tcPr>
            <w:tcW w:w="1613" w:type="dxa"/>
            <w:tcBorders>
              <w:top w:val="nil"/>
              <w:left w:val="nil"/>
              <w:bottom w:val="single" w:sz="4" w:space="0" w:color="auto"/>
              <w:right w:val="single" w:sz="4" w:space="0" w:color="auto"/>
            </w:tcBorders>
            <w:shd w:val="clear" w:color="auto" w:fill="auto"/>
            <w:noWrap/>
            <w:vAlign w:val="center"/>
            <w:hideMark/>
          </w:tcPr>
          <w:p w14:paraId="2A930D2F"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10.660.475,62</w:t>
            </w:r>
          </w:p>
        </w:tc>
        <w:tc>
          <w:tcPr>
            <w:tcW w:w="1554" w:type="dxa"/>
            <w:tcBorders>
              <w:top w:val="nil"/>
              <w:left w:val="nil"/>
              <w:bottom w:val="single" w:sz="4" w:space="0" w:color="auto"/>
              <w:right w:val="single" w:sz="4" w:space="0" w:color="auto"/>
            </w:tcBorders>
            <w:shd w:val="clear" w:color="auto" w:fill="auto"/>
            <w:noWrap/>
            <w:vAlign w:val="center"/>
            <w:hideMark/>
          </w:tcPr>
          <w:p w14:paraId="666D9AD7"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5.756.853,46</w:t>
            </w:r>
          </w:p>
        </w:tc>
        <w:tc>
          <w:tcPr>
            <w:tcW w:w="956" w:type="dxa"/>
            <w:tcBorders>
              <w:top w:val="nil"/>
              <w:left w:val="nil"/>
              <w:bottom w:val="single" w:sz="4" w:space="0" w:color="auto"/>
              <w:right w:val="single" w:sz="4" w:space="0" w:color="auto"/>
            </w:tcBorders>
            <w:shd w:val="clear" w:color="auto" w:fill="auto"/>
            <w:noWrap/>
            <w:vAlign w:val="center"/>
            <w:hideMark/>
          </w:tcPr>
          <w:p w14:paraId="15DA10F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1" w:type="dxa"/>
            <w:tcBorders>
              <w:top w:val="nil"/>
              <w:left w:val="nil"/>
              <w:bottom w:val="single" w:sz="4" w:space="0" w:color="auto"/>
              <w:right w:val="nil"/>
            </w:tcBorders>
            <w:shd w:val="clear" w:color="auto" w:fill="auto"/>
            <w:noWrap/>
            <w:vAlign w:val="center"/>
            <w:hideMark/>
          </w:tcPr>
          <w:p w14:paraId="69CA561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46</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125548D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7610CAF5" w14:textId="77777777" w:rsidTr="00F56356">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7A4779"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13" w:type="dxa"/>
            <w:tcBorders>
              <w:top w:val="nil"/>
              <w:left w:val="nil"/>
              <w:bottom w:val="single" w:sz="4" w:space="0" w:color="auto"/>
              <w:right w:val="single" w:sz="4" w:space="0" w:color="auto"/>
            </w:tcBorders>
            <w:shd w:val="clear" w:color="auto" w:fill="auto"/>
            <w:noWrap/>
            <w:vAlign w:val="center"/>
            <w:hideMark/>
          </w:tcPr>
          <w:p w14:paraId="0914CDD8"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102.134.968,33</w:t>
            </w:r>
          </w:p>
        </w:tc>
        <w:tc>
          <w:tcPr>
            <w:tcW w:w="1554" w:type="dxa"/>
            <w:tcBorders>
              <w:top w:val="nil"/>
              <w:left w:val="nil"/>
              <w:bottom w:val="single" w:sz="4" w:space="0" w:color="auto"/>
              <w:right w:val="single" w:sz="4" w:space="0" w:color="auto"/>
            </w:tcBorders>
            <w:shd w:val="clear" w:color="auto" w:fill="auto"/>
            <w:noWrap/>
            <w:vAlign w:val="center"/>
            <w:hideMark/>
          </w:tcPr>
          <w:p w14:paraId="7E29859F"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67.934.770,57</w:t>
            </w:r>
          </w:p>
        </w:tc>
        <w:tc>
          <w:tcPr>
            <w:tcW w:w="956" w:type="dxa"/>
            <w:tcBorders>
              <w:top w:val="nil"/>
              <w:left w:val="nil"/>
              <w:bottom w:val="nil"/>
              <w:right w:val="nil"/>
            </w:tcBorders>
            <w:shd w:val="clear" w:color="auto" w:fill="auto"/>
            <w:noWrap/>
            <w:vAlign w:val="center"/>
            <w:hideMark/>
          </w:tcPr>
          <w:p w14:paraId="19F820C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71" w:type="dxa"/>
            <w:tcBorders>
              <w:top w:val="nil"/>
              <w:left w:val="nil"/>
              <w:bottom w:val="nil"/>
              <w:right w:val="nil"/>
            </w:tcBorders>
            <w:shd w:val="clear" w:color="auto" w:fill="auto"/>
            <w:noWrap/>
            <w:vAlign w:val="center"/>
            <w:hideMark/>
          </w:tcPr>
          <w:p w14:paraId="5F0DF0B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06" w:type="dxa"/>
            <w:tcBorders>
              <w:top w:val="nil"/>
              <w:left w:val="nil"/>
              <w:bottom w:val="nil"/>
              <w:right w:val="nil"/>
            </w:tcBorders>
            <w:shd w:val="clear" w:color="auto" w:fill="auto"/>
            <w:noWrap/>
            <w:vAlign w:val="center"/>
            <w:hideMark/>
          </w:tcPr>
          <w:p w14:paraId="34D8A3C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7D4710E3"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FF0000"/>
          <w:sz w:val="24"/>
          <w:szCs w:val="24"/>
          <w:lang w:eastAsia="it-IT"/>
        </w:rPr>
      </w:pPr>
    </w:p>
    <w:p w14:paraId="2A5FC648"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FF0000"/>
          <w:sz w:val="24"/>
          <w:szCs w:val="24"/>
          <w:lang w:eastAsia="it-IT"/>
        </w:rPr>
      </w:pPr>
    </w:p>
    <w:p w14:paraId="37468EB3"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FF0000"/>
          <w:sz w:val="24"/>
          <w:szCs w:val="24"/>
          <w:lang w:eastAsia="it-IT"/>
        </w:rPr>
      </w:pPr>
    </w:p>
    <w:p w14:paraId="28DD3B00"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343.304.565,73 sono state destinate per euro 70.716,03 al funzionamento e per euro 343.233.849,70 agli interventi. </w:t>
      </w:r>
    </w:p>
    <w:p w14:paraId="4A2D3DE6"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FF0000"/>
          <w:sz w:val="24"/>
          <w:szCs w:val="24"/>
          <w:lang w:eastAsia="it-IT"/>
        </w:rPr>
      </w:pPr>
    </w:p>
    <w:p w14:paraId="44AC84A9"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70.716,03 sono state destinate, in particolare, al rimborso delle spese di missione sostenute per la partecipazione a eventi di rilevanza istituzionale attinenti alle politiche giovanili (cap. 838) e per l’acquisto di giornali, riviste e abbonamenti, anche on line per l’Autorità politica (cap. 790). </w:t>
      </w:r>
    </w:p>
    <w:p w14:paraId="296A14A6"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color w:val="FF0000"/>
          <w:sz w:val="18"/>
          <w:szCs w:val="24"/>
          <w:lang w:eastAsia="it-IT"/>
        </w:rPr>
      </w:pPr>
    </w:p>
    <w:p w14:paraId="65A6E232"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17632" behindDoc="1" locked="0" layoutInCell="1" allowOverlap="1" wp14:anchorId="1F905369" wp14:editId="7EDCA2D4">
            <wp:simplePos x="0" y="0"/>
            <wp:positionH relativeFrom="column">
              <wp:posOffset>184785</wp:posOffset>
            </wp:positionH>
            <wp:positionV relativeFrom="paragraph">
              <wp:posOffset>267335</wp:posOffset>
            </wp:positionV>
            <wp:extent cx="5937885" cy="1414145"/>
            <wp:effectExtent l="0" t="0" r="5715" b="0"/>
            <wp:wrapTight wrapText="bothSides">
              <wp:wrapPolygon edited="0">
                <wp:start x="0" y="0"/>
                <wp:lineTo x="0" y="21241"/>
                <wp:lineTo x="11919" y="21241"/>
                <wp:lineTo x="11919" y="18622"/>
                <wp:lineTo x="21551" y="18622"/>
                <wp:lineTo x="21551" y="8147"/>
                <wp:lineTo x="21205" y="4656"/>
                <wp:lineTo x="21482" y="4656"/>
                <wp:lineTo x="21551" y="3492"/>
                <wp:lineTo x="21551" y="0"/>
                <wp:lineTo x="0" y="0"/>
              </wp:wrapPolygon>
            </wp:wrapTight>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7885" cy="141414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4E40735A"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8"/>
          <w:szCs w:val="24"/>
          <w:lang w:eastAsia="it-IT"/>
        </w:rPr>
      </w:pPr>
    </w:p>
    <w:p w14:paraId="19961FB6" w14:textId="77777777" w:rsidR="00F56356" w:rsidRPr="00F56356" w:rsidRDefault="00F56356" w:rsidP="00F56356">
      <w:pPr>
        <w:tabs>
          <w:tab w:val="left" w:pos="0"/>
          <w:tab w:val="left" w:pos="9356"/>
        </w:tabs>
        <w:spacing w:after="0" w:line="360" w:lineRule="auto"/>
        <w:jc w:val="both"/>
        <w:rPr>
          <w:rFonts w:ascii="Times New Roman" w:eastAsia="Times New Roman" w:hAnsi="Times New Roman" w:cs="Times New Roman"/>
          <w:b/>
          <w:color w:val="FF0000"/>
          <w:sz w:val="24"/>
          <w:szCs w:val="24"/>
          <w:lang w:eastAsia="it-IT"/>
        </w:rPr>
      </w:pPr>
    </w:p>
    <w:p w14:paraId="2F4B3EB1"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 xml:space="preserve">Le risorse impegnate per gli interventi sono state pari a euro 343.233.849,70, di cui euro 3.649.869,00 riferiti a reiscrizioni di residui passivi perenti, e sono state destinate: </w:t>
      </w:r>
    </w:p>
    <w:p w14:paraId="74B0E144"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w:t>
      </w:r>
      <w:r w:rsidRPr="00F56356">
        <w:rPr>
          <w:rFonts w:ascii="Times New Roman" w:eastAsia="Times New Roman" w:hAnsi="Times New Roman" w:cs="Times New Roman"/>
          <w:i/>
          <w:color w:val="000000" w:themeColor="text1"/>
          <w:sz w:val="24"/>
          <w:szCs w:val="24"/>
          <w:lang w:eastAsia="it-IT"/>
        </w:rPr>
        <w:t xml:space="preserve"> “Spese per la vigilanza sull’Agenzia Nazionale Giovani (decisione n. 1719/2006/CE) compresa la partecipazione alle riunioni convocate dall’Unione europea” </w:t>
      </w:r>
      <w:r w:rsidRPr="00F56356">
        <w:rPr>
          <w:rFonts w:ascii="Times New Roman" w:eastAsia="Times New Roman" w:hAnsi="Times New Roman" w:cs="Times New Roman"/>
          <w:color w:val="000000" w:themeColor="text1"/>
          <w:sz w:val="24"/>
          <w:szCs w:val="24"/>
          <w:lang w:eastAsia="it-IT"/>
        </w:rPr>
        <w:t>(cap. 791)</w:t>
      </w:r>
    </w:p>
    <w:p w14:paraId="40BEED28"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euro 15.721,80 ai servizi di audit dell’Organismo indipendente di revisione contabile – Independent Audit Body (IAB) in relazione al programma europeo Erasmus+, settore “Gioventù”, e al programma europeo ESC, nell’ambito dei quali l’Agenzia nazionale per i giovani – ANG (ora Agenzia Italiana per la Gioventù, ente pubblico non economico vigilato dall’Autorità politica delegata in materia di politiche giovanili, con il supporto del Dipartimento) è stata designata come Ente attuatore e all’affidamento dei servizi di supporto specialistico e di assistenza tecnica nei processi di auditing e revisione contabile, nonché di supporto alle attività di supervisione e di monitoraggio nell’ambito del programma Erasmus+ ed ESC. In particolare:</w:t>
      </w:r>
    </w:p>
    <w:p w14:paraId="779CF051"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1.155,00</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alla Società RIA GRANT THORNTON per i servizi di audit dell’Organismo indipendente di revisione contabile – Independent Audit Body (IAB) in relazione al programma europeo ESC, riferito alla programmazione europea 2021-2027, nell’ambito del quale l’Agenzia nazionale per i giovani – ANG è stata designata come Ente attuatore;</w:t>
      </w:r>
      <w:r w:rsidRPr="00F56356">
        <w:rPr>
          <w:rFonts w:ascii="Times New Roman" w:eastAsia="Times New Roman" w:hAnsi="Times New Roman" w:cs="Times New Roman"/>
          <w:color w:val="FF0000"/>
          <w:sz w:val="24"/>
          <w:szCs w:val="24"/>
          <w:lang w:eastAsia="it-IT"/>
        </w:rPr>
        <w:t xml:space="preserve"> </w:t>
      </w:r>
    </w:p>
    <w:p w14:paraId="5ABC5CFE"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euro 14.566,80 alla Società </w:t>
      </w:r>
      <w:proofErr w:type="spellStart"/>
      <w:r w:rsidRPr="00F56356">
        <w:rPr>
          <w:rFonts w:ascii="Times New Roman" w:eastAsia="Times New Roman" w:hAnsi="Times New Roman" w:cs="Times New Roman"/>
          <w:color w:val="000000" w:themeColor="text1"/>
          <w:sz w:val="24"/>
          <w:szCs w:val="24"/>
          <w:lang w:eastAsia="it-IT"/>
        </w:rPr>
        <w:t>Deloitte&amp;Touche</w:t>
      </w:r>
      <w:proofErr w:type="spellEnd"/>
      <w:r w:rsidRPr="00F56356">
        <w:rPr>
          <w:rFonts w:ascii="Times New Roman" w:eastAsia="Times New Roman" w:hAnsi="Times New Roman" w:cs="Times New Roman"/>
          <w:color w:val="000000" w:themeColor="text1"/>
          <w:sz w:val="24"/>
          <w:szCs w:val="24"/>
          <w:lang w:eastAsia="it-IT"/>
        </w:rPr>
        <w:t xml:space="preserve"> S.p.A. per servizi di assistenza tecnica, supporto, supervisione e monitoraggio nell’ambito dei programmi Erasmus+ ed ESC, riferiti alla programmazione europea 2021-2027; </w:t>
      </w:r>
    </w:p>
    <w:p w14:paraId="07486900"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 xml:space="preserve">Somme destinate al Consiglio nazionale dei giovani” </w:t>
      </w:r>
      <w:r w:rsidRPr="00F56356">
        <w:rPr>
          <w:rFonts w:ascii="Times New Roman" w:eastAsia="Times New Roman" w:hAnsi="Times New Roman" w:cs="Times New Roman"/>
          <w:color w:val="000000" w:themeColor="text1"/>
          <w:sz w:val="24"/>
          <w:szCs w:val="24"/>
          <w:lang w:eastAsia="it-IT"/>
        </w:rPr>
        <w:t>(cap. 792)</w:t>
      </w:r>
    </w:p>
    <w:p w14:paraId="7FF0C79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euro 700.000,00 al Consiglio nazionale dei giovani quale organo consultivo e di rappresentanza dei giovani, istituito ai sensi dell’articolo 1, comma 470, della legge 30 dicembre 2018, n. 145 (legge di bilancio 2019). Il Consiglio, formalmente costituitosi in forma di associazione di diritto privato, svolge i compiti e le funzioni indicati ai commi 473, 474 e 475 del medesimo articolo 1; con decreto del Presidente del Consiglio dei ministri o dell’Autorità politica delegata possono essere attribuiti al Consiglio ulteriori compiti e funzioni. Il trasferimento delle somme al Consiglio è stato disciplinato da un’apposita Convenzione sottoscritta con il Dipartimento, la quale,</w:t>
      </w:r>
      <w:r w:rsidRPr="00F56356">
        <w:rPr>
          <w:rFonts w:ascii="Times New Roman" w:eastAsia="Times New Roman" w:hAnsi="Times New Roman" w:cs="Times New Roman"/>
          <w:bCs/>
          <w:color w:val="000000" w:themeColor="text1"/>
          <w:sz w:val="24"/>
          <w:szCs w:val="24"/>
          <w:lang w:eastAsia="it-IT"/>
        </w:rPr>
        <w:t xml:space="preserve"> per il 2022, è stata perfezionata digitalmente in data 24 maggio 2022. Le attività progettuali </w:t>
      </w:r>
      <w:r w:rsidRPr="00F56356">
        <w:rPr>
          <w:rFonts w:ascii="Times New Roman" w:eastAsia="Times New Roman" w:hAnsi="Times New Roman" w:cs="Times New Roman"/>
          <w:sz w:val="24"/>
          <w:szCs w:val="24"/>
          <w:lang w:eastAsia="it-IT"/>
        </w:rPr>
        <w:t xml:space="preserve">si concluderanno il 31 maggio 2023, per effetto della proroga di 5 mesi del termine per la conclusione delle attività, previsto per il 31 dicembre 2022; </w:t>
      </w:r>
    </w:p>
    <w:p w14:paraId="5326CF1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 xml:space="preserve">Fondo per la Carta giovani nazionale” </w:t>
      </w:r>
      <w:r w:rsidRPr="00F56356">
        <w:rPr>
          <w:rFonts w:ascii="Times New Roman" w:eastAsia="Times New Roman" w:hAnsi="Times New Roman" w:cs="Times New Roman"/>
          <w:color w:val="000000" w:themeColor="text1"/>
          <w:sz w:val="24"/>
          <w:szCs w:val="24"/>
          <w:lang w:eastAsia="it-IT"/>
        </w:rPr>
        <w:t>(cap. 793)</w:t>
      </w:r>
    </w:p>
    <w:p w14:paraId="12E38557"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4.086.895,51, di cui:</w:t>
      </w:r>
    </w:p>
    <w:p w14:paraId="3D7F283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3.341.873,31 in favore della Società Studiare e Sviluppo S.r.l. (ora </w:t>
      </w:r>
      <w:proofErr w:type="spellStart"/>
      <w:r w:rsidRPr="00F56356">
        <w:rPr>
          <w:rFonts w:ascii="Times New Roman" w:eastAsia="Times New Roman" w:hAnsi="Times New Roman" w:cs="Times New Roman"/>
          <w:color w:val="000000" w:themeColor="text1"/>
          <w:sz w:val="24"/>
          <w:szCs w:val="24"/>
          <w:lang w:eastAsia="it-IT"/>
        </w:rPr>
        <w:t>Eutalia</w:t>
      </w:r>
      <w:proofErr w:type="spellEnd"/>
      <w:r w:rsidRPr="00F56356">
        <w:rPr>
          <w:rFonts w:ascii="Times New Roman" w:eastAsia="Times New Roman" w:hAnsi="Times New Roman" w:cs="Times New Roman"/>
          <w:color w:val="000000" w:themeColor="text1"/>
          <w:sz w:val="24"/>
          <w:szCs w:val="24"/>
          <w:lang w:eastAsia="it-IT"/>
        </w:rPr>
        <w:t xml:space="preserve"> S.r.l.), società interamente partecipata dal Ministero dell’economia e delle finanze, soggetto in regime di “in house” della PCM, quale quota di competenza dell’esercizio finanziario 2022 relativa alla Convenzione sottoscritta in data 15 luglio 2020 per il contratto di servizio volto al raggiungimento degli obiettivi prefissati dall’articolo 4, comma 4, del decreto istitutivo della Carta del 27 febbraio 2020;</w:t>
      </w:r>
    </w:p>
    <w:p w14:paraId="5237402A"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427.549,40 in favore della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per la quota di competenza dell’esercizio finanziario 2022, relativa alla Convenzione sottoscritta in data 31 luglio 2020; la Società è stata individuata dallo stesso decreto istitutivo della Carta come partner del Dipartimento ai fini dello sviluppo della struttura tecnologica della Carta, tramite funzionalità all’interno dell’APP IO;</w:t>
      </w:r>
    </w:p>
    <w:p w14:paraId="2CA57834"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267.472,80 in favore della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a seguito della sottoscrizione in data 30 dicembre 2022 di un Addendum - Atto di modifica della convenzione in corso di esecuzione (ex articolo 106, comma 1, lettera c), punto 1 e 2, comma 12, del d.lgs. n. 50/2016 e </w:t>
      </w:r>
      <w:proofErr w:type="spellStart"/>
      <w:r w:rsidRPr="00F56356">
        <w:rPr>
          <w:rFonts w:ascii="Times New Roman" w:eastAsia="Times New Roman" w:hAnsi="Times New Roman" w:cs="Times New Roman"/>
          <w:color w:val="000000" w:themeColor="text1"/>
          <w:sz w:val="24"/>
          <w:szCs w:val="24"/>
          <w:lang w:eastAsia="it-IT"/>
        </w:rPr>
        <w:t>s.m.i.</w:t>
      </w:r>
      <w:proofErr w:type="spellEnd"/>
      <w:r w:rsidRPr="00F56356">
        <w:rPr>
          <w:rFonts w:ascii="Times New Roman" w:eastAsia="Times New Roman" w:hAnsi="Times New Roman" w:cs="Times New Roman"/>
          <w:color w:val="000000" w:themeColor="text1"/>
          <w:sz w:val="24"/>
          <w:szCs w:val="24"/>
          <w:lang w:eastAsia="it-IT"/>
        </w:rPr>
        <w:t>) alla Convenzione di cui al punto sub b), per la realizzazione di attività aggiuntive di sviluppo, originariamente non previste;</w:t>
      </w:r>
    </w:p>
    <w:p w14:paraId="630140C6"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50.000,00 in favore di EYCA – </w:t>
      </w:r>
      <w:proofErr w:type="spellStart"/>
      <w:r w:rsidRPr="00F56356">
        <w:rPr>
          <w:rFonts w:ascii="Times New Roman" w:eastAsia="Times New Roman" w:hAnsi="Times New Roman" w:cs="Times New Roman"/>
          <w:color w:val="000000" w:themeColor="text1"/>
          <w:sz w:val="24"/>
          <w:szCs w:val="24"/>
          <w:lang w:eastAsia="it-IT"/>
        </w:rPr>
        <w:t>European</w:t>
      </w:r>
      <w:proofErr w:type="spellEnd"/>
      <w:r w:rsidRPr="00F56356">
        <w:rPr>
          <w:rFonts w:ascii="Times New Roman" w:eastAsia="Times New Roman" w:hAnsi="Times New Roman" w:cs="Times New Roman"/>
          <w:color w:val="000000" w:themeColor="text1"/>
          <w:sz w:val="24"/>
          <w:szCs w:val="24"/>
          <w:lang w:eastAsia="it-IT"/>
        </w:rPr>
        <w:t xml:space="preserve"> Youth Card </w:t>
      </w:r>
      <w:proofErr w:type="spellStart"/>
      <w:r w:rsidRPr="00F56356">
        <w:rPr>
          <w:rFonts w:ascii="Times New Roman" w:eastAsia="Times New Roman" w:hAnsi="Times New Roman" w:cs="Times New Roman"/>
          <w:color w:val="000000" w:themeColor="text1"/>
          <w:sz w:val="24"/>
          <w:szCs w:val="24"/>
          <w:lang w:eastAsia="it-IT"/>
        </w:rPr>
        <w:t>Association</w:t>
      </w:r>
      <w:proofErr w:type="spellEnd"/>
      <w:r w:rsidRPr="00F56356">
        <w:rPr>
          <w:rFonts w:ascii="Times New Roman" w:eastAsia="Times New Roman" w:hAnsi="Times New Roman" w:cs="Times New Roman"/>
          <w:color w:val="000000" w:themeColor="text1"/>
          <w:sz w:val="24"/>
          <w:szCs w:val="24"/>
          <w:lang w:eastAsia="it-IT"/>
        </w:rPr>
        <w:t>, a titolo di contributo per l’adesione della CGN al circuito europeo delle carte della gioventù, per l’anno 2023.</w:t>
      </w:r>
    </w:p>
    <w:p w14:paraId="421EDC9F"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L’articolo 1, comma 413, della legge 27 dicembre 2019, n. 160 (legge di bilancio 2020) ha previsto l’istituzione presso la Presidenza del Consiglio dei ministri di un fondo denominato “Fondo per la Carta giovani nazionale” al fine di promuovere l’accesso ai beni e ai servizi ai cittadini italiani ed europei residenti in Italia, di età compresa tra 18 e 35 anni, con l’obiettivo di promuovere una migliore qualità della vita delle giovani generazioni sostenendone il processo di crescita e incentivando le opportunità volte a favorire la partecipazione ad attività culturali, sportive e </w:t>
      </w:r>
      <w:r w:rsidRPr="00F56356">
        <w:rPr>
          <w:rFonts w:ascii="Times New Roman" w:eastAsia="Times New Roman" w:hAnsi="Times New Roman" w:cs="Times New Roman"/>
          <w:color w:val="000000" w:themeColor="text1"/>
          <w:sz w:val="24"/>
          <w:szCs w:val="24"/>
          <w:lang w:eastAsia="it-IT"/>
        </w:rPr>
        <w:lastRenderedPageBreak/>
        <w:t xml:space="preserve">ricreative, anche con finalità formative. Con decreto del Ministro per le politiche giovanili e lo sport, emanato il 27 febbraio 2020, sono stati definiti i criteri, le funzionalità e le modalità per la realizzazione e la distribuzione della suddetta Carta; a seguito dell’individuazione della società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quale partner del Dipartimento per lo sviluppo della struttura tecnologica della Carta, è stata poi individuata la Società Studiare Sviluppo S.r.l., soggetto in regime di “in house” della PCM, per la realizzazione delle attività previste dall’articolo 4, comma 4, del predetto decreto ministeriale, assicurando il necessario coordinamento con </w:t>
      </w:r>
      <w:proofErr w:type="spellStart"/>
      <w:r w:rsidRPr="00F56356">
        <w:rPr>
          <w:rFonts w:ascii="Times New Roman" w:eastAsia="Times New Roman" w:hAnsi="Times New Roman" w:cs="Times New Roman"/>
          <w:color w:val="000000" w:themeColor="text1"/>
          <w:sz w:val="24"/>
          <w:szCs w:val="24"/>
          <w:lang w:eastAsia="it-IT"/>
        </w:rPr>
        <w:t>PagoPA</w:t>
      </w:r>
      <w:proofErr w:type="spellEnd"/>
      <w:r w:rsidRPr="00F56356">
        <w:rPr>
          <w:rFonts w:ascii="Times New Roman" w:eastAsia="Times New Roman" w:hAnsi="Times New Roman" w:cs="Times New Roman"/>
          <w:color w:val="000000" w:themeColor="text1"/>
          <w:sz w:val="24"/>
          <w:szCs w:val="24"/>
          <w:lang w:eastAsia="it-IT"/>
        </w:rPr>
        <w:t xml:space="preserve"> S.p.A. in termini di specifiche tecniche e operatività dei processi;</w:t>
      </w:r>
    </w:p>
    <w:p w14:paraId="3502A0CB"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w:t>
      </w:r>
      <w:r w:rsidRPr="00F56356">
        <w:rPr>
          <w:rFonts w:ascii="Times New Roman" w:eastAsia="Times New Roman" w:hAnsi="Times New Roman" w:cs="Times New Roman"/>
          <w:i/>
          <w:color w:val="000000" w:themeColor="text1"/>
          <w:sz w:val="24"/>
          <w:szCs w:val="24"/>
          <w:lang w:eastAsia="it-IT"/>
        </w:rPr>
        <w:t xml:space="preserve"> “Fondo per le politiche giovanili” </w:t>
      </w:r>
      <w:r w:rsidRPr="00F56356">
        <w:rPr>
          <w:rFonts w:ascii="Times New Roman" w:eastAsia="Times New Roman" w:hAnsi="Times New Roman" w:cs="Times New Roman"/>
          <w:color w:val="000000" w:themeColor="text1"/>
          <w:sz w:val="24"/>
          <w:szCs w:val="24"/>
          <w:lang w:eastAsia="it-IT"/>
        </w:rPr>
        <w:t>(cap. 853)</w:t>
      </w:r>
    </w:p>
    <w:p w14:paraId="40DF6E34"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38.323.674,89, di cui in particolare:</w:t>
      </w:r>
    </w:p>
    <w:p w14:paraId="56938E4A"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3.456.843,50</w:t>
      </w:r>
      <w:r w:rsidRPr="00F56356">
        <w:rPr>
          <w:rFonts w:ascii="Times New Roman" w:eastAsia="Times New Roman" w:hAnsi="Times New Roman" w:cs="Times New Roman"/>
          <w:bCs/>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riferiti a reiscrizioni di residui passivi perenti;</w:t>
      </w:r>
    </w:p>
    <w:p w14:paraId="75C69F12"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21.765.116,00, ripartiti fra le Regioni e le Province Autonome, in attuazione della Intesa rep. 77/CU/2022 in data 11 maggio 2022, sancita in sede di Conferenza unificata che ha ripartito il Fondo 2022, destinando il 51% alle azioni e ai progetti sul territorio e il restante 49% alle azioni e ai progetti di rilevante interesse nazionale;</w:t>
      </w:r>
    </w:p>
    <w:p w14:paraId="5FD16ED9"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1.990.613,00 in favore di </w:t>
      </w:r>
      <w:proofErr w:type="spellStart"/>
      <w:r w:rsidRPr="00F56356">
        <w:rPr>
          <w:rFonts w:ascii="Times New Roman" w:eastAsia="Times New Roman" w:hAnsi="Times New Roman" w:cs="Times New Roman"/>
          <w:color w:val="000000" w:themeColor="text1"/>
          <w:sz w:val="24"/>
          <w:szCs w:val="24"/>
          <w:lang w:eastAsia="it-IT"/>
        </w:rPr>
        <w:t>Eutalia</w:t>
      </w:r>
      <w:proofErr w:type="spellEnd"/>
      <w:r w:rsidRPr="00F56356">
        <w:rPr>
          <w:rFonts w:ascii="Times New Roman" w:eastAsia="Times New Roman" w:hAnsi="Times New Roman" w:cs="Times New Roman"/>
          <w:color w:val="000000" w:themeColor="text1"/>
          <w:sz w:val="24"/>
          <w:szCs w:val="24"/>
          <w:lang w:eastAsia="it-IT"/>
        </w:rPr>
        <w:t xml:space="preserve"> S.r.l., per la realizzazione di un servizio di supporto specialistico tecnico amministrativo e gestionale nell’ambito delle iniziative da realizzare in occasione dell’Anno europeo dei giovani, a seguito della Convenzione sottoscritta, in regime di affidamento </w:t>
      </w:r>
      <w:r w:rsidRPr="00F56356">
        <w:rPr>
          <w:rFonts w:ascii="Times New Roman" w:eastAsia="Times New Roman" w:hAnsi="Times New Roman" w:cs="Times New Roman"/>
          <w:i/>
          <w:color w:val="000000" w:themeColor="text1"/>
          <w:sz w:val="24"/>
          <w:szCs w:val="24"/>
          <w:lang w:eastAsia="it-IT"/>
        </w:rPr>
        <w:t>in house</w:t>
      </w:r>
      <w:r w:rsidRPr="00F56356">
        <w:rPr>
          <w:rFonts w:ascii="Times New Roman" w:eastAsia="Times New Roman" w:hAnsi="Times New Roman" w:cs="Times New Roman"/>
          <w:color w:val="000000" w:themeColor="text1"/>
          <w:sz w:val="24"/>
          <w:szCs w:val="24"/>
          <w:lang w:eastAsia="it-IT"/>
        </w:rPr>
        <w:t xml:space="preserve">, ai sensi dell’art. 192, comma 2, del decreto legislativo 18 aprile 2016, n. 50; </w:t>
      </w:r>
    </w:p>
    <w:p w14:paraId="009657AC"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225.000,00 al Comune di Genova, per effetto dell’Accordo di collaborazione sottoscritto, ai sensi dell’articolo 15 della legge 7 agosto 1990, n. 241 e </w:t>
      </w:r>
      <w:proofErr w:type="spellStart"/>
      <w:r w:rsidRPr="00F56356">
        <w:rPr>
          <w:rFonts w:ascii="Times New Roman" w:eastAsia="Times New Roman" w:hAnsi="Times New Roman" w:cs="Times New Roman"/>
          <w:color w:val="000000" w:themeColor="text1"/>
          <w:sz w:val="24"/>
          <w:szCs w:val="24"/>
          <w:lang w:eastAsia="it-IT"/>
        </w:rPr>
        <w:t>s.m.i.</w:t>
      </w:r>
      <w:proofErr w:type="spellEnd"/>
      <w:r w:rsidRPr="00F56356">
        <w:rPr>
          <w:rFonts w:ascii="Times New Roman" w:eastAsia="Times New Roman" w:hAnsi="Times New Roman" w:cs="Times New Roman"/>
          <w:color w:val="000000" w:themeColor="text1"/>
          <w:sz w:val="24"/>
          <w:szCs w:val="24"/>
          <w:lang w:eastAsia="it-IT"/>
        </w:rPr>
        <w:t>, tra il Dipartimento e il predetto Comune di Genova, per la realizzazione del progetto “Promozione della creatività, delle arti performative e dei mestieri dello spettacolo per l’emancipazione giovanile, il dialogo interculturale e l’aggregazione sociale”;</w:t>
      </w:r>
    </w:p>
    <w:p w14:paraId="22AE16FC"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450.000,00 in favore del Museo e Real Bosco di Capodimonte, per effetto dell’Accordo di collaborazione sottoscritto, ai sensi dell’articolo 15 della legge 7 agosto 1990, n. 241 e </w:t>
      </w:r>
      <w:proofErr w:type="spellStart"/>
      <w:r w:rsidRPr="00F56356">
        <w:rPr>
          <w:rFonts w:ascii="Times New Roman" w:eastAsia="Times New Roman" w:hAnsi="Times New Roman" w:cs="Times New Roman"/>
          <w:color w:val="000000" w:themeColor="text1"/>
          <w:sz w:val="24"/>
          <w:szCs w:val="24"/>
          <w:lang w:eastAsia="it-IT"/>
        </w:rPr>
        <w:t>s.m.i.</w:t>
      </w:r>
      <w:proofErr w:type="spellEnd"/>
      <w:r w:rsidRPr="00F56356">
        <w:rPr>
          <w:rFonts w:ascii="Times New Roman" w:eastAsia="Times New Roman" w:hAnsi="Times New Roman" w:cs="Times New Roman"/>
          <w:color w:val="000000" w:themeColor="text1"/>
          <w:sz w:val="24"/>
          <w:szCs w:val="24"/>
          <w:lang w:eastAsia="it-IT"/>
        </w:rPr>
        <w:t>, tra il Dipartimento e il Museo per la realizzazione del progetto “Capodimonte giardino di inclusione e creatività nell’Anno europeo dei giovani”;</w:t>
      </w:r>
    </w:p>
    <w:p w14:paraId="0BB48F8D"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9.796,65, quale versamento delle ritenute del 4% operate, a titolo di acconto dell’imposta sul reddito delle persone giuridiche (ex articolo 28, comma 2, del decreto del Presidente della Repubblica 29 settembre 1973, n. 600), sulle quote di cofinanziamento erogate in favore dei beneficiari degli Avvisi pubblici finanziati dal Dipartimento, qualora le attività da questi realizzate si configurino come commerciali;</w:t>
      </w:r>
    </w:p>
    <w:p w14:paraId="28F3D693"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10.000,00 al Consiglio d’Europa, quale contributo volontario per il sostegno alla realizzazione del progetto “Youth </w:t>
      </w:r>
      <w:proofErr w:type="spellStart"/>
      <w:r w:rsidRPr="00F56356">
        <w:rPr>
          <w:rFonts w:ascii="Times New Roman" w:eastAsia="Times New Roman" w:hAnsi="Times New Roman" w:cs="Times New Roman"/>
          <w:color w:val="000000" w:themeColor="text1"/>
          <w:sz w:val="24"/>
          <w:szCs w:val="24"/>
          <w:lang w:eastAsia="it-IT"/>
        </w:rPr>
        <w:t>Campaign</w:t>
      </w:r>
      <w:proofErr w:type="spellEnd"/>
      <w:r w:rsidRPr="00F56356">
        <w:rPr>
          <w:rFonts w:ascii="Times New Roman" w:eastAsia="Times New Roman" w:hAnsi="Times New Roman" w:cs="Times New Roman"/>
          <w:color w:val="000000" w:themeColor="text1"/>
          <w:sz w:val="24"/>
          <w:szCs w:val="24"/>
          <w:lang w:eastAsia="it-IT"/>
        </w:rPr>
        <w:t xml:space="preserve"> for Democracy”;</w:t>
      </w:r>
    </w:p>
    <w:p w14:paraId="2D7B8608"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3.318,00 in favore di </w:t>
      </w:r>
      <w:proofErr w:type="spellStart"/>
      <w:r w:rsidRPr="00F56356">
        <w:rPr>
          <w:rFonts w:ascii="Times New Roman" w:eastAsia="Times New Roman" w:hAnsi="Times New Roman" w:cs="Times New Roman"/>
          <w:color w:val="000000" w:themeColor="text1"/>
          <w:sz w:val="24"/>
          <w:szCs w:val="24"/>
          <w:lang w:eastAsia="it-IT"/>
        </w:rPr>
        <w:t>Competition</w:t>
      </w:r>
      <w:proofErr w:type="spellEnd"/>
      <w:r w:rsidRPr="00F56356">
        <w:rPr>
          <w:rFonts w:ascii="Times New Roman" w:eastAsia="Times New Roman" w:hAnsi="Times New Roman" w:cs="Times New Roman"/>
          <w:color w:val="000000" w:themeColor="text1"/>
          <w:sz w:val="24"/>
          <w:szCs w:val="24"/>
          <w:lang w:eastAsia="it-IT"/>
        </w:rPr>
        <w:t xml:space="preserve"> Travel, per l’affidamento dei servizi relativi alla conferenza “Claim the Future”;  </w:t>
      </w:r>
    </w:p>
    <w:p w14:paraId="76D19AB6"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1.050.000,00 in favore di UPI, per l’Accordo sottoscritto in data 11 aprile 2022, relativo all’incremento del FPG 2021; </w:t>
      </w:r>
    </w:p>
    <w:p w14:paraId="62292A58"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151.577,55 in favore dell’Agenzia delle entrate Riscossione per la Provincia di Roma, in attuazione dell’Atto di pignoramento dei crediti del debitore verso terzi n. 97/2022/2054 – Debitore Società Cooperativa Sociale Integra a r.l.;</w:t>
      </w:r>
    </w:p>
    <w:p w14:paraId="604A5BB1"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1.229,27 in favore di Consip S.p.A., a titolo di contributo ex articolo 18, comma 3, del d.lgs. n. 177/2009, relativo all’Addendum al Contratto esecutivo per l’affidamento dei servizi consistenti nella realizzazione e nello sviluppo del portale “Giovani2030”;</w:t>
      </w:r>
    </w:p>
    <w:p w14:paraId="1FAC7A75"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815.922,61 in favore di </w:t>
      </w:r>
      <w:proofErr w:type="spellStart"/>
      <w:r w:rsidRPr="00F56356">
        <w:rPr>
          <w:rFonts w:ascii="Times New Roman" w:eastAsia="Times New Roman" w:hAnsi="Times New Roman" w:cs="Times New Roman"/>
          <w:color w:val="000000" w:themeColor="text1"/>
          <w:sz w:val="24"/>
          <w:szCs w:val="24"/>
          <w:lang w:eastAsia="it-IT"/>
        </w:rPr>
        <w:t>Almaviva</w:t>
      </w:r>
      <w:proofErr w:type="spellEnd"/>
      <w:r w:rsidRPr="00F56356">
        <w:rPr>
          <w:rFonts w:ascii="Times New Roman" w:eastAsia="Times New Roman" w:hAnsi="Times New Roman" w:cs="Times New Roman"/>
          <w:color w:val="000000" w:themeColor="text1"/>
          <w:sz w:val="24"/>
          <w:szCs w:val="24"/>
          <w:lang w:eastAsia="it-IT"/>
        </w:rPr>
        <w:t xml:space="preserve"> S.p.A. (mandataria del RTI), a seguito del contratto esecutivo in adesione al Contratto Quadro, stipulato da Consip, denominato “Servizi di realizzazione e gestione di Portali e Servizi on-line - Lotto 4” nell’ambito del Sistema Pubblico di Connettività e Cooperazione (SPC), per la fornitura di un servizio di gestione, manutenzione correttiva e </w:t>
      </w:r>
      <w:proofErr w:type="spellStart"/>
      <w:r w:rsidRPr="00F56356">
        <w:rPr>
          <w:rFonts w:ascii="Times New Roman" w:eastAsia="Times New Roman" w:hAnsi="Times New Roman" w:cs="Times New Roman"/>
          <w:color w:val="000000" w:themeColor="text1"/>
          <w:sz w:val="24"/>
          <w:szCs w:val="24"/>
          <w:lang w:eastAsia="it-IT"/>
        </w:rPr>
        <w:t>adeguativa</w:t>
      </w:r>
      <w:proofErr w:type="spellEnd"/>
      <w:r w:rsidRPr="00F56356">
        <w:rPr>
          <w:rFonts w:ascii="Times New Roman" w:eastAsia="Times New Roman" w:hAnsi="Times New Roman" w:cs="Times New Roman"/>
          <w:color w:val="000000" w:themeColor="text1"/>
          <w:sz w:val="24"/>
          <w:szCs w:val="24"/>
          <w:lang w:eastAsia="it-IT"/>
        </w:rPr>
        <w:t xml:space="preserve"> e supporto specialistico del portale “Giovani2030”;</w:t>
      </w:r>
    </w:p>
    <w:p w14:paraId="36E29639"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5.350,31 in favore di Consip S.p.A., a titolo di contributo ex articolo 18, comma 3, del d.lgs. n. 177/2009, relativo al predetto Contratto esecutivo;</w:t>
      </w:r>
    </w:p>
    <w:p w14:paraId="2DA9D9A2"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25.900,00 in favore di </w:t>
      </w:r>
      <w:proofErr w:type="spellStart"/>
      <w:r w:rsidRPr="00F56356">
        <w:rPr>
          <w:rFonts w:ascii="Times New Roman" w:eastAsia="Times New Roman" w:hAnsi="Times New Roman" w:cs="Times New Roman"/>
          <w:color w:val="000000" w:themeColor="text1"/>
          <w:sz w:val="24"/>
          <w:szCs w:val="24"/>
          <w:lang w:eastAsia="it-IT"/>
        </w:rPr>
        <w:t>Kaiti</w:t>
      </w:r>
      <w:proofErr w:type="spellEnd"/>
      <w:r w:rsidRPr="00F56356">
        <w:rPr>
          <w:rFonts w:ascii="Times New Roman" w:eastAsia="Times New Roman" w:hAnsi="Times New Roman" w:cs="Times New Roman"/>
          <w:color w:val="000000" w:themeColor="text1"/>
          <w:sz w:val="24"/>
          <w:szCs w:val="24"/>
          <w:lang w:eastAsia="it-IT"/>
        </w:rPr>
        <w:t xml:space="preserve"> Expansion S.r.l., in attuazione dell’Addendum al Contratto per la progettazione e organizzazione di un evento itinerante denominato “Truck Tour” ed euro 5.698,00, a titolo di IVA per il predetto Addendum; </w:t>
      </w:r>
    </w:p>
    <w:p w14:paraId="680ED5EB"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7.700.000,00 in favore di ANCI, a seguito dell’Accordo sottoscritto con il Dipartimento in data 10 ottobre 2022, relativo all’incremento del Fondo per le politiche giovanili per l’anno 2021;</w:t>
      </w:r>
    </w:p>
    <w:p w14:paraId="1C318FCF"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657.310,00 alla realizzazione di progetti culturali e/o sociali di alta rilevanza, ai sensi dell’articolo 2, comma 3, del decreto del Presidente del consiglio dei ministri 22 novembre 2010; </w:t>
      </w:r>
    </w:p>
    <w:p w14:paraId="3466C035"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Spese per la realizzazione di interventi e progetti finanziati dal Piano di azione e coesione (PAC), ivi incluse anche le spese per l’assistenza tecnica”</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(cap. 889)</w:t>
      </w:r>
    </w:p>
    <w:p w14:paraId="64E87A15" w14:textId="77777777" w:rsidR="00F56356" w:rsidRPr="00F56356" w:rsidRDefault="00F56356" w:rsidP="00F56356">
      <w:pPr>
        <w:tabs>
          <w:tab w:val="left" w:pos="284"/>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euro 193.025,50 riferiti a reiscrizioni di residui passivi perenti;</w:t>
      </w:r>
    </w:p>
    <w:p w14:paraId="45A066BF" w14:textId="77777777" w:rsidR="00F56356" w:rsidRPr="00F56356" w:rsidRDefault="00F56356" w:rsidP="00F56356">
      <w:pPr>
        <w:tabs>
          <w:tab w:val="left" w:pos="284"/>
          <w:tab w:val="left" w:pos="360"/>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w:t>
      </w:r>
      <w:r w:rsidRPr="00F56356">
        <w:rPr>
          <w:rFonts w:ascii="Times New Roman" w:eastAsia="Times New Roman" w:hAnsi="Times New Roman" w:cs="Times New Roman"/>
          <w:i/>
          <w:color w:val="000000" w:themeColor="text1"/>
          <w:sz w:val="24"/>
          <w:szCs w:val="24"/>
          <w:lang w:eastAsia="it-IT"/>
        </w:rPr>
        <w:t xml:space="preserve"> “Fondo servizio civile nazionale” </w:t>
      </w:r>
      <w:r w:rsidRPr="00F56356">
        <w:rPr>
          <w:rFonts w:ascii="Times New Roman" w:eastAsia="Times New Roman" w:hAnsi="Times New Roman" w:cs="Times New Roman"/>
          <w:color w:val="000000" w:themeColor="text1"/>
          <w:sz w:val="24"/>
          <w:szCs w:val="24"/>
          <w:lang w:eastAsia="it-IT"/>
        </w:rPr>
        <w:t>(cap. 228)</w:t>
      </w:r>
    </w:p>
    <w:p w14:paraId="3592958A"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299.914.532,00 trasferiti sulla contabilità speciale del Servizio civile, ai sensi del decreto-legge 16 settembre 1999, n. 324, convertito, con modificazioni, dalla legge 12 novembre 1999, n. 424. Tra le principali attività relative all’attuazione dei programmi di Servizio civile sono da evidenziare, in particolare, la presentazione e valutazione dei progetti presentati dagli enti, la pubblicazione dei bandi per la selezione degli operatori volontari di servizio civile, la selezione dei giovani, l’avvio dei progetti di servizio civile e il trattamento economico dei giovani per l’attività svolta. Il contesto in cui si inseriscono le attività di servizio civile espletate nel corso del 2022 è </w:t>
      </w:r>
      <w:r w:rsidRPr="00F56356">
        <w:rPr>
          <w:rFonts w:ascii="Times New Roman" w:eastAsia="Times New Roman" w:hAnsi="Times New Roman" w:cs="Times New Roman"/>
          <w:color w:val="000000" w:themeColor="text1"/>
          <w:sz w:val="24"/>
          <w:szCs w:val="24"/>
          <w:lang w:eastAsia="it-IT"/>
        </w:rPr>
        <w:lastRenderedPageBreak/>
        <w:t xml:space="preserve">stato influenzato ancora dall’evolversi dell’emergenza epidemiologica da Covid-19. Per affrontare la crisi determinata dall’emergenza Covid-19, l’Unione europea ha deliberato l’adozione di uno strumento temporaneo, il programma </w:t>
      </w:r>
      <w:proofErr w:type="spellStart"/>
      <w:r w:rsidRPr="00F56356">
        <w:rPr>
          <w:rFonts w:ascii="Times New Roman" w:eastAsia="Times New Roman" w:hAnsi="Times New Roman" w:cs="Times New Roman"/>
          <w:color w:val="000000" w:themeColor="text1"/>
          <w:sz w:val="24"/>
          <w:szCs w:val="24"/>
          <w:lang w:eastAsia="it-IT"/>
        </w:rPr>
        <w:t>Next</w:t>
      </w:r>
      <w:proofErr w:type="spellEnd"/>
      <w:r w:rsidRPr="00F56356">
        <w:rPr>
          <w:rFonts w:ascii="Times New Roman" w:eastAsia="Times New Roman" w:hAnsi="Times New Roman" w:cs="Times New Roman"/>
          <w:color w:val="000000" w:themeColor="text1"/>
          <w:sz w:val="24"/>
          <w:szCs w:val="24"/>
          <w:lang w:eastAsia="it-IT"/>
        </w:rPr>
        <w:t xml:space="preserve"> Generation EU, istituito con il regolamento (UE) 2020/2094, che integra il Quadro finanziario per il periodo 2021-2027. Con l’approvazione il 13 luglio 2021 del PNRR italiano è stato previsto il potenziamento del servizio civile universale soprattutto in termini di orientamento delle competenze dei giovani ai fini del miglioramento della loro occupabilità. Il PNRR ha finanziato un altro intervento, il Servizio civile Digitale, volto a sostenere, attraverso la figura dell’operatore volontario/facilitatore digitale, percorsi di educazione digitale e di accompagnamento allo sviluppo di servizi digitali. Il contesto in cui si è trovato a operare il servizio civile universale è stato anche influenzato dalla crisi dovuta al conflitto russo-ucraino. Attraverso apposite Circolari, elaborate in raccordo con il Dipartimento della protezione civile, sono stati definiti gli aspetti organizzativi e operativi connessi alla rimodulazione delle attività e degli obiettivi dei programmi e progetti di servizio civile, che si svolgono sul territorio nazionale, per fornire indicazioni agli enti di servizio civile circa l’impiego dei volontari nell’ambito dell’emergenza in Ucraina.</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sz w:val="24"/>
          <w:szCs w:val="24"/>
          <w:lang w:eastAsia="it-IT"/>
        </w:rPr>
        <w:t>Nel corso del 2022 il Dipartimento si è, inoltre, focalizzato su una attività di semplificazione, concentrata, in particolare, sull’automazione di alcune delle fasi di gestione e rendicontazione delle attività dei programmi e sulla più completa digitalizzazione delle modalità di redazione dei programmi e dei progetti che li compongono. Tali operazioni sono state condivise con gli enti di servizio civile attraverso la partecipazione della Consulta e con le Regioni attraverso il proficuo dialogo che è stato costruito negli anni. Il processo di digitalizzazione ha interessato anche il settore dell’iscrizione degli enti al sistema SCU. Rispetto agli enti che compongono il “sistema”, il Dipartimento ha infatti condotto una rilevante operazione di digitalizzazione dell’Albo degli enti di servizio civile universale istituito presso la Presidenza del Consiglio dei ministri, ai sensi dell’articolo 11 del decreto legislativo 6 marzo 2017, n. 40.</w:t>
      </w:r>
    </w:p>
    <w:p w14:paraId="537F950A"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Nel corso dell’esercizio finanziario 2022 è stato predisposto il Piano triennale 2023-2025 per la programmazione del servizio civile universale; in particolare, è stato attivato un processo partecipato di elaborazione dei contenuti, orientato a condividere i temi portanti con i diversi stakeholder del sistema SCU, prevedendo il costante coinvolgimento della Consulta nazionale per il servizio civile, attraverso la costituzione di un apposito gruppo di lavoro. Nel Piano sono presenti le sperimentazioni in corso che riguardano, in particolare: </w:t>
      </w:r>
    </w:p>
    <w:p w14:paraId="60858C87"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1) Servizio civile digitale, per cui si prevede il coinvolgimento di 1.007 operatori volontari, coinvolti in 45 programmi d’intervento e 103 progetti. Inoltre, con riferimento al primo ciclo PNRR, il 1° agosto 2022 è stato adottato il decreto di finanziamento dei progetti dichiarati ammissibili e in data 2 agosto 2022 è stato pubblicato il bando di selezione per 2.160 operatori volontari da impiegare in </w:t>
      </w:r>
      <w:r w:rsidRPr="00F56356">
        <w:rPr>
          <w:rFonts w:ascii="Times New Roman" w:eastAsia="Times New Roman" w:hAnsi="Times New Roman" w:cs="Times New Roman"/>
          <w:color w:val="000000" w:themeColor="text1"/>
          <w:sz w:val="24"/>
          <w:szCs w:val="24"/>
          <w:lang w:eastAsia="it-IT"/>
        </w:rPr>
        <w:lastRenderedPageBreak/>
        <w:t>88 programmi d’intervento e 278 progetti. Gli operatori volontari selezionati a seguito del citato bando hanno preso servizio prevalentemente nei mesi di novembre e dicembre 2022;</w:t>
      </w:r>
    </w:p>
    <w:p w14:paraId="7E6D0675"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2) Servizio civile ambientale, finalizzato a preparare i giovani ad affrontare le sfide della rivoluzione verde e della transizione ecologica; i</w:t>
      </w:r>
      <w:r w:rsidRPr="00F56356">
        <w:rPr>
          <w:rFonts w:ascii="Times New Roman" w:eastAsia="Times New Roman" w:hAnsi="Times New Roman" w:cs="Times New Roman"/>
          <w:sz w:val="24"/>
          <w:szCs w:val="24"/>
          <w:lang w:eastAsia="it-IT"/>
        </w:rPr>
        <w:t>n relazione all’Avviso 25 gennaio 2022, è stato pubblicato in data 2 agosto 2022 il bando di selezione per l’impiego di 441 operatori volontari. Gli operatori volontari selezionati a seguito del citato bando hanno preso servizio prevalentemente nei mesi di novembre e dicembre 2022</w:t>
      </w:r>
      <w:r w:rsidRPr="00F56356">
        <w:rPr>
          <w:rFonts w:ascii="Times New Roman" w:eastAsia="Times New Roman" w:hAnsi="Times New Roman" w:cs="Times New Roman"/>
          <w:color w:val="000000" w:themeColor="text1"/>
          <w:sz w:val="24"/>
          <w:szCs w:val="24"/>
          <w:lang w:eastAsia="it-IT"/>
        </w:rPr>
        <w:t>, valorizzando l’istituto del Servizio civile universale;</w:t>
      </w:r>
    </w:p>
    <w:p w14:paraId="379DBA87"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3) Servizio civile sportivo, volto a mitigare gli effetti della prolungata applicazione delle misure di contenimento del rischio pandemico e, in particolare, le conseguenze riferibili allo sviluppo e piena realizzazione dei giovani, compresi quelli con disabilità;</w:t>
      </w:r>
    </w:p>
    <w:p w14:paraId="3909A8FB"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iCs/>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4) Sperimentazione dei Corpi Civili di Pace – III Annualità: in data 23 maggio 2022, a seguito di informativa in Consulta e nel relativo Comitato di monitoraggio e valutazione, è stato pubblicato il terzo avviso relativo alla presentazione di progetti per la sperimentazione dei CCP per complessivi 250 posti in Italia e all’estero. In data 22 novembre 2022 è stato reso noto l’elenco dei progetti approvati, suddivisi per aree di intervento, per complessive 154 posizioni (19 progetti in aree di conflitto e a rischio di conflitto o post conflitto per 92 volontari, 7 progetti aree emergenza ambientale all’estero per 48 volontari e 2 progetti aree emergenza ambientale in Italia per 14 volontari). </w:t>
      </w:r>
      <w:r w:rsidRPr="00F56356">
        <w:rPr>
          <w:rFonts w:ascii="Times New Roman" w:eastAsia="Times New Roman" w:hAnsi="Times New Roman" w:cs="Times New Roman"/>
          <w:iCs/>
          <w:color w:val="000000" w:themeColor="text1"/>
          <w:sz w:val="24"/>
          <w:szCs w:val="24"/>
          <w:lang w:eastAsia="it-IT"/>
        </w:rPr>
        <w:t>Inoltre, il 15 dicembre 2022 è stato pubblicato dal Dipartimento il bando per la selezione di 71.550 operatori volontari (secondo ciclo PNRR) da impiegare in progetti afferenti a programmi di intervento di Servizio civile universale da realizzarsi in Italia e all’estero. In particolare: 70.358 operatori volontari saranno avviati in servizio in 2.989 progetti, afferenti a 530 programmi da realizzarsi in Italia e 1.192 operatori volontari saranno avviati in servizio in 192 progetti, afferenti a 37 programmi da realizzarsi all’estero.</w:t>
      </w:r>
    </w:p>
    <w:p w14:paraId="42A47A27" w14:textId="77777777" w:rsidR="00F56356" w:rsidRPr="00F56356" w:rsidRDefault="00F56356" w:rsidP="00F56356">
      <w:pPr>
        <w:tabs>
          <w:tab w:val="left" w:pos="284"/>
        </w:tabs>
        <w:autoSpaceDE w:val="0"/>
        <w:autoSpaceDN w:val="0"/>
        <w:adjustRightInd w:val="0"/>
        <w:spacing w:after="0" w:line="360" w:lineRule="auto"/>
        <w:ind w:left="284"/>
        <w:jc w:val="both"/>
        <w:rPr>
          <w:rFonts w:ascii="Times New Roman" w:eastAsia="Times New Roman" w:hAnsi="Times New Roman" w:cs="Times New Roman"/>
          <w:b/>
          <w:iCs/>
          <w:color w:val="000000" w:themeColor="text1"/>
          <w:sz w:val="24"/>
          <w:szCs w:val="24"/>
          <w:lang w:eastAsia="it-IT"/>
        </w:rPr>
      </w:pPr>
    </w:p>
    <w:p w14:paraId="3AEF0342" w14:textId="77777777" w:rsidR="00F56356" w:rsidRPr="00F56356" w:rsidRDefault="00F56356" w:rsidP="00F56356">
      <w:pPr>
        <w:tabs>
          <w:tab w:val="left" w:pos="0"/>
          <w:tab w:val="left" w:pos="426"/>
        </w:tabs>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18656" behindDoc="1" locked="0" layoutInCell="1" allowOverlap="1" wp14:anchorId="715FAE5A" wp14:editId="7EB09EF7">
            <wp:simplePos x="0" y="0"/>
            <wp:positionH relativeFrom="column">
              <wp:posOffset>184785</wp:posOffset>
            </wp:positionH>
            <wp:positionV relativeFrom="paragraph">
              <wp:posOffset>262255</wp:posOffset>
            </wp:positionV>
            <wp:extent cx="5934075" cy="1849120"/>
            <wp:effectExtent l="0" t="0" r="9525" b="0"/>
            <wp:wrapTight wrapText="bothSides">
              <wp:wrapPolygon edited="0">
                <wp:start x="0" y="0"/>
                <wp:lineTo x="0" y="21363"/>
                <wp:lineTo x="11927" y="21363"/>
                <wp:lineTo x="21565" y="19360"/>
                <wp:lineTo x="21565" y="15354"/>
                <wp:lineTo x="20178" y="14242"/>
                <wp:lineTo x="21496" y="14242"/>
                <wp:lineTo x="21565" y="14019"/>
                <wp:lineTo x="21565" y="6231"/>
                <wp:lineTo x="21219" y="3560"/>
                <wp:lineTo x="21496" y="3560"/>
                <wp:lineTo x="21565" y="2670"/>
                <wp:lineTo x="21565" y="0"/>
                <wp:lineTo x="0" y="0"/>
              </wp:wrapPolygon>
            </wp:wrapTight>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4075" cy="184912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Indicatori di bilancio</w:t>
      </w:r>
    </w:p>
    <w:p w14:paraId="7E5CD3B0"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4A32098A" w14:textId="56D3C21E" w:rsid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14CAE925" w14:textId="77777777" w:rsidR="0043213C" w:rsidRPr="00F56356" w:rsidRDefault="0043213C"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7CA4BDAF"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Gli scostamenti tra gli indicatori di bilancio attesi e quelli realizzati sono stati determinati:</w:t>
      </w:r>
    </w:p>
    <w:p w14:paraId="570DD883"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791 - </w:t>
      </w:r>
      <w:r w:rsidRPr="00F56356">
        <w:rPr>
          <w:rFonts w:ascii="Times New Roman" w:eastAsia="Times New Roman" w:hAnsi="Times New Roman" w:cs="Times New Roman"/>
          <w:i/>
          <w:color w:val="000000" w:themeColor="text1"/>
          <w:sz w:val="24"/>
          <w:szCs w:val="24"/>
          <w:lang w:eastAsia="it-IT"/>
        </w:rPr>
        <w:t xml:space="preserve">Spese per la vigilanza sull’Agenzia Nazionale Giovani (decisione n. 1719 2006 CE) compresa la partecipazione alle riunioni convocate dall’Unione europea, </w:t>
      </w:r>
      <w:r w:rsidRPr="00F56356">
        <w:rPr>
          <w:rFonts w:ascii="Times New Roman" w:eastAsia="Times New Roman" w:hAnsi="Times New Roman" w:cs="Times New Roman"/>
          <w:color w:val="000000" w:themeColor="text1"/>
          <w:sz w:val="24"/>
          <w:szCs w:val="24"/>
          <w:lang w:eastAsia="it-IT"/>
        </w:rPr>
        <w:t xml:space="preserve">dall’assenza di missioni per partecipare alle riunioni in presenza del settore convocate dall’UE, che si sono tenute in modalità virtuale a causa del permanere della pandemia da Covid-19 e dalle minori spese, rispetto a quanto preventivato, per i servizi di audit e di revisione contabile e per il supporto del Dipartimento all’attività di vigilanza, attribuita all’Autorità politica delegata, nei confronti dell’Agenzia; anche per il capitolo 843 - </w:t>
      </w:r>
      <w:r w:rsidRPr="00F56356">
        <w:rPr>
          <w:rFonts w:ascii="Times New Roman" w:eastAsia="Times New Roman" w:hAnsi="Times New Roman" w:cs="Times New Roman"/>
          <w:i/>
          <w:color w:val="000000" w:themeColor="text1"/>
          <w:sz w:val="24"/>
          <w:szCs w:val="24"/>
          <w:lang w:eastAsia="it-IT"/>
        </w:rPr>
        <w:t xml:space="preserve">Spese di rappresentanza, </w:t>
      </w:r>
      <w:r w:rsidRPr="00F56356">
        <w:rPr>
          <w:rFonts w:ascii="Times New Roman" w:eastAsia="Times New Roman" w:hAnsi="Times New Roman" w:cs="Times New Roman"/>
          <w:color w:val="000000" w:themeColor="text1"/>
          <w:sz w:val="24"/>
          <w:szCs w:val="24"/>
          <w:lang w:eastAsia="it-IT"/>
        </w:rPr>
        <w:t>dall’assenza di richieste da parte del vertice politico.</w:t>
      </w:r>
    </w:p>
    <w:p w14:paraId="4937EFD5"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01F89AD8"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Si evidenzia, inoltre, che:  </w:t>
      </w:r>
    </w:p>
    <w:p w14:paraId="3959097D"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853 - </w:t>
      </w:r>
      <w:r w:rsidRPr="00F56356">
        <w:rPr>
          <w:rFonts w:ascii="Times New Roman" w:eastAsia="Times New Roman" w:hAnsi="Times New Roman" w:cs="Times New Roman"/>
          <w:i/>
          <w:color w:val="000000" w:themeColor="text1"/>
          <w:sz w:val="24"/>
          <w:szCs w:val="24"/>
          <w:lang w:eastAsia="it-IT"/>
        </w:rPr>
        <w:t>Fondo per le politiche giovanili</w:t>
      </w:r>
      <w:r w:rsidRPr="00F56356">
        <w:rPr>
          <w:rFonts w:ascii="Times New Roman" w:eastAsia="Times New Roman" w:hAnsi="Times New Roman" w:cs="Times New Roman"/>
          <w:color w:val="000000" w:themeColor="text1"/>
          <w:sz w:val="24"/>
          <w:szCs w:val="24"/>
          <w:lang w:eastAsia="it-IT"/>
        </w:rPr>
        <w:t>, le caratteristiche peculiari di tale Fondo, che necessita di una preliminare Intesa con le Regioni e il sistema delle Autonomie locali in sede di Conferenza unificata e l’emanazione di un successivo decreto ministeriale di riparto in tempi compatibili con la chiusura dell’esercizio finanziario, non ha consentito di determinare a priori un’attendibile misura degli indicatori di bilancio.</w:t>
      </w:r>
    </w:p>
    <w:p w14:paraId="27CDE305" w14:textId="77777777" w:rsidR="00F56356" w:rsidRPr="00F56356" w:rsidRDefault="00F56356" w:rsidP="00F56356">
      <w:pPr>
        <w:autoSpaceDE w:val="0"/>
        <w:autoSpaceDN w:val="0"/>
        <w:adjustRightInd w:val="0"/>
        <w:spacing w:after="0" w:line="360" w:lineRule="auto"/>
        <w:ind w:left="284"/>
        <w:jc w:val="both"/>
        <w:rPr>
          <w:rFonts w:ascii="Times New Roman" w:eastAsia="Times New Roman" w:hAnsi="Times New Roman" w:cs="Times New Roman"/>
          <w:color w:val="000000" w:themeColor="text1"/>
          <w:sz w:val="24"/>
          <w:szCs w:val="24"/>
          <w:lang w:eastAsia="it-IT"/>
        </w:rPr>
      </w:pPr>
    </w:p>
    <w:p w14:paraId="208B02CC"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bCs/>
          <w:color w:val="000000" w:themeColor="text1"/>
          <w:sz w:val="14"/>
          <w:szCs w:val="24"/>
          <w:lang w:eastAsia="it-IT"/>
        </w:rPr>
      </w:pPr>
    </w:p>
    <w:p w14:paraId="42D3ED8F" w14:textId="77777777" w:rsidR="00F56356" w:rsidRPr="00F56356" w:rsidRDefault="00F56356" w:rsidP="00F56356">
      <w:pPr>
        <w:tabs>
          <w:tab w:val="left" w:pos="142"/>
          <w:tab w:val="left" w:pos="9356"/>
        </w:tabs>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Si riporta qui di seguito l’andamento delle politiche attive nel corso del triennio 2020-2022:</w:t>
      </w:r>
    </w:p>
    <w:p w14:paraId="574D52B3"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58CF55B3" wp14:editId="2517AA7E">
            <wp:extent cx="3089910" cy="347959"/>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59455" cy="367052"/>
                    </a:xfrm>
                    <a:prstGeom prst="rect">
                      <a:avLst/>
                    </a:prstGeom>
                    <a:noFill/>
                    <a:ln>
                      <a:noFill/>
                    </a:ln>
                  </pic:spPr>
                </pic:pic>
              </a:graphicData>
            </a:graphic>
          </wp:inline>
        </w:drawing>
      </w:r>
    </w:p>
    <w:p w14:paraId="4C6A8F5E"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17F45DEC" wp14:editId="14C3D86A">
            <wp:extent cx="3148104" cy="1512277"/>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199833" cy="1537127"/>
                    </a:xfrm>
                    <a:prstGeom prst="rect">
                      <a:avLst/>
                    </a:prstGeom>
                    <a:noFill/>
                  </pic:spPr>
                </pic:pic>
              </a:graphicData>
            </a:graphic>
          </wp:inline>
        </w:drawing>
      </w:r>
    </w:p>
    <w:p w14:paraId="2F0AEA08"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50C1096D" w14:textId="475EE7AA" w:rsid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1EEA3994" w14:textId="1AAFADEC"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60AFF154" w14:textId="58C9FF00"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58489AE2" w14:textId="746AC1EA"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3E9E2AD7" w14:textId="54DE4542"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6E13D5EE" w14:textId="0A030D51" w:rsidR="0043213C"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322287A9" w14:textId="77777777" w:rsidR="0043213C" w:rsidRPr="00F56356" w:rsidRDefault="0043213C"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1893703E" w14:textId="77777777" w:rsidR="00F56356" w:rsidRPr="00F56356" w:rsidRDefault="00F56356" w:rsidP="00F56356">
      <w:pPr>
        <w:tabs>
          <w:tab w:val="left" w:pos="0"/>
          <w:tab w:val="left" w:pos="9356"/>
        </w:tabs>
        <w:spacing w:after="0" w:line="360" w:lineRule="auto"/>
        <w:jc w:val="center"/>
        <w:rPr>
          <w:rFonts w:ascii="Times New Roman" w:eastAsia="Times New Roman" w:hAnsi="Times New Roman" w:cs="Times New Roman"/>
          <w:noProof/>
          <w:color w:val="000000" w:themeColor="text1"/>
          <w:sz w:val="24"/>
          <w:szCs w:val="24"/>
          <w:lang w:eastAsia="it-IT"/>
        </w:rPr>
      </w:pPr>
    </w:p>
    <w:p w14:paraId="6B45C599" w14:textId="77777777" w:rsidR="00F56356" w:rsidRPr="00F56356" w:rsidRDefault="00F56356" w:rsidP="00F56356">
      <w:pPr>
        <w:tabs>
          <w:tab w:val="left" w:pos="9356"/>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Nella Tabella sottostante è indicata la ripartizione delle risorse relative a interventi per destinatari finali, comprensive delle risorse relative ai residui passivi perenti </w:t>
      </w:r>
      <w:proofErr w:type="spellStart"/>
      <w:r w:rsidRPr="00F56356">
        <w:rPr>
          <w:rFonts w:ascii="Times New Roman" w:eastAsia="Times New Roman" w:hAnsi="Times New Roman" w:cs="Times New Roman"/>
          <w:color w:val="000000" w:themeColor="text1"/>
          <w:sz w:val="24"/>
          <w:szCs w:val="24"/>
          <w:lang w:eastAsia="it-IT"/>
        </w:rPr>
        <w:t>reiscritti</w:t>
      </w:r>
      <w:proofErr w:type="spellEnd"/>
      <w:r w:rsidRPr="00F56356">
        <w:rPr>
          <w:rFonts w:ascii="Times New Roman" w:eastAsia="Times New Roman" w:hAnsi="Times New Roman" w:cs="Times New Roman"/>
          <w:color w:val="000000" w:themeColor="text1"/>
          <w:sz w:val="24"/>
          <w:szCs w:val="24"/>
          <w:lang w:eastAsia="it-IT"/>
        </w:rPr>
        <w:t>:</w:t>
      </w:r>
    </w:p>
    <w:p w14:paraId="6EBA7EEF" w14:textId="77777777" w:rsidR="00F56356" w:rsidRPr="00F56356" w:rsidRDefault="00F56356" w:rsidP="00F56356">
      <w:pPr>
        <w:tabs>
          <w:tab w:val="left" w:pos="9356"/>
        </w:tabs>
        <w:spacing w:after="0" w:line="360" w:lineRule="auto"/>
        <w:jc w:val="both"/>
        <w:rPr>
          <w:rFonts w:ascii="Times New Roman" w:eastAsia="Times New Roman" w:hAnsi="Times New Roman" w:cs="Times New Roman"/>
          <w:color w:val="000000" w:themeColor="text1"/>
          <w:sz w:val="6"/>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19680" behindDoc="1" locked="0" layoutInCell="1" allowOverlap="1" wp14:anchorId="38521E65" wp14:editId="4164D1E6">
            <wp:simplePos x="0" y="0"/>
            <wp:positionH relativeFrom="column">
              <wp:posOffset>194310</wp:posOffset>
            </wp:positionH>
            <wp:positionV relativeFrom="paragraph">
              <wp:posOffset>66040</wp:posOffset>
            </wp:positionV>
            <wp:extent cx="5928360" cy="4292600"/>
            <wp:effectExtent l="0" t="0" r="0" b="0"/>
            <wp:wrapTight wrapText="bothSides">
              <wp:wrapPolygon edited="0">
                <wp:start x="0" y="0"/>
                <wp:lineTo x="0" y="20705"/>
                <wp:lineTo x="625" y="21472"/>
                <wp:lineTo x="19643" y="21472"/>
                <wp:lineTo x="21517" y="21089"/>
                <wp:lineTo x="21517" y="20514"/>
                <wp:lineTo x="19643" y="19938"/>
                <wp:lineTo x="19643" y="18405"/>
                <wp:lineTo x="20406" y="18405"/>
                <wp:lineTo x="21517" y="17542"/>
                <wp:lineTo x="21517" y="12462"/>
                <wp:lineTo x="21378" y="12366"/>
                <wp:lineTo x="19643" y="12270"/>
                <wp:lineTo x="21517" y="11311"/>
                <wp:lineTo x="21517" y="11120"/>
                <wp:lineTo x="19643" y="10736"/>
                <wp:lineTo x="21517" y="9778"/>
                <wp:lineTo x="21517" y="9586"/>
                <wp:lineTo x="19643" y="9202"/>
                <wp:lineTo x="19643" y="6135"/>
                <wp:lineTo x="21447" y="6135"/>
                <wp:lineTo x="21517" y="6039"/>
                <wp:lineTo x="21517" y="0"/>
                <wp:lineTo x="0" y="0"/>
              </wp:wrapPolygon>
            </wp:wrapTight>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28360" cy="4292600"/>
                    </a:xfrm>
                    <a:prstGeom prst="rect">
                      <a:avLst/>
                    </a:prstGeom>
                    <a:noFill/>
                    <a:ln>
                      <a:noFill/>
                    </a:ln>
                  </pic:spPr>
                </pic:pic>
              </a:graphicData>
            </a:graphic>
            <wp14:sizeRelH relativeFrom="margin">
              <wp14:pctWidth>0</wp14:pctWidth>
            </wp14:sizeRelH>
          </wp:anchor>
        </w:drawing>
      </w:r>
    </w:p>
    <w:p w14:paraId="03A47683"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5763316B"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136BA7B2"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240D18A1"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25769E79"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52AA5475"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6B76F7CD"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4E0D5182"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6FFCC090"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4E745A6F"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3D529CA" wp14:editId="33B0FDEE">
            <wp:extent cx="6120130" cy="8280176"/>
            <wp:effectExtent l="0" t="0" r="0" b="6985"/>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20130" cy="8280176"/>
                    </a:xfrm>
                    <a:prstGeom prst="rect">
                      <a:avLst/>
                    </a:prstGeom>
                    <a:noFill/>
                    <a:ln>
                      <a:noFill/>
                    </a:ln>
                  </pic:spPr>
                </pic:pic>
              </a:graphicData>
            </a:graphic>
          </wp:inline>
        </w:drawing>
      </w:r>
    </w:p>
    <w:p w14:paraId="60BE338E"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7BCCC99D" w14:textId="71BB30D0" w:rsid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354C9446" w14:textId="77777777" w:rsidR="0043213C" w:rsidRPr="00F56356" w:rsidRDefault="0043213C" w:rsidP="00F56356">
      <w:pPr>
        <w:spacing w:after="0" w:line="240" w:lineRule="auto"/>
        <w:rPr>
          <w:rFonts w:ascii="Times New Roman" w:eastAsia="Times New Roman" w:hAnsi="Times New Roman" w:cs="Times New Roman"/>
          <w:color w:val="FF0000"/>
          <w:sz w:val="24"/>
          <w:szCs w:val="24"/>
          <w:lang w:eastAsia="it-IT"/>
        </w:rPr>
      </w:pPr>
    </w:p>
    <w:p w14:paraId="7A5F95FA"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tbl>
      <w:tblPr>
        <w:tblW w:w="10000" w:type="dxa"/>
        <w:jc w:val="center"/>
        <w:tblCellMar>
          <w:left w:w="70" w:type="dxa"/>
          <w:right w:w="70" w:type="dxa"/>
        </w:tblCellMar>
        <w:tblLook w:val="04A0" w:firstRow="1" w:lastRow="0" w:firstColumn="1" w:lastColumn="0" w:noHBand="0" w:noVBand="1"/>
      </w:tblPr>
      <w:tblGrid>
        <w:gridCol w:w="340"/>
        <w:gridCol w:w="2440"/>
        <w:gridCol w:w="540"/>
        <w:gridCol w:w="1240"/>
        <w:gridCol w:w="1360"/>
        <w:gridCol w:w="1360"/>
        <w:gridCol w:w="1360"/>
        <w:gridCol w:w="1360"/>
      </w:tblGrid>
      <w:tr w:rsidR="00F56356" w:rsidRPr="00F56356" w14:paraId="6CEBA4E9" w14:textId="77777777" w:rsidTr="00F56356">
        <w:trPr>
          <w:trHeight w:val="510"/>
          <w:jc w:val="center"/>
        </w:trPr>
        <w:tc>
          <w:tcPr>
            <w:tcW w:w="340" w:type="dxa"/>
            <w:tcBorders>
              <w:top w:val="nil"/>
              <w:left w:val="nil"/>
              <w:bottom w:val="nil"/>
              <w:right w:val="nil"/>
            </w:tcBorders>
            <w:shd w:val="clear" w:color="auto" w:fill="auto"/>
            <w:noWrap/>
            <w:vAlign w:val="bottom"/>
            <w:hideMark/>
          </w:tcPr>
          <w:p w14:paraId="4009811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6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A578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1344BE85" w14:textId="77777777" w:rsidTr="00F56356">
        <w:trPr>
          <w:trHeight w:val="465"/>
          <w:jc w:val="center"/>
        </w:trPr>
        <w:tc>
          <w:tcPr>
            <w:tcW w:w="340" w:type="dxa"/>
            <w:tcBorders>
              <w:top w:val="nil"/>
              <w:left w:val="nil"/>
              <w:bottom w:val="nil"/>
              <w:right w:val="nil"/>
            </w:tcBorders>
            <w:shd w:val="clear" w:color="auto" w:fill="auto"/>
            <w:noWrap/>
            <w:vAlign w:val="center"/>
            <w:hideMark/>
          </w:tcPr>
          <w:p w14:paraId="27226F9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F1EB6F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085DD86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30 - Giovani e sport</w:t>
            </w:r>
          </w:p>
        </w:tc>
      </w:tr>
      <w:tr w:rsidR="00F56356" w:rsidRPr="00F56356" w14:paraId="1A422ECA" w14:textId="77777777" w:rsidTr="00F56356">
        <w:trPr>
          <w:trHeight w:val="465"/>
          <w:jc w:val="center"/>
        </w:trPr>
        <w:tc>
          <w:tcPr>
            <w:tcW w:w="340" w:type="dxa"/>
            <w:tcBorders>
              <w:top w:val="nil"/>
              <w:left w:val="nil"/>
              <w:bottom w:val="nil"/>
              <w:right w:val="nil"/>
            </w:tcBorders>
            <w:shd w:val="clear" w:color="auto" w:fill="auto"/>
            <w:noWrap/>
            <w:vAlign w:val="center"/>
            <w:hideMark/>
          </w:tcPr>
          <w:p w14:paraId="4F4D9D8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FA11A2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2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2747F3E"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30.2 - Incentivazione e sostegno alla gioventù</w:t>
            </w:r>
          </w:p>
        </w:tc>
      </w:tr>
      <w:tr w:rsidR="00F56356" w:rsidRPr="00F56356" w14:paraId="0F35EB78" w14:textId="77777777" w:rsidTr="00F56356">
        <w:trPr>
          <w:trHeight w:val="465"/>
          <w:jc w:val="center"/>
        </w:trPr>
        <w:tc>
          <w:tcPr>
            <w:tcW w:w="340" w:type="dxa"/>
            <w:tcBorders>
              <w:top w:val="nil"/>
              <w:left w:val="nil"/>
              <w:bottom w:val="nil"/>
              <w:right w:val="nil"/>
            </w:tcBorders>
            <w:shd w:val="clear" w:color="auto" w:fill="auto"/>
            <w:noWrap/>
            <w:vAlign w:val="center"/>
            <w:hideMark/>
          </w:tcPr>
          <w:p w14:paraId="7809B6D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27B991C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2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51985F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16 - Politiche giovanili e Servizio civile universale</w:t>
            </w:r>
          </w:p>
        </w:tc>
      </w:tr>
      <w:tr w:rsidR="00F56356" w:rsidRPr="00F56356" w14:paraId="01A4F323" w14:textId="77777777" w:rsidTr="00F56356">
        <w:trPr>
          <w:trHeight w:val="885"/>
          <w:jc w:val="center"/>
        </w:trPr>
        <w:tc>
          <w:tcPr>
            <w:tcW w:w="340" w:type="dxa"/>
            <w:tcBorders>
              <w:top w:val="nil"/>
              <w:left w:val="nil"/>
              <w:bottom w:val="nil"/>
              <w:right w:val="nil"/>
            </w:tcBorders>
            <w:shd w:val="clear" w:color="auto" w:fill="auto"/>
            <w:noWrap/>
            <w:vAlign w:val="center"/>
            <w:hideMark/>
          </w:tcPr>
          <w:p w14:paraId="229702A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64EADD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637103A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Predisposizione di uno schema di Convenzione, da condividere con il Consiglio nazionale dei Giovani, per la realizzazione delle attività previste dalla norma istitutiva del Consiglio e per il successivo impegno delle somme allo stesso riconosciute.</w:t>
            </w:r>
          </w:p>
        </w:tc>
      </w:tr>
      <w:tr w:rsidR="00F56356" w:rsidRPr="00F56356" w14:paraId="291672D5" w14:textId="77777777" w:rsidTr="00F56356">
        <w:trPr>
          <w:trHeight w:val="885"/>
          <w:jc w:val="center"/>
        </w:trPr>
        <w:tc>
          <w:tcPr>
            <w:tcW w:w="340" w:type="dxa"/>
            <w:tcBorders>
              <w:top w:val="nil"/>
              <w:left w:val="nil"/>
              <w:bottom w:val="nil"/>
              <w:right w:val="nil"/>
            </w:tcBorders>
            <w:shd w:val="clear" w:color="auto" w:fill="auto"/>
            <w:noWrap/>
            <w:vAlign w:val="center"/>
            <w:hideMark/>
          </w:tcPr>
          <w:p w14:paraId="3010294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70D79E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5B09FC0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Per la realizzazione delle attività previste dalla norma istitutiva del Consiglio e per il successivo impegno delle somme allo stesso riconosciute, si provvede mediante sottoscrizione di una specifica Convenzione con il Dipartimento.</w:t>
            </w:r>
          </w:p>
        </w:tc>
      </w:tr>
      <w:tr w:rsidR="00F56356" w:rsidRPr="00F56356" w14:paraId="08B22AED" w14:textId="77777777" w:rsidTr="00F56356">
        <w:trPr>
          <w:trHeight w:val="465"/>
          <w:jc w:val="center"/>
        </w:trPr>
        <w:tc>
          <w:tcPr>
            <w:tcW w:w="340" w:type="dxa"/>
            <w:tcBorders>
              <w:top w:val="nil"/>
              <w:left w:val="nil"/>
              <w:bottom w:val="nil"/>
              <w:right w:val="nil"/>
            </w:tcBorders>
            <w:shd w:val="clear" w:color="auto" w:fill="auto"/>
            <w:noWrap/>
            <w:vAlign w:val="center"/>
            <w:hideMark/>
          </w:tcPr>
          <w:p w14:paraId="5D402A7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1AB312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1F89E8B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5E6EF518" w14:textId="77777777" w:rsidTr="00F56356">
        <w:trPr>
          <w:trHeight w:val="465"/>
          <w:jc w:val="center"/>
        </w:trPr>
        <w:tc>
          <w:tcPr>
            <w:tcW w:w="340" w:type="dxa"/>
            <w:tcBorders>
              <w:top w:val="nil"/>
              <w:left w:val="nil"/>
              <w:bottom w:val="nil"/>
              <w:right w:val="nil"/>
            </w:tcBorders>
            <w:shd w:val="clear" w:color="auto" w:fill="auto"/>
            <w:noWrap/>
            <w:vAlign w:val="center"/>
            <w:hideMark/>
          </w:tcPr>
          <w:p w14:paraId="36257A2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6CCCD0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09E2D76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20095D42" w14:textId="77777777" w:rsidTr="00F56356">
        <w:trPr>
          <w:trHeight w:val="525"/>
          <w:jc w:val="center"/>
        </w:trPr>
        <w:tc>
          <w:tcPr>
            <w:tcW w:w="340" w:type="dxa"/>
            <w:tcBorders>
              <w:top w:val="nil"/>
              <w:left w:val="nil"/>
              <w:bottom w:val="nil"/>
              <w:right w:val="nil"/>
            </w:tcBorders>
            <w:shd w:val="clear" w:color="auto" w:fill="auto"/>
            <w:noWrap/>
            <w:vAlign w:val="bottom"/>
            <w:hideMark/>
          </w:tcPr>
          <w:p w14:paraId="61BD6FA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vMerge w:val="restart"/>
            <w:tcBorders>
              <w:top w:val="nil"/>
              <w:left w:val="single" w:sz="4" w:space="0" w:color="auto"/>
              <w:bottom w:val="single" w:sz="4" w:space="0" w:color="000000"/>
              <w:right w:val="single" w:sz="4" w:space="0" w:color="auto"/>
            </w:tcBorders>
            <w:shd w:val="clear" w:color="auto" w:fill="auto"/>
            <w:vAlign w:val="center"/>
            <w:hideMark/>
          </w:tcPr>
          <w:p w14:paraId="3B718D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E4858D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792</w:t>
            </w: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84EAD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0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E32704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45A25242" w14:textId="77777777" w:rsidTr="00F56356">
        <w:trPr>
          <w:trHeight w:val="1305"/>
          <w:jc w:val="center"/>
        </w:trPr>
        <w:tc>
          <w:tcPr>
            <w:tcW w:w="340" w:type="dxa"/>
            <w:tcBorders>
              <w:top w:val="nil"/>
              <w:left w:val="nil"/>
              <w:bottom w:val="nil"/>
              <w:right w:val="nil"/>
            </w:tcBorders>
            <w:shd w:val="clear" w:color="auto" w:fill="auto"/>
            <w:noWrap/>
            <w:vAlign w:val="bottom"/>
            <w:hideMark/>
          </w:tcPr>
          <w:p w14:paraId="224B795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440" w:type="dxa"/>
            <w:vMerge/>
            <w:tcBorders>
              <w:top w:val="nil"/>
              <w:left w:val="single" w:sz="4" w:space="0" w:color="auto"/>
              <w:bottom w:val="single" w:sz="4" w:space="0" w:color="000000"/>
              <w:right w:val="single" w:sz="4" w:space="0" w:color="auto"/>
            </w:tcBorders>
            <w:vAlign w:val="center"/>
            <w:hideMark/>
          </w:tcPr>
          <w:p w14:paraId="447A68E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7163FA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1B94C13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60" w:type="dxa"/>
            <w:tcBorders>
              <w:top w:val="nil"/>
              <w:left w:val="nil"/>
              <w:bottom w:val="single" w:sz="4" w:space="0" w:color="auto"/>
              <w:right w:val="single" w:sz="4" w:space="0" w:color="auto"/>
            </w:tcBorders>
            <w:shd w:val="clear" w:color="auto" w:fill="auto"/>
            <w:vAlign w:val="center"/>
            <w:hideMark/>
          </w:tcPr>
          <w:p w14:paraId="34C407E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Stanziamento definitivo di 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360" w:type="dxa"/>
            <w:tcBorders>
              <w:top w:val="nil"/>
              <w:left w:val="nil"/>
              <w:bottom w:val="single" w:sz="4" w:space="0" w:color="auto"/>
              <w:right w:val="single" w:sz="4" w:space="0" w:color="auto"/>
            </w:tcBorders>
            <w:shd w:val="clear" w:color="auto" w:fill="auto"/>
            <w:vAlign w:val="center"/>
            <w:hideMark/>
          </w:tcPr>
          <w:p w14:paraId="5F70355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60" w:type="dxa"/>
            <w:tcBorders>
              <w:top w:val="nil"/>
              <w:left w:val="nil"/>
              <w:bottom w:val="single" w:sz="4" w:space="0" w:color="auto"/>
              <w:right w:val="single" w:sz="4" w:space="0" w:color="auto"/>
            </w:tcBorders>
            <w:shd w:val="clear" w:color="auto" w:fill="auto"/>
            <w:vAlign w:val="center"/>
            <w:hideMark/>
          </w:tcPr>
          <w:p w14:paraId="6EBAE6D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360" w:type="dxa"/>
            <w:tcBorders>
              <w:top w:val="nil"/>
              <w:left w:val="nil"/>
              <w:bottom w:val="single" w:sz="4" w:space="0" w:color="auto"/>
              <w:right w:val="single" w:sz="4" w:space="0" w:color="auto"/>
            </w:tcBorders>
            <w:shd w:val="clear" w:color="auto" w:fill="auto"/>
            <w:vAlign w:val="center"/>
            <w:hideMark/>
          </w:tcPr>
          <w:p w14:paraId="1337256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3A4F2644" w14:textId="77777777" w:rsidTr="00F56356">
        <w:trPr>
          <w:trHeight w:val="855"/>
          <w:jc w:val="center"/>
        </w:trPr>
        <w:tc>
          <w:tcPr>
            <w:tcW w:w="340" w:type="dxa"/>
            <w:tcBorders>
              <w:top w:val="nil"/>
              <w:left w:val="nil"/>
              <w:bottom w:val="nil"/>
              <w:right w:val="nil"/>
            </w:tcBorders>
            <w:shd w:val="clear" w:color="auto" w:fill="auto"/>
            <w:noWrap/>
            <w:vAlign w:val="bottom"/>
            <w:hideMark/>
          </w:tcPr>
          <w:p w14:paraId="7F3A7B2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40" w:type="dxa"/>
            <w:vMerge/>
            <w:tcBorders>
              <w:top w:val="nil"/>
              <w:left w:val="single" w:sz="4" w:space="0" w:color="auto"/>
              <w:bottom w:val="single" w:sz="4" w:space="0" w:color="000000"/>
              <w:right w:val="single" w:sz="4" w:space="0" w:color="auto"/>
            </w:tcBorders>
            <w:vAlign w:val="center"/>
            <w:hideMark/>
          </w:tcPr>
          <w:p w14:paraId="0193647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0E81958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C52184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w:t>
            </w:r>
          </w:p>
        </w:tc>
        <w:tc>
          <w:tcPr>
            <w:tcW w:w="1360" w:type="dxa"/>
            <w:tcBorders>
              <w:top w:val="nil"/>
              <w:left w:val="nil"/>
              <w:bottom w:val="single" w:sz="4" w:space="0" w:color="auto"/>
              <w:right w:val="single" w:sz="4" w:space="0" w:color="auto"/>
            </w:tcBorders>
            <w:shd w:val="clear" w:color="auto" w:fill="auto"/>
            <w:noWrap/>
            <w:vAlign w:val="center"/>
            <w:hideMark/>
          </w:tcPr>
          <w:p w14:paraId="147A8F5D"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700.000,00</w:t>
            </w:r>
          </w:p>
        </w:tc>
        <w:tc>
          <w:tcPr>
            <w:tcW w:w="1360" w:type="dxa"/>
            <w:tcBorders>
              <w:top w:val="nil"/>
              <w:left w:val="nil"/>
              <w:bottom w:val="single" w:sz="4" w:space="0" w:color="auto"/>
              <w:right w:val="single" w:sz="4" w:space="0" w:color="auto"/>
            </w:tcBorders>
            <w:shd w:val="clear" w:color="auto" w:fill="auto"/>
            <w:noWrap/>
            <w:vAlign w:val="center"/>
            <w:hideMark/>
          </w:tcPr>
          <w:p w14:paraId="3CDA8EA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700.000,00</w:t>
            </w:r>
          </w:p>
        </w:tc>
        <w:tc>
          <w:tcPr>
            <w:tcW w:w="1360" w:type="dxa"/>
            <w:tcBorders>
              <w:top w:val="nil"/>
              <w:left w:val="nil"/>
              <w:bottom w:val="single" w:sz="4" w:space="0" w:color="auto"/>
              <w:right w:val="single" w:sz="4" w:space="0" w:color="auto"/>
            </w:tcBorders>
            <w:shd w:val="clear" w:color="auto" w:fill="auto"/>
            <w:noWrap/>
            <w:vAlign w:val="center"/>
            <w:hideMark/>
          </w:tcPr>
          <w:p w14:paraId="279F972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360" w:type="dxa"/>
            <w:tcBorders>
              <w:top w:val="nil"/>
              <w:left w:val="nil"/>
              <w:bottom w:val="single" w:sz="4" w:space="0" w:color="auto"/>
              <w:right w:val="single" w:sz="4" w:space="0" w:color="auto"/>
            </w:tcBorders>
            <w:shd w:val="clear" w:color="auto" w:fill="auto"/>
            <w:noWrap/>
            <w:vAlign w:val="center"/>
            <w:hideMark/>
          </w:tcPr>
          <w:p w14:paraId="3076029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700.000,00</w:t>
            </w:r>
          </w:p>
        </w:tc>
      </w:tr>
      <w:tr w:rsidR="00F56356" w:rsidRPr="00F56356" w14:paraId="18D4DC64" w14:textId="77777777" w:rsidTr="00F56356">
        <w:trPr>
          <w:trHeight w:val="330"/>
          <w:jc w:val="center"/>
        </w:trPr>
        <w:tc>
          <w:tcPr>
            <w:tcW w:w="340" w:type="dxa"/>
            <w:tcBorders>
              <w:top w:val="nil"/>
              <w:left w:val="nil"/>
              <w:bottom w:val="nil"/>
              <w:right w:val="nil"/>
            </w:tcBorders>
            <w:shd w:val="clear" w:color="auto" w:fill="auto"/>
            <w:noWrap/>
            <w:vAlign w:val="bottom"/>
            <w:hideMark/>
          </w:tcPr>
          <w:p w14:paraId="097BC16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440" w:type="dxa"/>
            <w:tcBorders>
              <w:top w:val="nil"/>
              <w:left w:val="single" w:sz="4" w:space="0" w:color="auto"/>
              <w:bottom w:val="nil"/>
              <w:right w:val="nil"/>
            </w:tcBorders>
            <w:shd w:val="clear" w:color="auto" w:fill="auto"/>
            <w:noWrap/>
            <w:vAlign w:val="center"/>
            <w:hideMark/>
          </w:tcPr>
          <w:p w14:paraId="6BB6E621"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2A760C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4A393FA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114C102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2E14BF9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6D072E1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single" w:sz="4" w:space="0" w:color="auto"/>
            </w:tcBorders>
            <w:shd w:val="clear" w:color="auto" w:fill="auto"/>
            <w:noWrap/>
            <w:vAlign w:val="bottom"/>
            <w:hideMark/>
          </w:tcPr>
          <w:p w14:paraId="47801C9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06CA99C" w14:textId="77777777" w:rsidTr="00F56356">
        <w:trPr>
          <w:trHeight w:val="480"/>
          <w:jc w:val="center"/>
        </w:trPr>
        <w:tc>
          <w:tcPr>
            <w:tcW w:w="340" w:type="dxa"/>
            <w:tcBorders>
              <w:top w:val="nil"/>
              <w:left w:val="nil"/>
              <w:bottom w:val="nil"/>
              <w:right w:val="nil"/>
            </w:tcBorders>
            <w:shd w:val="clear" w:color="auto" w:fill="auto"/>
            <w:noWrap/>
            <w:vAlign w:val="bottom"/>
            <w:hideMark/>
          </w:tcPr>
          <w:p w14:paraId="3917A984"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660" w:type="dxa"/>
            <w:gridSpan w:val="7"/>
            <w:tcBorders>
              <w:top w:val="nil"/>
              <w:left w:val="single" w:sz="4" w:space="0" w:color="auto"/>
              <w:bottom w:val="nil"/>
              <w:right w:val="single" w:sz="4" w:space="0" w:color="000000"/>
            </w:tcBorders>
            <w:shd w:val="clear" w:color="auto" w:fill="auto"/>
            <w:vAlign w:val="center"/>
            <w:hideMark/>
          </w:tcPr>
          <w:p w14:paraId="5BCF07D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03C04E99" w14:textId="77777777" w:rsidTr="00F56356">
        <w:trPr>
          <w:trHeight w:val="540"/>
          <w:jc w:val="center"/>
        </w:trPr>
        <w:tc>
          <w:tcPr>
            <w:tcW w:w="340" w:type="dxa"/>
            <w:tcBorders>
              <w:top w:val="nil"/>
              <w:left w:val="nil"/>
              <w:bottom w:val="nil"/>
              <w:right w:val="nil"/>
            </w:tcBorders>
            <w:shd w:val="clear" w:color="auto" w:fill="auto"/>
            <w:noWrap/>
            <w:vAlign w:val="bottom"/>
            <w:hideMark/>
          </w:tcPr>
          <w:p w14:paraId="53B38BB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660" w:type="dxa"/>
            <w:gridSpan w:val="7"/>
            <w:tcBorders>
              <w:top w:val="nil"/>
              <w:left w:val="single" w:sz="4" w:space="0" w:color="auto"/>
              <w:bottom w:val="nil"/>
              <w:right w:val="single" w:sz="4" w:space="0" w:color="000000"/>
            </w:tcBorders>
            <w:shd w:val="clear" w:color="auto" w:fill="auto"/>
            <w:vAlign w:val="center"/>
            <w:hideMark/>
          </w:tcPr>
          <w:p w14:paraId="2A04586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485FD5FB" w14:textId="77777777" w:rsidTr="00F56356">
        <w:trPr>
          <w:trHeight w:val="540"/>
          <w:jc w:val="center"/>
        </w:trPr>
        <w:tc>
          <w:tcPr>
            <w:tcW w:w="340" w:type="dxa"/>
            <w:tcBorders>
              <w:top w:val="nil"/>
              <w:left w:val="nil"/>
              <w:bottom w:val="nil"/>
              <w:right w:val="nil"/>
            </w:tcBorders>
            <w:shd w:val="clear" w:color="auto" w:fill="auto"/>
            <w:noWrap/>
            <w:vAlign w:val="bottom"/>
            <w:hideMark/>
          </w:tcPr>
          <w:p w14:paraId="0393FBA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660" w:type="dxa"/>
            <w:gridSpan w:val="7"/>
            <w:tcBorders>
              <w:top w:val="nil"/>
              <w:left w:val="single" w:sz="4" w:space="0" w:color="auto"/>
              <w:bottom w:val="single" w:sz="4" w:space="0" w:color="auto"/>
              <w:right w:val="single" w:sz="4" w:space="0" w:color="000000"/>
            </w:tcBorders>
            <w:shd w:val="clear" w:color="auto" w:fill="auto"/>
            <w:vAlign w:val="center"/>
            <w:hideMark/>
          </w:tcPr>
          <w:p w14:paraId="5F29243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5256A32F" w14:textId="77777777" w:rsidTr="00F56356">
        <w:trPr>
          <w:trHeight w:val="480"/>
          <w:jc w:val="center"/>
        </w:trPr>
        <w:tc>
          <w:tcPr>
            <w:tcW w:w="340" w:type="dxa"/>
            <w:tcBorders>
              <w:top w:val="nil"/>
              <w:left w:val="nil"/>
              <w:bottom w:val="nil"/>
              <w:right w:val="nil"/>
            </w:tcBorders>
            <w:shd w:val="clear" w:color="auto" w:fill="auto"/>
            <w:noWrap/>
            <w:vAlign w:val="bottom"/>
            <w:hideMark/>
          </w:tcPr>
          <w:p w14:paraId="1FA0E34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6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3B5C7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69FE835" w14:textId="77777777" w:rsidTr="00F56356">
        <w:trPr>
          <w:trHeight w:val="615"/>
          <w:jc w:val="center"/>
        </w:trPr>
        <w:tc>
          <w:tcPr>
            <w:tcW w:w="340" w:type="dxa"/>
            <w:tcBorders>
              <w:top w:val="nil"/>
              <w:left w:val="nil"/>
              <w:bottom w:val="nil"/>
              <w:right w:val="nil"/>
            </w:tcBorders>
            <w:shd w:val="clear" w:color="auto" w:fill="auto"/>
            <w:noWrap/>
            <w:vAlign w:val="center"/>
            <w:hideMark/>
          </w:tcPr>
          <w:p w14:paraId="60BF2235"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F9026D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782DF86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predisposizione, con il concorso di altri soggetti, di uno schema di Convenzione</w:t>
            </w:r>
          </w:p>
        </w:tc>
      </w:tr>
      <w:tr w:rsidR="00F56356" w:rsidRPr="00F56356" w14:paraId="535F6B37" w14:textId="77777777" w:rsidTr="00F56356">
        <w:trPr>
          <w:trHeight w:val="825"/>
          <w:jc w:val="center"/>
        </w:trPr>
        <w:tc>
          <w:tcPr>
            <w:tcW w:w="340" w:type="dxa"/>
            <w:tcBorders>
              <w:top w:val="nil"/>
              <w:left w:val="nil"/>
              <w:bottom w:val="nil"/>
              <w:right w:val="nil"/>
            </w:tcBorders>
            <w:shd w:val="clear" w:color="auto" w:fill="auto"/>
            <w:noWrap/>
            <w:vAlign w:val="center"/>
            <w:hideMark/>
          </w:tcPr>
          <w:p w14:paraId="0F9BE9B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B6298C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408BEF1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Fonti interne al Dipartimento (protocollo dipartimentale, ecc.) e sistema SICOGE</w:t>
            </w:r>
          </w:p>
        </w:tc>
      </w:tr>
      <w:tr w:rsidR="00F56356" w:rsidRPr="00F56356" w14:paraId="2C5EA937" w14:textId="77777777" w:rsidTr="00F56356">
        <w:trPr>
          <w:trHeight w:val="840"/>
          <w:jc w:val="center"/>
        </w:trPr>
        <w:tc>
          <w:tcPr>
            <w:tcW w:w="340" w:type="dxa"/>
            <w:tcBorders>
              <w:top w:val="nil"/>
              <w:left w:val="nil"/>
              <w:bottom w:val="nil"/>
              <w:right w:val="nil"/>
            </w:tcBorders>
            <w:shd w:val="clear" w:color="auto" w:fill="auto"/>
            <w:noWrap/>
            <w:vAlign w:val="center"/>
            <w:hideMark/>
          </w:tcPr>
          <w:p w14:paraId="0EA1097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2F567C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40" w:type="dxa"/>
            <w:gridSpan w:val="3"/>
            <w:tcBorders>
              <w:top w:val="single" w:sz="4" w:space="0" w:color="auto"/>
              <w:left w:val="nil"/>
              <w:bottom w:val="single" w:sz="4" w:space="0" w:color="auto"/>
              <w:right w:val="single" w:sz="4" w:space="0" w:color="000000"/>
            </w:tcBorders>
            <w:shd w:val="clear" w:color="auto" w:fill="auto"/>
            <w:vAlign w:val="center"/>
            <w:hideMark/>
          </w:tcPr>
          <w:p w14:paraId="2B9A608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Rispetto delle fasi programmate</w:t>
            </w:r>
          </w:p>
        </w:tc>
        <w:tc>
          <w:tcPr>
            <w:tcW w:w="1360" w:type="dxa"/>
            <w:tcBorders>
              <w:top w:val="nil"/>
              <w:left w:val="nil"/>
              <w:bottom w:val="single" w:sz="4" w:space="0" w:color="auto"/>
              <w:right w:val="nil"/>
            </w:tcBorders>
            <w:shd w:val="clear" w:color="auto" w:fill="auto"/>
            <w:vAlign w:val="center"/>
            <w:hideMark/>
          </w:tcPr>
          <w:p w14:paraId="5C76203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60" w:type="dxa"/>
            <w:tcBorders>
              <w:top w:val="nil"/>
              <w:left w:val="single" w:sz="4" w:space="0" w:color="auto"/>
              <w:bottom w:val="single" w:sz="4" w:space="0" w:color="auto"/>
              <w:right w:val="nil"/>
            </w:tcBorders>
            <w:shd w:val="clear" w:color="auto" w:fill="auto"/>
            <w:vAlign w:val="center"/>
            <w:hideMark/>
          </w:tcPr>
          <w:p w14:paraId="3ABDC90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1DD5C12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369916F4" w14:textId="77777777" w:rsidTr="00F56356">
        <w:trPr>
          <w:trHeight w:val="615"/>
          <w:jc w:val="center"/>
        </w:trPr>
        <w:tc>
          <w:tcPr>
            <w:tcW w:w="340" w:type="dxa"/>
            <w:tcBorders>
              <w:top w:val="nil"/>
              <w:left w:val="nil"/>
              <w:bottom w:val="nil"/>
              <w:right w:val="nil"/>
            </w:tcBorders>
            <w:shd w:val="clear" w:color="auto" w:fill="auto"/>
            <w:noWrap/>
            <w:vAlign w:val="bottom"/>
            <w:hideMark/>
          </w:tcPr>
          <w:p w14:paraId="468E6C7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60E4B22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UNITA’ DI MISURA (valore in)</w:t>
            </w:r>
          </w:p>
        </w:tc>
        <w:tc>
          <w:tcPr>
            <w:tcW w:w="31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936B9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72936F7F"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60" w:type="dxa"/>
            <w:tcBorders>
              <w:top w:val="nil"/>
              <w:left w:val="nil"/>
              <w:bottom w:val="single" w:sz="4" w:space="0" w:color="auto"/>
              <w:right w:val="nil"/>
            </w:tcBorders>
            <w:shd w:val="clear" w:color="auto" w:fill="auto"/>
            <w:vAlign w:val="center"/>
            <w:hideMark/>
          </w:tcPr>
          <w:p w14:paraId="1D294DB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5496C1E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2A12614A"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1E2B14C6" w14:textId="77777777" w:rsidR="00F56356" w:rsidRPr="00F56356" w:rsidRDefault="00F56356" w:rsidP="00F56356">
      <w:pPr>
        <w:spacing w:after="0" w:line="240" w:lineRule="auto"/>
        <w:rPr>
          <w:rFonts w:ascii="Times New Roman" w:eastAsia="Times New Roman" w:hAnsi="Times New Roman" w:cs="Times New Roman"/>
          <w:color w:val="FF0000"/>
          <w:sz w:val="24"/>
          <w:szCs w:val="24"/>
          <w:lang w:eastAsia="it-IT"/>
        </w:rPr>
      </w:pPr>
    </w:p>
    <w:p w14:paraId="75C8AEF1"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EEC4A8A"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9F454B1"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280A5B3E" wp14:editId="305B33D0">
            <wp:extent cx="6119746" cy="8534400"/>
            <wp:effectExtent l="0" t="0" r="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2138" cy="8537736"/>
                    </a:xfrm>
                    <a:prstGeom prst="rect">
                      <a:avLst/>
                    </a:prstGeom>
                    <a:noFill/>
                    <a:ln>
                      <a:noFill/>
                    </a:ln>
                  </pic:spPr>
                </pic:pic>
              </a:graphicData>
            </a:graphic>
          </wp:inline>
        </w:drawing>
      </w:r>
    </w:p>
    <w:p w14:paraId="6D61EBDB"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0A21D6E"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5DF87AF" wp14:editId="5B65053C">
            <wp:extent cx="5886450" cy="8505825"/>
            <wp:effectExtent l="0" t="0" r="0" b="9525"/>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86450" cy="8505825"/>
                    </a:xfrm>
                    <a:prstGeom prst="rect">
                      <a:avLst/>
                    </a:prstGeom>
                    <a:noFill/>
                    <a:ln>
                      <a:noFill/>
                    </a:ln>
                  </pic:spPr>
                </pic:pic>
              </a:graphicData>
            </a:graphic>
          </wp:inline>
        </w:drawing>
      </w:r>
    </w:p>
    <w:p w14:paraId="464FDBF4" w14:textId="55E10CE2" w:rsid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5B81092" w14:textId="77777777" w:rsidR="0043213C" w:rsidRPr="00F56356" w:rsidRDefault="0043213C"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00B5F510" w14:textId="77777777" w:rsidR="00F56356" w:rsidRPr="00F56356" w:rsidRDefault="00F56356" w:rsidP="00F56356">
      <w:pPr>
        <w:spacing w:after="0" w:line="360" w:lineRule="auto"/>
        <w:ind w:left="284"/>
        <w:rPr>
          <w:rFonts w:ascii="Times New Roman" w:eastAsia="Times New Roman" w:hAnsi="Times New Roman" w:cs="Times New Roman"/>
          <w:b/>
          <w:color w:val="000000"/>
          <w:sz w:val="24"/>
          <w:szCs w:val="24"/>
          <w:lang w:eastAsia="it-IT"/>
        </w:rPr>
      </w:pPr>
      <w:r w:rsidRPr="00F56356">
        <w:rPr>
          <w:rFonts w:ascii="Times New Roman" w:eastAsia="Times New Roman" w:hAnsi="Times New Roman" w:cs="Times New Roman"/>
          <w:b/>
          <w:color w:val="000000"/>
          <w:sz w:val="24"/>
          <w:szCs w:val="24"/>
          <w:lang w:eastAsia="it-IT"/>
        </w:rPr>
        <w:lastRenderedPageBreak/>
        <w:t>CDR  17 “Sport”</w:t>
      </w:r>
    </w:p>
    <w:p w14:paraId="5F871CFC" w14:textId="77777777" w:rsidR="00F56356" w:rsidRPr="00F56356" w:rsidRDefault="00F56356" w:rsidP="00F56356">
      <w:pPr>
        <w:spacing w:after="0" w:line="240" w:lineRule="auto"/>
        <w:ind w:left="284"/>
        <w:jc w:val="both"/>
        <w:rPr>
          <w:rFonts w:ascii="Times New Roman" w:eastAsia="Times New Roman" w:hAnsi="Times New Roman" w:cs="Times New Roman"/>
          <w:b/>
          <w:color w:val="000000" w:themeColor="text1"/>
          <w:sz w:val="14"/>
          <w:szCs w:val="24"/>
          <w:lang w:eastAsia="it-IT"/>
        </w:rPr>
      </w:pPr>
    </w:p>
    <w:p w14:paraId="5D6FD5E6" w14:textId="77777777" w:rsidR="00F56356" w:rsidRPr="00F56356" w:rsidRDefault="00F56356" w:rsidP="00F56356">
      <w:pPr>
        <w:spacing w:after="0"/>
        <w:ind w:left="284" w:right="142"/>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1 - </w:t>
      </w:r>
      <w:r w:rsidRPr="00F56356">
        <w:rPr>
          <w:rFonts w:ascii="Times New Roman" w:eastAsia="Times New Roman" w:hAnsi="Times New Roman" w:cs="Times New Roman"/>
          <w:color w:val="000000" w:themeColor="text1"/>
          <w:sz w:val="24"/>
          <w:szCs w:val="24"/>
          <w:lang w:eastAsia="it-IT"/>
        </w:rPr>
        <w:t xml:space="preserve">Organi costituzionali, a rilevanza costituzionale e Presidenza del Consiglio dei ministri </w:t>
      </w:r>
    </w:p>
    <w:p w14:paraId="266DC281" w14:textId="77777777" w:rsidR="00F56356" w:rsidRPr="00F56356" w:rsidRDefault="00F56356" w:rsidP="00F56356">
      <w:pPr>
        <w:spacing w:after="0"/>
        <w:ind w:left="284"/>
        <w:jc w:val="both"/>
        <w:rPr>
          <w:rFonts w:ascii="Times New Roman" w:eastAsia="Times New Roman" w:hAnsi="Times New Roman" w:cs="Times New Roman"/>
          <w:color w:val="FF0000"/>
          <w:sz w:val="4"/>
          <w:szCs w:val="16"/>
          <w:lang w:eastAsia="it-IT"/>
        </w:rPr>
      </w:pPr>
    </w:p>
    <w:p w14:paraId="5BCBA28F" w14:textId="77777777" w:rsidR="00F56356" w:rsidRPr="00F56356" w:rsidRDefault="00F56356"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1.3 - </w:t>
      </w:r>
      <w:r w:rsidRPr="00F56356">
        <w:rPr>
          <w:rFonts w:ascii="Times New Roman" w:eastAsia="Times New Roman" w:hAnsi="Times New Roman" w:cs="Times New Roman"/>
          <w:color w:val="000000" w:themeColor="text1"/>
          <w:sz w:val="24"/>
          <w:szCs w:val="24"/>
          <w:lang w:eastAsia="it-IT"/>
        </w:rPr>
        <w:t>Presidenza del Consiglio dei ministri</w:t>
      </w:r>
    </w:p>
    <w:p w14:paraId="2E281DAB" w14:textId="77777777" w:rsidR="00F56356" w:rsidRPr="00F56356" w:rsidRDefault="00F56356" w:rsidP="00F56356">
      <w:pPr>
        <w:spacing w:after="0"/>
        <w:ind w:left="284"/>
        <w:jc w:val="both"/>
        <w:rPr>
          <w:rFonts w:ascii="Times New Roman" w:eastAsia="Times New Roman" w:hAnsi="Times New Roman" w:cs="Times New Roman"/>
          <w:color w:val="000000" w:themeColor="text1"/>
          <w:sz w:val="20"/>
          <w:szCs w:val="20"/>
          <w:lang w:eastAsia="it-IT"/>
        </w:rPr>
      </w:pPr>
      <w:r w:rsidRPr="00F56356">
        <w:rPr>
          <w:rFonts w:ascii="Times New Roman" w:eastAsia="Times New Roman" w:hAnsi="Times New Roman" w:cs="Times New Roman"/>
          <w:color w:val="000000" w:themeColor="text1"/>
          <w:sz w:val="24"/>
          <w:szCs w:val="24"/>
          <w:lang w:eastAsia="it-IT"/>
        </w:rPr>
        <w:t xml:space="preserve"> </w:t>
      </w:r>
    </w:p>
    <w:p w14:paraId="5406FB2B" w14:textId="77777777" w:rsidR="00F56356" w:rsidRPr="00F56356" w:rsidRDefault="00F56356"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24</w:t>
      </w:r>
      <w:r w:rsidRPr="00F56356">
        <w:rPr>
          <w:rFonts w:ascii="Times New Roman" w:eastAsia="Times New Roman" w:hAnsi="Times New Roman" w:cs="Times New Roman"/>
          <w:color w:val="000000" w:themeColor="text1"/>
          <w:sz w:val="24"/>
          <w:szCs w:val="24"/>
          <w:lang w:eastAsia="it-IT"/>
        </w:rPr>
        <w:t xml:space="preserve"> - Diritti sociali, politiche sociali e famiglia</w:t>
      </w:r>
    </w:p>
    <w:p w14:paraId="2ADE767E" w14:textId="77777777" w:rsidR="00F56356" w:rsidRPr="00F56356" w:rsidRDefault="00F56356" w:rsidP="00F56356">
      <w:pPr>
        <w:spacing w:after="0"/>
        <w:ind w:left="284"/>
        <w:jc w:val="both"/>
        <w:rPr>
          <w:rFonts w:ascii="Times New Roman" w:eastAsia="Times New Roman" w:hAnsi="Times New Roman" w:cs="Times New Roman"/>
          <w:b/>
          <w:color w:val="000000" w:themeColor="text1"/>
          <w:sz w:val="6"/>
          <w:szCs w:val="16"/>
          <w:lang w:eastAsia="it-IT"/>
        </w:rPr>
      </w:pPr>
    </w:p>
    <w:p w14:paraId="33747965" w14:textId="77777777" w:rsidR="00F56356" w:rsidRPr="00F56356" w:rsidRDefault="00F56356"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w:t>
      </w:r>
      <w:r w:rsidRPr="00F56356">
        <w:rPr>
          <w:rFonts w:ascii="Times New Roman" w:eastAsia="Times New Roman" w:hAnsi="Times New Roman" w:cs="Times New Roman"/>
          <w:color w:val="000000" w:themeColor="text1"/>
          <w:sz w:val="24"/>
          <w:szCs w:val="24"/>
          <w:lang w:eastAsia="it-IT"/>
        </w:rPr>
        <w:t>- Famiglia,</w:t>
      </w:r>
      <w:r w:rsidRPr="00F56356">
        <w:rPr>
          <w:rFonts w:ascii="Times New Roman" w:eastAsia="Times New Roman" w:hAnsi="Times New Roman" w:cs="Times New Roman"/>
          <w:b/>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pari opportunità e situazioni di disagio</w:t>
      </w:r>
    </w:p>
    <w:p w14:paraId="1661E552" w14:textId="77777777" w:rsidR="00F56356" w:rsidRPr="00F56356" w:rsidRDefault="00F56356" w:rsidP="00F56356">
      <w:pPr>
        <w:spacing w:after="0"/>
        <w:ind w:left="284"/>
        <w:jc w:val="both"/>
        <w:rPr>
          <w:rFonts w:ascii="Times New Roman" w:eastAsia="Times New Roman" w:hAnsi="Times New Roman" w:cs="Times New Roman"/>
          <w:color w:val="FF0000"/>
          <w:sz w:val="20"/>
          <w:szCs w:val="28"/>
          <w:lang w:eastAsia="it-IT"/>
        </w:rPr>
      </w:pPr>
    </w:p>
    <w:p w14:paraId="44A73529" w14:textId="77777777" w:rsidR="00F56356" w:rsidRPr="00F56356" w:rsidRDefault="00F56356" w:rsidP="00F56356">
      <w:pPr>
        <w:spacing w:after="0"/>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MISSIONE 30</w:t>
      </w:r>
      <w:r w:rsidRPr="00F56356">
        <w:rPr>
          <w:rFonts w:ascii="Times New Roman" w:eastAsia="Times New Roman" w:hAnsi="Times New Roman" w:cs="Times New Roman"/>
          <w:color w:val="000000" w:themeColor="text1"/>
          <w:sz w:val="24"/>
          <w:szCs w:val="24"/>
          <w:lang w:eastAsia="it-IT"/>
        </w:rPr>
        <w:t xml:space="preserve"> - Giovani e sport </w:t>
      </w:r>
    </w:p>
    <w:p w14:paraId="5DAF2C7A" w14:textId="77777777" w:rsidR="00F56356" w:rsidRPr="00F56356" w:rsidRDefault="00F56356" w:rsidP="00F56356">
      <w:pPr>
        <w:spacing w:after="0"/>
        <w:ind w:left="284"/>
        <w:jc w:val="both"/>
        <w:rPr>
          <w:rFonts w:ascii="Times New Roman" w:eastAsia="Times New Roman" w:hAnsi="Times New Roman" w:cs="Times New Roman"/>
          <w:b/>
          <w:color w:val="000000" w:themeColor="text1"/>
          <w:sz w:val="4"/>
          <w:szCs w:val="16"/>
          <w:lang w:eastAsia="it-IT"/>
        </w:rPr>
      </w:pPr>
    </w:p>
    <w:p w14:paraId="244A2235" w14:textId="77777777" w:rsidR="00F56356" w:rsidRPr="00F56356" w:rsidRDefault="00F56356" w:rsidP="00F56356">
      <w:pPr>
        <w:spacing w:after="0"/>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30.1 - </w:t>
      </w:r>
      <w:r w:rsidRPr="00F56356">
        <w:rPr>
          <w:rFonts w:ascii="Times New Roman" w:eastAsia="Times New Roman" w:hAnsi="Times New Roman" w:cs="Times New Roman"/>
          <w:color w:val="000000" w:themeColor="text1"/>
          <w:sz w:val="24"/>
          <w:szCs w:val="24"/>
          <w:lang w:eastAsia="it-IT"/>
        </w:rPr>
        <w:t xml:space="preserve">Attività ricreative e sport </w:t>
      </w:r>
    </w:p>
    <w:p w14:paraId="4B0F1595"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1CBBD62A" w14:textId="77777777" w:rsidR="00F56356" w:rsidRPr="00F56356" w:rsidRDefault="00F56356" w:rsidP="00F56356">
      <w:pPr>
        <w:tabs>
          <w:tab w:val="left" w:pos="2040"/>
        </w:tabs>
        <w:spacing w:after="0" w:line="360" w:lineRule="auto"/>
        <w:ind w:left="284"/>
        <w:jc w:val="both"/>
        <w:rPr>
          <w:rFonts w:ascii="Times New Roman" w:eastAsia="Times New Roman" w:hAnsi="Times New Roman" w:cs="Times New Roman"/>
          <w:b/>
          <w:i/>
          <w:sz w:val="24"/>
          <w:szCs w:val="24"/>
          <w:lang w:eastAsia="it-IT"/>
        </w:rPr>
      </w:pPr>
      <w:r w:rsidRPr="00F56356">
        <w:rPr>
          <w:rFonts w:ascii="Times New Roman" w:eastAsia="Times New Roman" w:hAnsi="Times New Roman" w:cs="Times New Roman"/>
          <w:b/>
          <w:sz w:val="24"/>
          <w:szCs w:val="24"/>
          <w:lang w:eastAsia="it-IT"/>
        </w:rPr>
        <w:t>1.</w:t>
      </w:r>
      <w:r w:rsidRPr="00F56356">
        <w:rPr>
          <w:rFonts w:ascii="Times New Roman" w:eastAsia="Times New Roman" w:hAnsi="Times New Roman" w:cs="Times New Roman"/>
          <w:b/>
          <w:i/>
          <w:sz w:val="24"/>
          <w:szCs w:val="24"/>
          <w:lang w:eastAsia="it-IT"/>
        </w:rPr>
        <w:t xml:space="preserve">  Mission</w:t>
      </w:r>
    </w:p>
    <w:p w14:paraId="6D13C559"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Il Centro di responsabilità 17 “Sport” è la struttura di supporto al Presidente ovvero all’autorità politica delegata in materia di sport per l’esercizio delle funzioni in materia di sport; provvede agli adempimenti giuridici e amministrativi, allo studio, all’istruttoria degli atti concernenti l’assolvimento delle predette funzioni; propone, coordina e attua iniziative normative, amministrative e culturali relative allo sport; esercita poteri di indirizzo, di direttiva e di controllo nei confronti della società “Sport e salute S.p.a.”, cura i rapporti internazionali con enti e istituzioni che hanno competenza in materia di sport, con particolare riguardo all’Unione europea, al Consiglio d’Europa e, in particolare </w:t>
      </w:r>
      <w:r w:rsidRPr="00F56356">
        <w:rPr>
          <w:rFonts w:ascii="Times New Roman" w:eastAsia="Times New Roman" w:hAnsi="Times New Roman" w:cs="Times New Roman"/>
          <w:iCs/>
          <w:color w:val="000000" w:themeColor="text1"/>
          <w:sz w:val="24"/>
          <w:szCs w:val="24"/>
          <w:lang w:eastAsia="it-IT"/>
        </w:rPr>
        <w:t>all’</w:t>
      </w:r>
      <w:proofErr w:type="spellStart"/>
      <w:r w:rsidRPr="00F56356">
        <w:rPr>
          <w:rFonts w:ascii="Times New Roman" w:eastAsia="Times New Roman" w:hAnsi="Times New Roman" w:cs="Times New Roman"/>
          <w:iCs/>
          <w:color w:val="000000" w:themeColor="text1"/>
          <w:sz w:val="24"/>
          <w:szCs w:val="24"/>
          <w:lang w:eastAsia="it-IT"/>
        </w:rPr>
        <w:t>Enlarged</w:t>
      </w:r>
      <w:proofErr w:type="spellEnd"/>
      <w:r w:rsidRPr="00F56356">
        <w:rPr>
          <w:rFonts w:ascii="Times New Roman" w:eastAsia="Times New Roman" w:hAnsi="Times New Roman" w:cs="Times New Roman"/>
          <w:iCs/>
          <w:color w:val="000000" w:themeColor="text1"/>
          <w:sz w:val="24"/>
          <w:szCs w:val="24"/>
          <w:lang w:eastAsia="it-IT"/>
        </w:rPr>
        <w:t xml:space="preserve"> </w:t>
      </w:r>
      <w:proofErr w:type="spellStart"/>
      <w:r w:rsidRPr="00F56356">
        <w:rPr>
          <w:rFonts w:ascii="Times New Roman" w:eastAsia="Times New Roman" w:hAnsi="Times New Roman" w:cs="Times New Roman"/>
          <w:iCs/>
          <w:color w:val="000000" w:themeColor="text1"/>
          <w:sz w:val="24"/>
          <w:szCs w:val="24"/>
          <w:lang w:eastAsia="it-IT"/>
        </w:rPr>
        <w:t>partial</w:t>
      </w:r>
      <w:proofErr w:type="spellEnd"/>
      <w:r w:rsidRPr="00F56356">
        <w:rPr>
          <w:rFonts w:ascii="Times New Roman" w:eastAsia="Times New Roman" w:hAnsi="Times New Roman" w:cs="Times New Roman"/>
          <w:iCs/>
          <w:color w:val="000000" w:themeColor="text1"/>
          <w:sz w:val="24"/>
          <w:szCs w:val="24"/>
          <w:lang w:eastAsia="it-IT"/>
        </w:rPr>
        <w:t xml:space="preserve"> agreement on sport</w:t>
      </w:r>
      <w:r w:rsidRPr="00F56356">
        <w:rPr>
          <w:rFonts w:ascii="Times New Roman" w:eastAsia="Times New Roman" w:hAnsi="Times New Roman" w:cs="Times New Roman"/>
          <w:color w:val="000000" w:themeColor="text1"/>
          <w:sz w:val="24"/>
          <w:szCs w:val="24"/>
          <w:lang w:eastAsia="it-IT"/>
        </w:rPr>
        <w:t xml:space="preserve"> (EPAS), all’UNESCO, all’Agenzia mondiale antidoping (WADA), e agli organismi sportivi e ai soggetti operanti nel settore dello sport; esercita le funzioni in tema di prevenzione del doping e della violenza nello sport; esercita i compiti di vigilanza sul Comitato olimpico nazionale (CONI), sul Comitato italiano paralimpico (CIP), sull’Automobile club d’Italia, sul Collegio nazionale dei maestri di sci, nonché sull’Aero club d’Italia, unitamente agli altri ministeri competenti; esercita compiti di verifica delle finalità pubblicistiche e di indirizzo sull’Istituto per il credito sportivo, unitamente al Ministero per i beni e le attività culturali e per il turismo, per le attività di rispettiva competenza; cura le istanze di riconoscimento delle qualifiche professionali straniere per l’esercizio in Italia delle professioni sportive; cura le procedure inerenti i contributi in materia di sport rivolti alle famiglie, agli organismi sportivi e per l’impiantistica sportiva e la realizzazione di eventi sportivi nazionali e internazionali, anche attraverso la gestione del Fondo unico a sostegno del potenziamento del movimento sportivo italiano; cura gli adempimenti connessi alla realizzazione degli interventi di investimento per la realizzazione di impianti sportivi nell’ambito dei piani operativi dedicati alla riqualificazione urbana e territoriale; cura l’organizzazione di eventi  sportivi  nazionali  e  internazionali,  assicurando, in particolare, supporto per le attività in  </w:t>
      </w:r>
    </w:p>
    <w:p w14:paraId="2A86DB19"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materia di tutela e sostenibilità dei giochi olimpici e paralimpici; cura gli adempimenti connessi alla concessione del 5 × 1000 a favore delle associazioni sportive dilettantistiche e dello sport bonus; cura l’istruttoria per la concessione dei patrocini a manifestazioni sportive;</w:t>
      </w:r>
      <w:r w:rsidRPr="00F56356">
        <w:rPr>
          <w:rFonts w:ascii="Times New Roman" w:eastAsia="Times New Roman" w:hAnsi="Times New Roman" w:cs="Times New Roman"/>
          <w:sz w:val="24"/>
          <w:szCs w:val="24"/>
          <w:lang w:eastAsia="it-IT"/>
        </w:rPr>
        <w:t xml:space="preserve"> realizza iniziative di comunicazione per il settore sportivo anche tramite la gestione dell’apposito sito web e</w:t>
      </w:r>
      <w:r w:rsidRPr="00F56356">
        <w:rPr>
          <w:rFonts w:ascii="Times New Roman" w:eastAsia="Times New Roman" w:hAnsi="Times New Roman" w:cs="Times New Roman"/>
          <w:color w:val="000000" w:themeColor="text1"/>
          <w:sz w:val="24"/>
          <w:szCs w:val="24"/>
          <w:lang w:eastAsia="it-IT"/>
        </w:rPr>
        <w:t xml:space="preserve"> cura attività di studio, ricerche e analisi nel settore dello sport, anche in coordinamento con le amministrazioni centrali e territoriali e la società “Sport e salute </w:t>
      </w:r>
      <w:proofErr w:type="spellStart"/>
      <w:r w:rsidRPr="00F56356">
        <w:rPr>
          <w:rFonts w:ascii="Times New Roman" w:eastAsia="Times New Roman" w:hAnsi="Times New Roman" w:cs="Times New Roman"/>
          <w:color w:val="000000" w:themeColor="text1"/>
          <w:sz w:val="24"/>
          <w:szCs w:val="24"/>
          <w:lang w:eastAsia="it-IT"/>
        </w:rPr>
        <w:t>S.p.a</w:t>
      </w:r>
      <w:proofErr w:type="spellEnd"/>
      <w:r w:rsidRPr="00F56356">
        <w:rPr>
          <w:rFonts w:ascii="Times New Roman" w:eastAsia="Times New Roman" w:hAnsi="Times New Roman" w:cs="Times New Roman"/>
          <w:color w:val="000000" w:themeColor="text1"/>
          <w:sz w:val="24"/>
          <w:szCs w:val="24"/>
          <w:lang w:eastAsia="it-IT"/>
        </w:rPr>
        <w:t xml:space="preserve">”. </w:t>
      </w:r>
    </w:p>
    <w:p w14:paraId="129019FD"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sz w:val="24"/>
          <w:szCs w:val="24"/>
          <w:lang w:eastAsia="it-IT"/>
        </w:rPr>
      </w:pPr>
    </w:p>
    <w:p w14:paraId="3D41B276"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6"/>
          <w:szCs w:val="24"/>
          <w:lang w:eastAsia="it-IT"/>
        </w:rPr>
      </w:pPr>
    </w:p>
    <w:p w14:paraId="1C683183"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64401D7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2.1 </w:t>
      </w:r>
      <w:r w:rsidRPr="00F56356">
        <w:rPr>
          <w:rFonts w:ascii="Times New Roman" w:eastAsia="Times New Roman" w:hAnsi="Times New Roman" w:cs="Times New Roman"/>
          <w:color w:val="000000" w:themeColor="text1"/>
          <w:sz w:val="24"/>
          <w:szCs w:val="24"/>
          <w:lang w:eastAsia="it-IT"/>
        </w:rPr>
        <w:t xml:space="preserve">Le risorse complessivamente stanziate sono state pari a euro 1.014.246.723,46, nell’ambito delle quali euro 967.227,54 riferiti a reiscrizioni di residui passivi perenti ed euro 406.878.937,28 riferiti a riassegnazioni dall’avanzo di esercizio 2021. </w:t>
      </w:r>
    </w:p>
    <w:p w14:paraId="0AB85FB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Gli impegni assunti ammontano a euro </w:t>
      </w:r>
      <w:bookmarkStart w:id="62" w:name="_Hlk132273693"/>
      <w:r w:rsidRPr="00F56356">
        <w:rPr>
          <w:rFonts w:ascii="Times New Roman" w:eastAsia="Times New Roman" w:hAnsi="Times New Roman" w:cs="Times New Roman"/>
          <w:color w:val="000000" w:themeColor="text1"/>
          <w:sz w:val="24"/>
          <w:szCs w:val="24"/>
          <w:lang w:eastAsia="it-IT"/>
        </w:rPr>
        <w:t xml:space="preserve">626.177.972,29, </w:t>
      </w:r>
      <w:bookmarkEnd w:id="62"/>
      <w:r w:rsidRPr="00F56356">
        <w:rPr>
          <w:rFonts w:ascii="Times New Roman" w:eastAsia="Times New Roman" w:hAnsi="Times New Roman" w:cs="Times New Roman"/>
          <w:color w:val="000000" w:themeColor="text1"/>
          <w:sz w:val="24"/>
          <w:szCs w:val="24"/>
          <w:lang w:eastAsia="it-IT"/>
        </w:rPr>
        <w:t>con un’economia di bilancio di euro 388.068.751,17. Il totale dei pagamenti riferiti alla competenza è stato pari a euro 286.083.176,26, con un indice di capacità di pagamento (rapporto pagato/impegnato) che si attesta al 45,69 per cento.</w:t>
      </w:r>
    </w:p>
    <w:p w14:paraId="5E3D9DE4"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7CDF118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riporta qui di seguito l’andamento delle politiche attive nel corso del triennio 2020-2022:</w:t>
      </w:r>
    </w:p>
    <w:p w14:paraId="14B1A412"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eastAsia="Times New Roman"/>
          <w:noProof/>
          <w:sz w:val="28"/>
          <w:szCs w:val="28"/>
          <w:lang w:eastAsia="it-IT"/>
        </w:rPr>
        <w:drawing>
          <wp:inline distT="0" distB="0" distL="0" distR="0" wp14:anchorId="4D86C5A2" wp14:editId="4658B4D6">
            <wp:extent cx="3851129" cy="647787"/>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80644" cy="652752"/>
                    </a:xfrm>
                    <a:prstGeom prst="rect">
                      <a:avLst/>
                    </a:prstGeom>
                    <a:noFill/>
                    <a:ln>
                      <a:noFill/>
                    </a:ln>
                  </pic:spPr>
                </pic:pic>
              </a:graphicData>
            </a:graphic>
          </wp:inline>
        </w:drawing>
      </w:r>
    </w:p>
    <w:p w14:paraId="7DF00999"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541E5F8A" wp14:editId="2C441D42">
            <wp:extent cx="4001477" cy="2015809"/>
            <wp:effectExtent l="0" t="0" r="0" b="381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19522" cy="2024899"/>
                    </a:xfrm>
                    <a:prstGeom prst="rect">
                      <a:avLst/>
                    </a:prstGeom>
                    <a:noFill/>
                  </pic:spPr>
                </pic:pic>
              </a:graphicData>
            </a:graphic>
          </wp:inline>
        </w:drawing>
      </w:r>
    </w:p>
    <w:p w14:paraId="7CAD2239" w14:textId="77777777" w:rsidR="00F56356" w:rsidRPr="00F56356" w:rsidRDefault="00F56356" w:rsidP="00F56356">
      <w:pPr>
        <w:tabs>
          <w:tab w:val="left" w:pos="5760"/>
        </w:tabs>
        <w:spacing w:after="0" w:line="360" w:lineRule="auto"/>
        <w:rPr>
          <w:rFonts w:ascii="Times New Roman" w:eastAsia="Times New Roman" w:hAnsi="Times New Roman" w:cs="Times New Roman"/>
          <w:color w:val="000000" w:themeColor="text1"/>
          <w:sz w:val="14"/>
          <w:szCs w:val="24"/>
          <w:lang w:eastAsia="it-IT"/>
        </w:rPr>
      </w:pPr>
    </w:p>
    <w:p w14:paraId="1906D76D"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p>
    <w:p w14:paraId="368327AC" w14:textId="77777777" w:rsidR="00F56356" w:rsidRPr="00F56356" w:rsidRDefault="00F56356" w:rsidP="00F56356">
      <w:pPr>
        <w:tabs>
          <w:tab w:val="left" w:pos="284"/>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170.141.136,44.</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Su questi sono stati effettuati pagamenti per euro 38.086.388,30 e realizzate economie per euro 2.764.486,91.</w:t>
      </w:r>
    </w:p>
    <w:p w14:paraId="6095B85D"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14"/>
          <w:szCs w:val="14"/>
          <w:lang w:eastAsia="it-IT"/>
        </w:rPr>
      </w:pPr>
    </w:p>
    <w:p w14:paraId="6ACEC18B"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18E3D1B5" w14:textId="71607C0A" w:rsid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1D838505" w14:textId="77777777" w:rsidR="0043213C" w:rsidRPr="00F56356" w:rsidRDefault="0043213C"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76F0C8EB"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0E58DA1B"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Indicatori di bilancio</w:t>
      </w:r>
    </w:p>
    <w:p w14:paraId="01B405AB"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p>
    <w:p w14:paraId="724A2C03"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4C232493" wp14:editId="7B3EECB2">
            <wp:extent cx="4343400" cy="1116330"/>
            <wp:effectExtent l="0" t="0" r="0" b="762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43400" cy="1116330"/>
                    </a:xfrm>
                    <a:prstGeom prst="rect">
                      <a:avLst/>
                    </a:prstGeom>
                    <a:noFill/>
                    <a:ln>
                      <a:noFill/>
                    </a:ln>
                  </pic:spPr>
                </pic:pic>
              </a:graphicData>
            </a:graphic>
          </wp:inline>
        </w:drawing>
      </w:r>
    </w:p>
    <w:p w14:paraId="22876674"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p>
    <w:p w14:paraId="3F72482F"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p>
    <w:p w14:paraId="1E47F6F6"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p>
    <w:p w14:paraId="49DA0492"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380B6BF0" wp14:editId="2938B905">
            <wp:extent cx="4343400" cy="2329815"/>
            <wp:effectExtent l="0" t="0" r="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43400" cy="2329815"/>
                    </a:xfrm>
                    <a:prstGeom prst="rect">
                      <a:avLst/>
                    </a:prstGeom>
                    <a:noFill/>
                    <a:ln>
                      <a:noFill/>
                    </a:ln>
                  </pic:spPr>
                </pic:pic>
              </a:graphicData>
            </a:graphic>
          </wp:inline>
        </w:drawing>
      </w:r>
    </w:p>
    <w:p w14:paraId="4BEE40A3" w14:textId="77777777" w:rsidR="00F56356" w:rsidRPr="00F56356" w:rsidRDefault="00F56356" w:rsidP="00F56356">
      <w:pPr>
        <w:tabs>
          <w:tab w:val="left" w:pos="9639"/>
        </w:tabs>
        <w:spacing w:after="0" w:line="360" w:lineRule="auto"/>
        <w:jc w:val="center"/>
        <w:rPr>
          <w:rFonts w:ascii="Times New Roman" w:eastAsia="Times New Roman" w:hAnsi="Times New Roman" w:cs="Times New Roman"/>
          <w:sz w:val="10"/>
          <w:szCs w:val="24"/>
          <w:lang w:eastAsia="it-IT"/>
        </w:rPr>
      </w:pPr>
    </w:p>
    <w:p w14:paraId="0E3280C3" w14:textId="77777777" w:rsidR="00F56356" w:rsidRPr="00F56356" w:rsidRDefault="00F56356" w:rsidP="00F56356">
      <w:pPr>
        <w:tabs>
          <w:tab w:val="left" w:pos="9639"/>
        </w:tabs>
        <w:spacing w:after="0" w:line="360" w:lineRule="auto"/>
        <w:jc w:val="center"/>
        <w:rPr>
          <w:rFonts w:eastAsia="Times New Roman"/>
          <w:b/>
          <w:color w:val="000000" w:themeColor="text1"/>
          <w:sz w:val="6"/>
          <w:szCs w:val="24"/>
          <w:lang w:eastAsia="it-IT"/>
        </w:rPr>
      </w:pPr>
    </w:p>
    <w:p w14:paraId="4282809F" w14:textId="77777777" w:rsidR="00F56356" w:rsidRPr="00F56356" w:rsidRDefault="00F56356" w:rsidP="00F56356">
      <w:pPr>
        <w:tabs>
          <w:tab w:val="left" w:pos="9639"/>
        </w:tabs>
        <w:spacing w:after="0" w:line="360" w:lineRule="auto"/>
        <w:jc w:val="center"/>
        <w:rPr>
          <w:rFonts w:eastAsia="Times New Roman"/>
          <w:b/>
          <w:color w:val="000000" w:themeColor="text1"/>
          <w:sz w:val="6"/>
          <w:szCs w:val="24"/>
          <w:lang w:eastAsia="it-IT"/>
        </w:rPr>
      </w:pPr>
    </w:p>
    <w:tbl>
      <w:tblPr>
        <w:tblW w:w="6861" w:type="dxa"/>
        <w:jc w:val="center"/>
        <w:tblCellMar>
          <w:left w:w="70" w:type="dxa"/>
          <w:right w:w="70" w:type="dxa"/>
        </w:tblCellMar>
        <w:tblLook w:val="04A0" w:firstRow="1" w:lastRow="0" w:firstColumn="1" w:lastColumn="0" w:noHBand="0" w:noVBand="1"/>
      </w:tblPr>
      <w:tblGrid>
        <w:gridCol w:w="469"/>
        <w:gridCol w:w="1612"/>
        <w:gridCol w:w="1553"/>
        <w:gridCol w:w="955"/>
        <w:gridCol w:w="1170"/>
        <w:gridCol w:w="1111"/>
      </w:tblGrid>
      <w:tr w:rsidR="00F56356" w:rsidRPr="00F56356" w14:paraId="7A2C7DD7" w14:textId="77777777" w:rsidTr="00F56356">
        <w:trPr>
          <w:trHeight w:val="420"/>
          <w:jc w:val="center"/>
        </w:trPr>
        <w:tc>
          <w:tcPr>
            <w:tcW w:w="68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D2E0D"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IN CONTO CAPITALE</w:t>
            </w:r>
          </w:p>
        </w:tc>
      </w:tr>
      <w:tr w:rsidR="00F56356" w:rsidRPr="00F56356" w14:paraId="28746D6A" w14:textId="77777777" w:rsidTr="00F56356">
        <w:trPr>
          <w:trHeight w:val="465"/>
          <w:jc w:val="center"/>
        </w:trPr>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E48822"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612" w:type="dxa"/>
            <w:vMerge w:val="restart"/>
            <w:tcBorders>
              <w:top w:val="nil"/>
              <w:left w:val="single" w:sz="4" w:space="0" w:color="auto"/>
              <w:bottom w:val="single" w:sz="4" w:space="0" w:color="auto"/>
              <w:right w:val="single" w:sz="4" w:space="0" w:color="auto"/>
            </w:tcBorders>
            <w:shd w:val="clear" w:color="auto" w:fill="auto"/>
            <w:vAlign w:val="center"/>
            <w:hideMark/>
          </w:tcPr>
          <w:p w14:paraId="354750E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0BF76B83"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36" w:type="dxa"/>
            <w:gridSpan w:val="3"/>
            <w:tcBorders>
              <w:top w:val="single" w:sz="4" w:space="0" w:color="auto"/>
              <w:left w:val="nil"/>
              <w:bottom w:val="single" w:sz="4" w:space="0" w:color="auto"/>
              <w:right w:val="single" w:sz="4" w:space="0" w:color="000000"/>
            </w:tcBorders>
            <w:shd w:val="clear" w:color="auto" w:fill="auto"/>
            <w:vAlign w:val="center"/>
            <w:hideMark/>
          </w:tcPr>
          <w:p w14:paraId="2DE43FE8"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08BCAF2D" w14:textId="77777777" w:rsidTr="00F56356">
        <w:trPr>
          <w:trHeight w:val="300"/>
          <w:jc w:val="center"/>
        </w:trPr>
        <w:tc>
          <w:tcPr>
            <w:tcW w:w="460" w:type="dxa"/>
            <w:vMerge/>
            <w:tcBorders>
              <w:top w:val="nil"/>
              <w:left w:val="single" w:sz="4" w:space="0" w:color="auto"/>
              <w:bottom w:val="single" w:sz="4" w:space="0" w:color="auto"/>
              <w:right w:val="single" w:sz="4" w:space="0" w:color="auto"/>
            </w:tcBorders>
            <w:vAlign w:val="center"/>
            <w:hideMark/>
          </w:tcPr>
          <w:p w14:paraId="159655F3"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612" w:type="dxa"/>
            <w:vMerge/>
            <w:tcBorders>
              <w:top w:val="nil"/>
              <w:left w:val="single" w:sz="4" w:space="0" w:color="auto"/>
              <w:bottom w:val="single" w:sz="4" w:space="0" w:color="auto"/>
              <w:right w:val="single" w:sz="4" w:space="0" w:color="auto"/>
            </w:tcBorders>
            <w:vAlign w:val="center"/>
            <w:hideMark/>
          </w:tcPr>
          <w:p w14:paraId="436C07F8"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53" w:type="dxa"/>
            <w:vMerge/>
            <w:tcBorders>
              <w:top w:val="nil"/>
              <w:left w:val="single" w:sz="4" w:space="0" w:color="auto"/>
              <w:bottom w:val="single" w:sz="4" w:space="0" w:color="auto"/>
              <w:right w:val="single" w:sz="4" w:space="0" w:color="auto"/>
            </w:tcBorders>
            <w:vAlign w:val="center"/>
            <w:hideMark/>
          </w:tcPr>
          <w:p w14:paraId="227A93E1"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55" w:type="dxa"/>
            <w:tcBorders>
              <w:top w:val="nil"/>
              <w:left w:val="nil"/>
              <w:bottom w:val="single" w:sz="4" w:space="0" w:color="auto"/>
              <w:right w:val="single" w:sz="4" w:space="0" w:color="auto"/>
            </w:tcBorders>
            <w:shd w:val="clear" w:color="auto" w:fill="auto"/>
            <w:vAlign w:val="center"/>
            <w:hideMark/>
          </w:tcPr>
          <w:p w14:paraId="5387EFF6"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70" w:type="dxa"/>
            <w:tcBorders>
              <w:top w:val="nil"/>
              <w:left w:val="nil"/>
              <w:bottom w:val="single" w:sz="4" w:space="0" w:color="auto"/>
              <w:right w:val="single" w:sz="4" w:space="0" w:color="auto"/>
            </w:tcBorders>
            <w:shd w:val="clear" w:color="auto" w:fill="auto"/>
            <w:vAlign w:val="center"/>
            <w:hideMark/>
          </w:tcPr>
          <w:p w14:paraId="210D8650"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11" w:type="dxa"/>
            <w:tcBorders>
              <w:top w:val="nil"/>
              <w:left w:val="nil"/>
              <w:bottom w:val="single" w:sz="4" w:space="0" w:color="auto"/>
              <w:right w:val="single" w:sz="4" w:space="0" w:color="auto"/>
            </w:tcBorders>
            <w:shd w:val="clear" w:color="auto" w:fill="auto"/>
            <w:vAlign w:val="center"/>
            <w:hideMark/>
          </w:tcPr>
          <w:p w14:paraId="1EE66BA7"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82BBFD5"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49990C1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937</w:t>
            </w:r>
          </w:p>
        </w:tc>
        <w:tc>
          <w:tcPr>
            <w:tcW w:w="1612" w:type="dxa"/>
            <w:tcBorders>
              <w:top w:val="nil"/>
              <w:left w:val="nil"/>
              <w:bottom w:val="single" w:sz="4" w:space="0" w:color="auto"/>
              <w:right w:val="single" w:sz="4" w:space="0" w:color="auto"/>
            </w:tcBorders>
            <w:shd w:val="clear" w:color="000000" w:fill="FFFFFF"/>
            <w:noWrap/>
            <w:vAlign w:val="center"/>
            <w:hideMark/>
          </w:tcPr>
          <w:p w14:paraId="0F71B7C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37.755.022,22</w:t>
            </w:r>
          </w:p>
        </w:tc>
        <w:tc>
          <w:tcPr>
            <w:tcW w:w="1553" w:type="dxa"/>
            <w:tcBorders>
              <w:top w:val="nil"/>
              <w:left w:val="nil"/>
              <w:bottom w:val="single" w:sz="4" w:space="0" w:color="auto"/>
              <w:right w:val="single" w:sz="4" w:space="0" w:color="auto"/>
            </w:tcBorders>
            <w:shd w:val="clear" w:color="000000" w:fill="FFFFFF"/>
            <w:noWrap/>
            <w:vAlign w:val="center"/>
            <w:hideMark/>
          </w:tcPr>
          <w:p w14:paraId="18A43CF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16.669.598,86</w:t>
            </w:r>
          </w:p>
        </w:tc>
        <w:tc>
          <w:tcPr>
            <w:tcW w:w="955" w:type="dxa"/>
            <w:tcBorders>
              <w:top w:val="nil"/>
              <w:left w:val="nil"/>
              <w:bottom w:val="single" w:sz="4" w:space="0" w:color="auto"/>
              <w:right w:val="single" w:sz="4" w:space="0" w:color="auto"/>
            </w:tcBorders>
            <w:shd w:val="clear" w:color="000000" w:fill="FFFFFF"/>
            <w:noWrap/>
            <w:vAlign w:val="center"/>
            <w:hideMark/>
          </w:tcPr>
          <w:p w14:paraId="6FC28F6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w:t>
            </w:r>
          </w:p>
        </w:tc>
        <w:tc>
          <w:tcPr>
            <w:tcW w:w="1170" w:type="dxa"/>
            <w:tcBorders>
              <w:top w:val="nil"/>
              <w:left w:val="nil"/>
              <w:bottom w:val="single" w:sz="4" w:space="0" w:color="auto"/>
              <w:right w:val="single" w:sz="4" w:space="0" w:color="auto"/>
            </w:tcBorders>
            <w:shd w:val="clear" w:color="000000" w:fill="FFFFFF"/>
            <w:noWrap/>
            <w:vAlign w:val="center"/>
            <w:hideMark/>
          </w:tcPr>
          <w:p w14:paraId="1603BEC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55,85</w:t>
            </w:r>
          </w:p>
        </w:tc>
        <w:tc>
          <w:tcPr>
            <w:tcW w:w="1111" w:type="dxa"/>
            <w:tcBorders>
              <w:top w:val="nil"/>
              <w:left w:val="nil"/>
              <w:bottom w:val="single" w:sz="4" w:space="0" w:color="auto"/>
              <w:right w:val="single" w:sz="4" w:space="0" w:color="auto"/>
            </w:tcBorders>
            <w:shd w:val="clear" w:color="000000" w:fill="FFFFFF"/>
            <w:noWrap/>
            <w:vAlign w:val="center"/>
            <w:hideMark/>
          </w:tcPr>
          <w:p w14:paraId="28B9BA4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35,85</w:t>
            </w:r>
          </w:p>
        </w:tc>
      </w:tr>
      <w:tr w:rsidR="00F56356" w:rsidRPr="00F56356" w14:paraId="15905380"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416B354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943</w:t>
            </w:r>
          </w:p>
        </w:tc>
        <w:tc>
          <w:tcPr>
            <w:tcW w:w="1612" w:type="dxa"/>
            <w:tcBorders>
              <w:top w:val="nil"/>
              <w:left w:val="nil"/>
              <w:bottom w:val="single" w:sz="4" w:space="0" w:color="auto"/>
              <w:right w:val="single" w:sz="4" w:space="0" w:color="auto"/>
            </w:tcBorders>
            <w:shd w:val="clear" w:color="000000" w:fill="FFFFFF"/>
            <w:noWrap/>
            <w:vAlign w:val="center"/>
            <w:hideMark/>
          </w:tcPr>
          <w:p w14:paraId="48E6E79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60.000.000,00</w:t>
            </w:r>
          </w:p>
        </w:tc>
        <w:tc>
          <w:tcPr>
            <w:tcW w:w="1553" w:type="dxa"/>
            <w:tcBorders>
              <w:top w:val="nil"/>
              <w:left w:val="nil"/>
              <w:bottom w:val="single" w:sz="4" w:space="0" w:color="auto"/>
              <w:right w:val="single" w:sz="4" w:space="0" w:color="auto"/>
            </w:tcBorders>
            <w:shd w:val="clear" w:color="000000" w:fill="FFFFFF"/>
            <w:noWrap/>
            <w:vAlign w:val="center"/>
            <w:hideMark/>
          </w:tcPr>
          <w:p w14:paraId="5D4F51B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60.000.000,00</w:t>
            </w:r>
          </w:p>
        </w:tc>
        <w:tc>
          <w:tcPr>
            <w:tcW w:w="955" w:type="dxa"/>
            <w:tcBorders>
              <w:top w:val="nil"/>
              <w:left w:val="nil"/>
              <w:bottom w:val="single" w:sz="4" w:space="0" w:color="auto"/>
              <w:right w:val="single" w:sz="4" w:space="0" w:color="auto"/>
            </w:tcBorders>
            <w:shd w:val="clear" w:color="000000" w:fill="FFFFFF"/>
            <w:noWrap/>
            <w:vAlign w:val="center"/>
            <w:hideMark/>
          </w:tcPr>
          <w:p w14:paraId="46FDB1D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0" w:type="dxa"/>
            <w:tcBorders>
              <w:top w:val="nil"/>
              <w:left w:val="nil"/>
              <w:bottom w:val="single" w:sz="4" w:space="0" w:color="auto"/>
              <w:right w:val="single" w:sz="4" w:space="0" w:color="auto"/>
            </w:tcBorders>
            <w:shd w:val="clear" w:color="000000" w:fill="FFFFFF"/>
            <w:noWrap/>
            <w:vAlign w:val="center"/>
            <w:hideMark/>
          </w:tcPr>
          <w:p w14:paraId="0D9D5ED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11" w:type="dxa"/>
            <w:tcBorders>
              <w:top w:val="nil"/>
              <w:left w:val="nil"/>
              <w:bottom w:val="single" w:sz="4" w:space="0" w:color="auto"/>
              <w:right w:val="single" w:sz="4" w:space="0" w:color="auto"/>
            </w:tcBorders>
            <w:shd w:val="clear" w:color="000000" w:fill="FFFFFF"/>
            <w:noWrap/>
            <w:vAlign w:val="center"/>
            <w:hideMark/>
          </w:tcPr>
          <w:p w14:paraId="694BA1F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30D30C5E"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5CE00AC6"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987</w:t>
            </w:r>
          </w:p>
        </w:tc>
        <w:tc>
          <w:tcPr>
            <w:tcW w:w="1612" w:type="dxa"/>
            <w:tcBorders>
              <w:top w:val="nil"/>
              <w:left w:val="nil"/>
              <w:bottom w:val="single" w:sz="4" w:space="0" w:color="auto"/>
              <w:right w:val="single" w:sz="4" w:space="0" w:color="auto"/>
            </w:tcBorders>
            <w:shd w:val="clear" w:color="000000" w:fill="FFFFFF"/>
            <w:noWrap/>
            <w:vAlign w:val="center"/>
            <w:hideMark/>
          </w:tcPr>
          <w:p w14:paraId="1A0A2D6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5.230.875,82</w:t>
            </w:r>
          </w:p>
        </w:tc>
        <w:tc>
          <w:tcPr>
            <w:tcW w:w="1553" w:type="dxa"/>
            <w:tcBorders>
              <w:top w:val="nil"/>
              <w:left w:val="nil"/>
              <w:bottom w:val="single" w:sz="4" w:space="0" w:color="auto"/>
              <w:right w:val="single" w:sz="4" w:space="0" w:color="auto"/>
            </w:tcBorders>
            <w:shd w:val="clear" w:color="000000" w:fill="FFFFFF"/>
            <w:noWrap/>
            <w:vAlign w:val="center"/>
            <w:hideMark/>
          </w:tcPr>
          <w:p w14:paraId="137C188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4.404.550,20</w:t>
            </w:r>
          </w:p>
        </w:tc>
        <w:tc>
          <w:tcPr>
            <w:tcW w:w="955" w:type="dxa"/>
            <w:tcBorders>
              <w:top w:val="nil"/>
              <w:left w:val="nil"/>
              <w:bottom w:val="single" w:sz="4" w:space="0" w:color="auto"/>
              <w:right w:val="single" w:sz="4" w:space="0" w:color="auto"/>
            </w:tcBorders>
            <w:shd w:val="clear" w:color="000000" w:fill="FFFFFF"/>
            <w:noWrap/>
            <w:vAlign w:val="center"/>
            <w:hideMark/>
          </w:tcPr>
          <w:p w14:paraId="1AC63D5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50</w:t>
            </w:r>
          </w:p>
        </w:tc>
        <w:tc>
          <w:tcPr>
            <w:tcW w:w="1170" w:type="dxa"/>
            <w:tcBorders>
              <w:top w:val="nil"/>
              <w:left w:val="nil"/>
              <w:bottom w:val="single" w:sz="4" w:space="0" w:color="auto"/>
              <w:right w:val="single" w:sz="4" w:space="0" w:color="auto"/>
            </w:tcBorders>
            <w:shd w:val="clear" w:color="000000" w:fill="FFFFFF"/>
            <w:noWrap/>
            <w:vAlign w:val="center"/>
            <w:hideMark/>
          </w:tcPr>
          <w:p w14:paraId="422C69A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15,80</w:t>
            </w:r>
          </w:p>
        </w:tc>
        <w:tc>
          <w:tcPr>
            <w:tcW w:w="1111" w:type="dxa"/>
            <w:tcBorders>
              <w:top w:val="nil"/>
              <w:left w:val="nil"/>
              <w:bottom w:val="single" w:sz="4" w:space="0" w:color="auto"/>
              <w:right w:val="single" w:sz="4" w:space="0" w:color="auto"/>
            </w:tcBorders>
            <w:shd w:val="clear" w:color="000000" w:fill="FFFFFF"/>
            <w:noWrap/>
            <w:vAlign w:val="center"/>
            <w:hideMark/>
          </w:tcPr>
          <w:p w14:paraId="3CDE223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-34,20</w:t>
            </w:r>
          </w:p>
        </w:tc>
      </w:tr>
      <w:tr w:rsidR="00F56356" w:rsidRPr="00F56356" w14:paraId="257FB7C1" w14:textId="77777777" w:rsidTr="00F56356">
        <w:trPr>
          <w:trHeight w:val="240"/>
          <w:jc w:val="center"/>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14:paraId="2B8E461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988</w:t>
            </w:r>
          </w:p>
        </w:tc>
        <w:tc>
          <w:tcPr>
            <w:tcW w:w="1612" w:type="dxa"/>
            <w:tcBorders>
              <w:top w:val="nil"/>
              <w:left w:val="nil"/>
              <w:bottom w:val="single" w:sz="4" w:space="0" w:color="auto"/>
              <w:right w:val="single" w:sz="4" w:space="0" w:color="auto"/>
            </w:tcBorders>
            <w:shd w:val="clear" w:color="000000" w:fill="FFFFFF"/>
            <w:noWrap/>
            <w:vAlign w:val="center"/>
            <w:hideMark/>
          </w:tcPr>
          <w:p w14:paraId="0C22E4CD"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5.400.000,00</w:t>
            </w:r>
          </w:p>
        </w:tc>
        <w:tc>
          <w:tcPr>
            <w:tcW w:w="1553" w:type="dxa"/>
            <w:tcBorders>
              <w:top w:val="nil"/>
              <w:left w:val="nil"/>
              <w:bottom w:val="single" w:sz="4" w:space="0" w:color="auto"/>
              <w:right w:val="single" w:sz="4" w:space="0" w:color="auto"/>
            </w:tcBorders>
            <w:shd w:val="clear" w:color="000000" w:fill="FFFFFF"/>
            <w:noWrap/>
            <w:vAlign w:val="center"/>
            <w:hideMark/>
          </w:tcPr>
          <w:p w14:paraId="31B0522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5.400.000,00</w:t>
            </w:r>
          </w:p>
        </w:tc>
        <w:tc>
          <w:tcPr>
            <w:tcW w:w="955" w:type="dxa"/>
            <w:tcBorders>
              <w:top w:val="nil"/>
              <w:left w:val="nil"/>
              <w:bottom w:val="single" w:sz="4" w:space="0" w:color="auto"/>
              <w:right w:val="single" w:sz="4" w:space="0" w:color="auto"/>
            </w:tcBorders>
            <w:shd w:val="clear" w:color="000000" w:fill="FFFFFF"/>
            <w:noWrap/>
            <w:vAlign w:val="center"/>
            <w:hideMark/>
          </w:tcPr>
          <w:p w14:paraId="544C9F8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70" w:type="dxa"/>
            <w:tcBorders>
              <w:top w:val="nil"/>
              <w:left w:val="nil"/>
              <w:bottom w:val="single" w:sz="4" w:space="0" w:color="auto"/>
              <w:right w:val="single" w:sz="4" w:space="0" w:color="auto"/>
            </w:tcBorders>
            <w:shd w:val="clear" w:color="000000" w:fill="FFFFFF"/>
            <w:noWrap/>
            <w:vAlign w:val="center"/>
            <w:hideMark/>
          </w:tcPr>
          <w:p w14:paraId="1A90AD1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11" w:type="dxa"/>
            <w:tcBorders>
              <w:top w:val="nil"/>
              <w:left w:val="nil"/>
              <w:bottom w:val="single" w:sz="4" w:space="0" w:color="auto"/>
              <w:right w:val="single" w:sz="4" w:space="0" w:color="auto"/>
            </w:tcBorders>
            <w:shd w:val="clear" w:color="000000" w:fill="FFFFFF"/>
            <w:noWrap/>
            <w:vAlign w:val="center"/>
            <w:hideMark/>
          </w:tcPr>
          <w:p w14:paraId="3B4D749E"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1F8D94D0" w14:textId="77777777" w:rsidTr="00F56356">
        <w:trPr>
          <w:trHeight w:val="315"/>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FB91F3C"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612" w:type="dxa"/>
            <w:tcBorders>
              <w:top w:val="nil"/>
              <w:left w:val="nil"/>
              <w:bottom w:val="single" w:sz="4" w:space="0" w:color="auto"/>
              <w:right w:val="single" w:sz="4" w:space="0" w:color="auto"/>
            </w:tcBorders>
            <w:shd w:val="clear" w:color="auto" w:fill="auto"/>
            <w:noWrap/>
            <w:vAlign w:val="center"/>
            <w:hideMark/>
          </w:tcPr>
          <w:p w14:paraId="6BF01C82"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108.385.898,04</w:t>
            </w:r>
          </w:p>
        </w:tc>
        <w:tc>
          <w:tcPr>
            <w:tcW w:w="1553" w:type="dxa"/>
            <w:tcBorders>
              <w:top w:val="nil"/>
              <w:left w:val="nil"/>
              <w:bottom w:val="single" w:sz="4" w:space="0" w:color="auto"/>
              <w:right w:val="single" w:sz="4" w:space="0" w:color="auto"/>
            </w:tcBorders>
            <w:shd w:val="clear" w:color="auto" w:fill="auto"/>
            <w:noWrap/>
            <w:vAlign w:val="center"/>
            <w:hideMark/>
          </w:tcPr>
          <w:p w14:paraId="75828DA7"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86.474.149,06</w:t>
            </w:r>
          </w:p>
        </w:tc>
        <w:tc>
          <w:tcPr>
            <w:tcW w:w="955" w:type="dxa"/>
            <w:tcBorders>
              <w:top w:val="nil"/>
              <w:left w:val="nil"/>
              <w:bottom w:val="nil"/>
              <w:right w:val="nil"/>
            </w:tcBorders>
            <w:shd w:val="clear" w:color="auto" w:fill="auto"/>
            <w:noWrap/>
            <w:vAlign w:val="center"/>
            <w:hideMark/>
          </w:tcPr>
          <w:p w14:paraId="2C81253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70" w:type="dxa"/>
            <w:tcBorders>
              <w:top w:val="nil"/>
              <w:left w:val="nil"/>
              <w:bottom w:val="nil"/>
              <w:right w:val="nil"/>
            </w:tcBorders>
            <w:shd w:val="clear" w:color="auto" w:fill="auto"/>
            <w:noWrap/>
            <w:vAlign w:val="center"/>
            <w:hideMark/>
          </w:tcPr>
          <w:p w14:paraId="717CCDC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11" w:type="dxa"/>
            <w:tcBorders>
              <w:top w:val="nil"/>
              <w:left w:val="nil"/>
              <w:bottom w:val="nil"/>
              <w:right w:val="nil"/>
            </w:tcBorders>
            <w:shd w:val="clear" w:color="auto" w:fill="auto"/>
            <w:noWrap/>
            <w:vAlign w:val="center"/>
            <w:hideMark/>
          </w:tcPr>
          <w:p w14:paraId="5BEFF4C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1592BD57" w14:textId="77777777" w:rsidR="00F56356" w:rsidRPr="00F56356" w:rsidRDefault="00F56356" w:rsidP="00F56356">
      <w:pPr>
        <w:tabs>
          <w:tab w:val="left" w:pos="9639"/>
        </w:tabs>
        <w:spacing w:after="0" w:line="360" w:lineRule="auto"/>
        <w:jc w:val="center"/>
        <w:rPr>
          <w:rFonts w:eastAsia="Times New Roman"/>
          <w:b/>
          <w:color w:val="000000" w:themeColor="text1"/>
          <w:sz w:val="6"/>
          <w:szCs w:val="24"/>
          <w:lang w:eastAsia="it-IT"/>
        </w:rPr>
      </w:pPr>
    </w:p>
    <w:p w14:paraId="39767AE9" w14:textId="77777777" w:rsidR="00F56356" w:rsidRPr="00F56356" w:rsidRDefault="00F56356" w:rsidP="00F56356">
      <w:pPr>
        <w:tabs>
          <w:tab w:val="left" w:pos="9639"/>
        </w:tabs>
        <w:spacing w:after="0" w:line="360" w:lineRule="auto"/>
        <w:jc w:val="center"/>
        <w:rPr>
          <w:rFonts w:eastAsia="Times New Roman"/>
          <w:b/>
          <w:color w:val="000000" w:themeColor="text1"/>
          <w:sz w:val="6"/>
          <w:szCs w:val="24"/>
          <w:lang w:eastAsia="it-IT"/>
        </w:rPr>
      </w:pPr>
    </w:p>
    <w:p w14:paraId="1156215A" w14:textId="77777777" w:rsidR="00F56356" w:rsidRPr="00F56356" w:rsidRDefault="00F56356" w:rsidP="00F56356">
      <w:pPr>
        <w:tabs>
          <w:tab w:val="left" w:pos="9639"/>
        </w:tabs>
        <w:spacing w:after="0" w:line="360" w:lineRule="auto"/>
        <w:jc w:val="center"/>
        <w:rPr>
          <w:rFonts w:eastAsia="Times New Roman"/>
          <w:b/>
          <w:color w:val="000000" w:themeColor="text1"/>
          <w:sz w:val="6"/>
          <w:szCs w:val="24"/>
          <w:lang w:eastAsia="it-IT"/>
        </w:rPr>
      </w:pPr>
    </w:p>
    <w:p w14:paraId="304A31F8" w14:textId="77777777" w:rsidR="00F56356" w:rsidRPr="00F56356" w:rsidRDefault="00F56356" w:rsidP="00F56356">
      <w:pPr>
        <w:tabs>
          <w:tab w:val="left" w:pos="9639"/>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 </w:t>
      </w:r>
      <w:r w:rsidRPr="00F56356">
        <w:rPr>
          <w:rFonts w:ascii="Times New Roman" w:eastAsia="Times New Roman" w:hAnsi="Times New Roman" w:cs="Times New Roman"/>
          <w:color w:val="000000" w:themeColor="text1"/>
          <w:sz w:val="24"/>
          <w:szCs w:val="24"/>
          <w:lang w:eastAsia="it-IT"/>
        </w:rPr>
        <w:t>Le risorse impegnate pari a euro 626.177.972,29 sono state destinate per euro 82.339,93 al funzionamento, per euro 354.195.424,39 agli interventi e per euro 271.900.207,97 alle spese in conto capitale.</w:t>
      </w:r>
    </w:p>
    <w:p w14:paraId="296BBA62"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14"/>
          <w:szCs w:val="24"/>
          <w:lang w:eastAsia="it-IT"/>
        </w:rPr>
      </w:pPr>
    </w:p>
    <w:p w14:paraId="24D9F96D"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 82.339,93 si riferiscono al rimborso delle spese per missioni sul territorio nazionale e all’estero</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e alle spese per la diaria di soggiorno del Sottosegretario e del Ministro, in quanto membri di Governo non parlamentari (cap. 425).   </w:t>
      </w:r>
    </w:p>
    <w:p w14:paraId="59428A6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68C5BB3C"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r w:rsidRPr="00F56356">
        <w:rPr>
          <w:rFonts w:eastAsia="Times New Roman"/>
          <w:noProof/>
          <w:sz w:val="28"/>
          <w:szCs w:val="28"/>
          <w:lang w:eastAsia="it-IT"/>
        </w:rPr>
        <w:lastRenderedPageBreak/>
        <w:drawing>
          <wp:anchor distT="0" distB="0" distL="114300" distR="114300" simplePos="0" relativeHeight="251720704" behindDoc="1" locked="0" layoutInCell="1" allowOverlap="1" wp14:anchorId="001EBEB3" wp14:editId="36869040">
            <wp:simplePos x="0" y="0"/>
            <wp:positionH relativeFrom="margin">
              <wp:align>right</wp:align>
            </wp:positionH>
            <wp:positionV relativeFrom="paragraph">
              <wp:posOffset>261620</wp:posOffset>
            </wp:positionV>
            <wp:extent cx="6009640" cy="1134110"/>
            <wp:effectExtent l="0" t="0" r="0" b="8890"/>
            <wp:wrapTight wrapText="bothSides">
              <wp:wrapPolygon edited="0">
                <wp:start x="0" y="0"/>
                <wp:lineTo x="0" y="21406"/>
                <wp:lineTo x="11914" y="21406"/>
                <wp:lineTo x="21431" y="18141"/>
                <wp:lineTo x="21500" y="17415"/>
                <wp:lineTo x="21226" y="17053"/>
                <wp:lineTo x="21500" y="14876"/>
                <wp:lineTo x="21500" y="10159"/>
                <wp:lineTo x="21157" y="5805"/>
                <wp:lineTo x="21431" y="5805"/>
                <wp:lineTo x="21500" y="4354"/>
                <wp:lineTo x="21500" y="0"/>
                <wp:lineTo x="0" y="0"/>
              </wp:wrapPolygon>
            </wp:wrapTight>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09640" cy="113411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Indicatori di bilancio</w:t>
      </w:r>
    </w:p>
    <w:p w14:paraId="04ACD0C1" w14:textId="77777777" w:rsidR="00F56356" w:rsidRPr="00F56356" w:rsidRDefault="00F56356" w:rsidP="00F56356">
      <w:pPr>
        <w:spacing w:after="0" w:line="360" w:lineRule="auto"/>
        <w:jc w:val="center"/>
        <w:rPr>
          <w:rFonts w:eastAsia="Times New Roman"/>
          <w:color w:val="FF0000"/>
          <w:sz w:val="10"/>
          <w:szCs w:val="24"/>
          <w:lang w:eastAsia="it-IT"/>
        </w:rPr>
      </w:pPr>
    </w:p>
    <w:p w14:paraId="74D13B6D" w14:textId="77777777" w:rsidR="00F56356" w:rsidRPr="00F56356" w:rsidRDefault="00F56356" w:rsidP="00F56356">
      <w:pPr>
        <w:autoSpaceDE w:val="0"/>
        <w:autoSpaceDN w:val="0"/>
        <w:adjustRightInd w:val="0"/>
        <w:spacing w:after="0" w:line="240" w:lineRule="auto"/>
        <w:ind w:left="-567" w:right="-284"/>
        <w:jc w:val="both"/>
        <w:rPr>
          <w:rFonts w:ascii="Times New Roman" w:eastAsia="Times New Roman" w:hAnsi="Times New Roman" w:cs="Times New Roman"/>
          <w:color w:val="FF0000"/>
          <w:sz w:val="18"/>
          <w:szCs w:val="18"/>
          <w:lang w:eastAsia="it-IT"/>
        </w:rPr>
      </w:pPr>
    </w:p>
    <w:p w14:paraId="19E1B119"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p>
    <w:p w14:paraId="0253C02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Le risorse impegnate per gli interventi di euro 354.195.424,39, di cui euro 651.384,14 riferiti a reiscrizioni di residui passivi perenti, sono state destinate:</w:t>
      </w:r>
    </w:p>
    <w:p w14:paraId="61FFA19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 “</w:t>
      </w:r>
      <w:r w:rsidRPr="00F56356">
        <w:rPr>
          <w:rFonts w:ascii="Times New Roman" w:eastAsia="Times New Roman" w:hAnsi="Times New Roman" w:cs="Times New Roman"/>
          <w:i/>
          <w:color w:val="000000" w:themeColor="text1"/>
          <w:sz w:val="24"/>
          <w:szCs w:val="24"/>
          <w:lang w:eastAsia="it-IT"/>
        </w:rPr>
        <w:t>Somme assegnate alla Presidenza del Consiglio dei ministri per lo sviluppo di eventi sportivi di rilevanza nazionale ed internazionale</w:t>
      </w:r>
      <w:r w:rsidRPr="00F56356">
        <w:rPr>
          <w:rFonts w:ascii="Times New Roman" w:eastAsia="Times New Roman" w:hAnsi="Times New Roman" w:cs="Times New Roman"/>
          <w:color w:val="000000" w:themeColor="text1"/>
          <w:sz w:val="24"/>
          <w:szCs w:val="24"/>
          <w:lang w:eastAsia="it-IT"/>
        </w:rPr>
        <w:t>” (cap. 429)</w:t>
      </w:r>
      <w:r w:rsidRPr="00F56356">
        <w:rPr>
          <w:rFonts w:eastAsia="Times New Roman"/>
          <w:sz w:val="28"/>
          <w:szCs w:val="28"/>
          <w:lang w:eastAsia="it-IT"/>
        </w:rPr>
        <w:t xml:space="preserve"> </w:t>
      </w:r>
    </w:p>
    <w:p w14:paraId="26E6D64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14.422.454,00 a favore della Federazione Italiana Tennis per l’organizzazione degli ATP </w:t>
      </w:r>
      <w:proofErr w:type="spellStart"/>
      <w:r w:rsidRPr="00F56356">
        <w:rPr>
          <w:rFonts w:ascii="Times New Roman" w:eastAsia="Times New Roman" w:hAnsi="Times New Roman" w:cs="Times New Roman"/>
          <w:color w:val="000000" w:themeColor="text1"/>
          <w:sz w:val="24"/>
          <w:szCs w:val="24"/>
          <w:lang w:eastAsia="it-IT"/>
        </w:rPr>
        <w:t>finals</w:t>
      </w:r>
      <w:proofErr w:type="spellEnd"/>
      <w:r w:rsidRPr="00F56356">
        <w:rPr>
          <w:rFonts w:ascii="Times New Roman" w:eastAsia="Times New Roman" w:hAnsi="Times New Roman" w:cs="Times New Roman"/>
          <w:color w:val="000000" w:themeColor="text1"/>
          <w:sz w:val="24"/>
          <w:szCs w:val="24"/>
          <w:lang w:eastAsia="it-IT"/>
        </w:rPr>
        <w:t xml:space="preserve"> 2021-2025. L’intera somma stanziata è stata impegnata e pagata in conto competenza;</w:t>
      </w:r>
    </w:p>
    <w:p w14:paraId="00B74A0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 xml:space="preserve">Fondo per ristoro spese sanitarie Covid-19 ai sensi dell’art. 10, comma 3 del </w:t>
      </w:r>
      <w:proofErr w:type="spellStart"/>
      <w:r w:rsidRPr="00F56356">
        <w:rPr>
          <w:rFonts w:ascii="Times New Roman" w:eastAsia="Times New Roman" w:hAnsi="Times New Roman" w:cs="Times New Roman"/>
          <w:i/>
          <w:color w:val="000000" w:themeColor="text1"/>
          <w:sz w:val="24"/>
          <w:szCs w:val="24"/>
          <w:lang w:eastAsia="it-IT"/>
        </w:rPr>
        <w:t>d.l.</w:t>
      </w:r>
      <w:proofErr w:type="spellEnd"/>
      <w:r w:rsidRPr="00F56356">
        <w:rPr>
          <w:rFonts w:ascii="Times New Roman" w:eastAsia="Times New Roman" w:hAnsi="Times New Roman" w:cs="Times New Roman"/>
          <w:i/>
          <w:color w:val="000000" w:themeColor="text1"/>
          <w:sz w:val="24"/>
          <w:szCs w:val="24"/>
          <w:lang w:eastAsia="it-IT"/>
        </w:rPr>
        <w:t xml:space="preserve"> 73/2021”</w:t>
      </w:r>
      <w:r w:rsidRPr="00F56356">
        <w:rPr>
          <w:rFonts w:ascii="Times New Roman" w:eastAsia="Times New Roman" w:hAnsi="Times New Roman" w:cs="Times New Roman"/>
          <w:color w:val="000000" w:themeColor="text1"/>
          <w:sz w:val="24"/>
          <w:szCs w:val="24"/>
          <w:lang w:eastAsia="it-IT"/>
        </w:rPr>
        <w:t xml:space="preserve"> (cap. 430)</w:t>
      </w:r>
    </w:p>
    <w:p w14:paraId="129F6EB2"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23.066.616,61 a favore delle associazioni e delle società sportive dilettantistiche e professionistiche come rimborso per le spese sanitarie e di sanificazione sostenute durante lo stato di emergenza causato dall’epidemia di Covid-19; </w:t>
      </w:r>
      <w:bookmarkStart w:id="63" w:name="_Hlk132275839"/>
    </w:p>
    <w:bookmarkEnd w:id="63"/>
    <w:p w14:paraId="0966641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“S</w:t>
      </w:r>
      <w:r w:rsidRPr="00F56356">
        <w:rPr>
          <w:rFonts w:ascii="Times New Roman" w:eastAsia="Times New Roman" w:hAnsi="Times New Roman" w:cs="Times New Roman"/>
          <w:i/>
          <w:color w:val="000000" w:themeColor="text1"/>
          <w:sz w:val="24"/>
          <w:szCs w:val="24"/>
          <w:lang w:eastAsia="it-IT"/>
        </w:rPr>
        <w:t xml:space="preserve">omme assegnate alla Presidenza del Consiglio dei ministri per la lotta all’emarginazione sociale attraverso lo sport” </w:t>
      </w:r>
      <w:r w:rsidRPr="00F56356">
        <w:rPr>
          <w:rFonts w:ascii="Times New Roman" w:eastAsia="Times New Roman" w:hAnsi="Times New Roman" w:cs="Times New Roman"/>
          <w:color w:val="000000" w:themeColor="text1"/>
          <w:sz w:val="24"/>
          <w:szCs w:val="24"/>
          <w:lang w:eastAsia="it-IT"/>
        </w:rPr>
        <w:t>(cap. 433)</w:t>
      </w:r>
    </w:p>
    <w:p w14:paraId="381A283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659.416,29, di cui euro 21.500,00 riferiti a reiscrizioni di residui passivi perenti, all’erogazione di contributi relativi a progetti presentati da soggetti pubblici o privati senza scopo di lucro a fronte di convenzioni stipulate con i soggetti beneficiari;</w:t>
      </w:r>
    </w:p>
    <w:p w14:paraId="5E84EEF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Spese per la realizzazione di progetti ed interventi in materia di sport anche in collaborazione con amministrazioni pubbliche</w:t>
      </w:r>
      <w:r w:rsidRPr="00F56356">
        <w:rPr>
          <w:rFonts w:ascii="Times New Roman" w:eastAsia="Times New Roman" w:hAnsi="Times New Roman" w:cs="Times New Roman"/>
          <w:color w:val="000000" w:themeColor="text1"/>
          <w:sz w:val="24"/>
          <w:szCs w:val="24"/>
          <w:lang w:eastAsia="it-IT"/>
        </w:rPr>
        <w:t>” (cap. 436)</w:t>
      </w:r>
    </w:p>
    <w:p w14:paraId="2CCFCE46"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27.000,00 riferiti a reiscrizioni di residui passivi perenti;  </w:t>
      </w:r>
    </w:p>
    <w:p w14:paraId="3B291FC8"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e) “</w:t>
      </w:r>
      <w:r w:rsidRPr="00F56356">
        <w:rPr>
          <w:rFonts w:ascii="Times New Roman" w:eastAsia="Times New Roman" w:hAnsi="Times New Roman" w:cs="Times New Roman"/>
          <w:i/>
          <w:color w:val="000000" w:themeColor="text1"/>
          <w:sz w:val="24"/>
          <w:szCs w:val="24"/>
          <w:lang w:eastAsia="it-IT"/>
        </w:rPr>
        <w:t>Spese per la realizzazione di progetti europei in materia di sport”</w:t>
      </w:r>
      <w:r w:rsidRPr="00F56356">
        <w:rPr>
          <w:rFonts w:ascii="Times New Roman" w:eastAsia="Times New Roman" w:hAnsi="Times New Roman" w:cs="Times New Roman"/>
          <w:color w:val="000000" w:themeColor="text1"/>
          <w:sz w:val="24"/>
          <w:szCs w:val="24"/>
          <w:lang w:eastAsia="it-IT"/>
        </w:rPr>
        <w:t xml:space="preserve"> (cap. 437)</w:t>
      </w:r>
    </w:p>
    <w:p w14:paraId="33B5190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167.232,82 al pagamento della quota annuale di adesione dell’Italia all’EPAS, comitato del Consiglio d’Europa; </w:t>
      </w:r>
    </w:p>
    <w:p w14:paraId="458D94BB"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f) “</w:t>
      </w:r>
      <w:r w:rsidRPr="00F56356">
        <w:rPr>
          <w:rFonts w:ascii="Times New Roman" w:eastAsia="Times New Roman" w:hAnsi="Times New Roman" w:cs="Times New Roman"/>
          <w:i/>
          <w:color w:val="000000" w:themeColor="text1"/>
          <w:sz w:val="24"/>
          <w:szCs w:val="24"/>
          <w:lang w:eastAsia="it-IT"/>
        </w:rPr>
        <w:t xml:space="preserve">Contributi relativi alla quota del 5 per mille dell’imposta sul reddito delle persone fisiche da destinare alle associazioni sportive dilettantistiche ammesse ai benefici di cui all’art. 3, comma 5, lettera c-bis) della legge 24 dicembre 2007, n. 244 e successive modificazioni ed integrazioni” </w:t>
      </w:r>
      <w:r w:rsidRPr="00F56356">
        <w:rPr>
          <w:rFonts w:ascii="Times New Roman" w:eastAsia="Times New Roman" w:hAnsi="Times New Roman" w:cs="Times New Roman"/>
          <w:color w:val="000000" w:themeColor="text1"/>
          <w:sz w:val="24"/>
          <w:szCs w:val="24"/>
          <w:lang w:eastAsia="it-IT"/>
        </w:rPr>
        <w:t>(cap. 813)</w:t>
      </w:r>
    </w:p>
    <w:p w14:paraId="638FA173"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euro 16.788.104,14, di cui euro 602.884,14 riferiti a reiscrizioni di residui passivi perenti, alle associazioni sportive dilettantistiche ammesse ai benefici, di cui all’articolo 3, comma 5, lettera </w:t>
      </w:r>
      <w:r w:rsidRPr="00F56356">
        <w:rPr>
          <w:rFonts w:ascii="Times New Roman" w:eastAsia="Times New Roman" w:hAnsi="Times New Roman" w:cs="Times New Roman"/>
          <w:iCs/>
          <w:color w:val="000000" w:themeColor="text1"/>
          <w:sz w:val="24"/>
          <w:szCs w:val="24"/>
          <w:lang w:eastAsia="it-IT"/>
        </w:rPr>
        <w:t xml:space="preserve">c-bis), </w:t>
      </w:r>
      <w:r w:rsidRPr="00F56356">
        <w:rPr>
          <w:rFonts w:ascii="Times New Roman" w:eastAsia="Times New Roman" w:hAnsi="Times New Roman" w:cs="Times New Roman"/>
          <w:color w:val="000000" w:themeColor="text1"/>
          <w:sz w:val="24"/>
          <w:szCs w:val="24"/>
          <w:lang w:eastAsia="it-IT"/>
        </w:rPr>
        <w:t xml:space="preserve">della legge 24 dicembre 2007, n. 244 e successive modifiche e integrazioni; </w:t>
      </w:r>
    </w:p>
    <w:p w14:paraId="1831989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 “</w:t>
      </w:r>
      <w:r w:rsidRPr="00F56356">
        <w:rPr>
          <w:rFonts w:ascii="Times New Roman" w:eastAsia="Times New Roman" w:hAnsi="Times New Roman" w:cs="Times New Roman"/>
          <w:i/>
          <w:color w:val="000000" w:themeColor="text1"/>
          <w:sz w:val="24"/>
          <w:szCs w:val="24"/>
          <w:lang w:eastAsia="it-IT"/>
        </w:rPr>
        <w:t xml:space="preserve">Somme da trasferire all’ACI” </w:t>
      </w:r>
      <w:r w:rsidRPr="00F56356">
        <w:rPr>
          <w:rFonts w:ascii="Times New Roman" w:eastAsia="Times New Roman" w:hAnsi="Times New Roman" w:cs="Times New Roman"/>
          <w:color w:val="000000" w:themeColor="text1"/>
          <w:sz w:val="24"/>
          <w:szCs w:val="24"/>
          <w:lang w:eastAsia="it-IT"/>
        </w:rPr>
        <w:t>(cap. 814)</w:t>
      </w:r>
    </w:p>
    <w:p w14:paraId="41B87EB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242.791,00 al pagamento degli stipendi di n. 2 unità di personale di qualifica dirigenziale in mobilità dall’ENIT;</w:t>
      </w:r>
    </w:p>
    <w:p w14:paraId="5DE2682E" w14:textId="77777777" w:rsidR="00F56356" w:rsidRPr="00F56356" w:rsidRDefault="00F56356" w:rsidP="00F56356">
      <w:pPr>
        <w:spacing w:after="0" w:line="360" w:lineRule="auto"/>
        <w:ind w:left="284" w:right="816"/>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h) “</w:t>
      </w:r>
      <w:r w:rsidRPr="00F56356">
        <w:rPr>
          <w:rFonts w:ascii="Times New Roman" w:eastAsia="Times New Roman" w:hAnsi="Times New Roman" w:cs="Times New Roman"/>
          <w:i/>
          <w:color w:val="000000" w:themeColor="text1"/>
          <w:sz w:val="24"/>
          <w:szCs w:val="24"/>
          <w:lang w:eastAsia="it-IT"/>
        </w:rPr>
        <w:t>Fondo per il professionismo per gli sport femminili</w:t>
      </w:r>
      <w:r w:rsidRPr="00F56356">
        <w:rPr>
          <w:rFonts w:ascii="Times New Roman" w:eastAsia="Times New Roman" w:hAnsi="Times New Roman" w:cs="Times New Roman"/>
          <w:color w:val="000000" w:themeColor="text1"/>
          <w:sz w:val="24"/>
          <w:szCs w:val="24"/>
          <w:lang w:eastAsia="it-IT"/>
        </w:rPr>
        <w:t>” (cap. 815)</w:t>
      </w:r>
    </w:p>
    <w:p w14:paraId="51C398E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3.900.000,00 a favore della Federazione sportiva FIGC, unica federazione che ha deliberato il passaggio al professionismo femminile; </w:t>
      </w:r>
    </w:p>
    <w:p w14:paraId="57CDE13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w:t>
      </w:r>
      <w:r w:rsidRPr="00F56356">
        <w:rPr>
          <w:rFonts w:ascii="Times New Roman" w:eastAsia="Times New Roman" w:hAnsi="Times New Roman" w:cs="Times New Roman"/>
          <w:i/>
          <w:color w:val="000000" w:themeColor="text1"/>
          <w:sz w:val="24"/>
          <w:szCs w:val="24"/>
          <w:lang w:eastAsia="it-IT"/>
        </w:rPr>
        <w:t>Fondo per il sostegno ai gestori di impianti natatori</w:t>
      </w:r>
      <w:r w:rsidRPr="00F56356">
        <w:rPr>
          <w:rFonts w:ascii="Times New Roman" w:eastAsia="Times New Roman" w:hAnsi="Times New Roman" w:cs="Times New Roman"/>
          <w:color w:val="000000" w:themeColor="text1"/>
          <w:sz w:val="24"/>
          <w:szCs w:val="24"/>
          <w:lang w:eastAsia="it-IT"/>
        </w:rPr>
        <w:t>” (cap. 816)</w:t>
      </w:r>
    </w:p>
    <w:p w14:paraId="1045A1C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29.988.000,00 alle ASD e SSD che gestiscono impianti natatori come contributo a fondo perduto per far fronte ai diminuiti ricavi dovuti alle limitazioni introdotte per fronteggiare l’emergenza</w:t>
      </w:r>
      <w:r w:rsidRPr="00F56356">
        <w:rPr>
          <w:rFonts w:eastAsia="Times New Roman"/>
          <w:sz w:val="28"/>
          <w:szCs w:val="28"/>
          <w:lang w:eastAsia="it-IT"/>
        </w:rPr>
        <w:t xml:space="preserve"> </w:t>
      </w:r>
      <w:r w:rsidRPr="00F56356">
        <w:rPr>
          <w:rFonts w:ascii="Times New Roman" w:eastAsia="Times New Roman" w:hAnsi="Times New Roman" w:cs="Times New Roman"/>
          <w:color w:val="000000" w:themeColor="text1"/>
          <w:sz w:val="24"/>
          <w:szCs w:val="24"/>
          <w:lang w:eastAsia="it-IT"/>
        </w:rPr>
        <w:t xml:space="preserve">epidemiologica Covid-19;  </w:t>
      </w:r>
    </w:p>
    <w:p w14:paraId="5A5CC608"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l) “</w:t>
      </w:r>
      <w:r w:rsidRPr="00F56356">
        <w:rPr>
          <w:rFonts w:ascii="Times New Roman" w:eastAsia="Times New Roman" w:hAnsi="Times New Roman" w:cs="Times New Roman"/>
          <w:i/>
          <w:color w:val="000000" w:themeColor="text1"/>
          <w:sz w:val="24"/>
          <w:szCs w:val="24"/>
          <w:lang w:eastAsia="it-IT"/>
        </w:rPr>
        <w:t>Contributo per lo sviluppo, l’organizzazione e l’internazionalizzazione del progetto giro d’Italia giovani under 23</w:t>
      </w:r>
      <w:r w:rsidRPr="00F56356">
        <w:rPr>
          <w:rFonts w:ascii="Times New Roman" w:eastAsia="Times New Roman" w:hAnsi="Times New Roman" w:cs="Times New Roman"/>
          <w:color w:val="000000" w:themeColor="text1"/>
          <w:sz w:val="24"/>
          <w:szCs w:val="24"/>
          <w:lang w:eastAsia="it-IT"/>
        </w:rPr>
        <w:t>” (cap. 818)</w:t>
      </w:r>
    </w:p>
    <w:p w14:paraId="34260037" w14:textId="77777777" w:rsidR="00F56356" w:rsidRPr="00F56356" w:rsidRDefault="00F56356" w:rsidP="00F56356">
      <w:pPr>
        <w:spacing w:after="0" w:line="360" w:lineRule="auto"/>
        <w:ind w:left="284"/>
        <w:jc w:val="both"/>
        <w:rPr>
          <w:rFonts w:ascii="Times New Roman" w:eastAsia="Times New Roman" w:hAnsi="Times New Roman" w:cs="Times New Roman"/>
          <w:color w:val="FF0000"/>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600.000,00 quale contributo in favore degli organizzatori del Giro d’Italia under-23; </w:t>
      </w:r>
    </w:p>
    <w:p w14:paraId="30E3199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m) “</w:t>
      </w:r>
      <w:r w:rsidRPr="00F56356">
        <w:rPr>
          <w:rFonts w:ascii="Times New Roman" w:eastAsia="Times New Roman" w:hAnsi="Times New Roman" w:cs="Times New Roman"/>
          <w:i/>
          <w:color w:val="000000" w:themeColor="text1"/>
          <w:sz w:val="24"/>
          <w:szCs w:val="24"/>
          <w:lang w:eastAsia="it-IT"/>
        </w:rPr>
        <w:t>Fondo unico per il sostegno delle associazioni e società sportive dilettantistiche”</w:t>
      </w:r>
      <w:r w:rsidRPr="00F56356">
        <w:rPr>
          <w:rFonts w:ascii="Times New Roman" w:eastAsia="Times New Roman" w:hAnsi="Times New Roman" w:cs="Times New Roman"/>
          <w:color w:val="000000" w:themeColor="text1"/>
          <w:sz w:val="24"/>
          <w:szCs w:val="24"/>
          <w:lang w:eastAsia="it-IT"/>
        </w:rPr>
        <w:t xml:space="preserve"> (cap. 841)</w:t>
      </w:r>
    </w:p>
    <w:p w14:paraId="135AA1D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39.915.748,90 al sostegno delle associazioni sportive dilettantistiche e delle società sportive dilettantistiche in seguito alla emergenza epidemiologica Covid-19;</w:t>
      </w:r>
    </w:p>
    <w:p w14:paraId="17003823"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n) “</w:t>
      </w:r>
      <w:r w:rsidRPr="00F56356">
        <w:rPr>
          <w:rFonts w:ascii="Times New Roman" w:eastAsia="Times New Roman" w:hAnsi="Times New Roman" w:cs="Times New Roman"/>
          <w:i/>
          <w:color w:val="000000" w:themeColor="text1"/>
          <w:sz w:val="24"/>
          <w:szCs w:val="24"/>
          <w:lang w:eastAsia="it-IT"/>
        </w:rPr>
        <w:t xml:space="preserve">Fondo a sostegno del potenziamento del movimento sportivo italiano” </w:t>
      </w:r>
      <w:r w:rsidRPr="00F56356">
        <w:rPr>
          <w:rFonts w:ascii="Times New Roman" w:eastAsia="Times New Roman" w:hAnsi="Times New Roman" w:cs="Times New Roman"/>
          <w:color w:val="000000" w:themeColor="text1"/>
          <w:sz w:val="24"/>
          <w:szCs w:val="24"/>
          <w:lang w:eastAsia="it-IT"/>
        </w:rPr>
        <w:t>(cap. 846)</w:t>
      </w:r>
    </w:p>
    <w:p w14:paraId="7E76479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99.928.598,97 all’acquisto di ausili per lo sport da destinare all’avviamento delle persone disabili all’esercizio della pratica sportiva, al sostegno della maternità delle atlete, alla realizzazione di eventi sportivi di rilevanza internazionale, nonché di eventi sportivi femminili di rilevanza nazionale e internazionale, ad attività volte a garantire il diritto all’esercizio della pratica sportiva quale insopprimibile forma di svolgimento della  personalità  del  minore,  anche  attraverso  la realizzazione di  campagne  di  sensibilizzazione e all’erogazione di contributi a fondo perduto in favore di organismi sportivi;</w:t>
      </w:r>
    </w:p>
    <w:p w14:paraId="1AA47000" w14:textId="77777777" w:rsidR="00F56356" w:rsidRPr="00F56356" w:rsidRDefault="00F56356" w:rsidP="00F56356">
      <w:pPr>
        <w:spacing w:after="0" w:line="360" w:lineRule="auto"/>
        <w:ind w:left="284" w:right="816"/>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o) “</w:t>
      </w:r>
      <w:r w:rsidRPr="00F56356">
        <w:rPr>
          <w:rFonts w:ascii="Times New Roman" w:eastAsia="Times New Roman" w:hAnsi="Times New Roman" w:cs="Times New Roman"/>
          <w:i/>
          <w:color w:val="000000" w:themeColor="text1"/>
          <w:sz w:val="24"/>
          <w:szCs w:val="24"/>
          <w:lang w:eastAsia="it-IT"/>
        </w:rPr>
        <w:t>Fondo per la promozione dell’attività sportiva di base nei territori</w:t>
      </w:r>
      <w:r w:rsidRPr="00F56356">
        <w:rPr>
          <w:rFonts w:ascii="Times New Roman" w:eastAsia="Times New Roman" w:hAnsi="Times New Roman" w:cs="Times New Roman"/>
          <w:color w:val="000000" w:themeColor="text1"/>
          <w:sz w:val="24"/>
          <w:szCs w:val="24"/>
          <w:lang w:eastAsia="it-IT"/>
        </w:rPr>
        <w:t>” (cap. 849)</w:t>
      </w:r>
    </w:p>
    <w:p w14:paraId="3169804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116.773.118,35 a progetti e programmi per promuovere l’attività sportiva di base, anche tramite protocolli con altre pubbliche amministrazioni;</w:t>
      </w:r>
    </w:p>
    <w:p w14:paraId="3769DF55"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p) “</w:t>
      </w:r>
      <w:r w:rsidRPr="00F56356">
        <w:rPr>
          <w:rFonts w:ascii="Times New Roman" w:eastAsia="Times New Roman" w:hAnsi="Times New Roman" w:cs="Times New Roman"/>
          <w:i/>
          <w:color w:val="000000" w:themeColor="text1"/>
          <w:sz w:val="24"/>
          <w:szCs w:val="24"/>
          <w:lang w:eastAsia="it-IT"/>
        </w:rPr>
        <w:t xml:space="preserve">Contributo alla Fondazione Internazionale – Agenzia Mondiale Antidoping – per la promozione della lotta al doping” </w:t>
      </w:r>
      <w:r w:rsidRPr="00F56356">
        <w:rPr>
          <w:rFonts w:ascii="Times New Roman" w:eastAsia="Times New Roman" w:hAnsi="Times New Roman" w:cs="Times New Roman"/>
          <w:color w:val="000000" w:themeColor="text1"/>
          <w:sz w:val="24"/>
          <w:szCs w:val="24"/>
          <w:lang w:eastAsia="it-IT"/>
        </w:rPr>
        <w:t>(cap. 850)</w:t>
      </w:r>
    </w:p>
    <w:p w14:paraId="73A98FAD"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1.074.413,32 all’Agenzia Mondiale Antidoping quale contributo italiano per la promozione della lotta al doping per l’anno 2022; </w:t>
      </w:r>
    </w:p>
    <w:p w14:paraId="4AF9CAD8"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q) “</w:t>
      </w:r>
      <w:r w:rsidRPr="00F56356">
        <w:rPr>
          <w:rFonts w:ascii="Times New Roman" w:eastAsia="Times New Roman" w:hAnsi="Times New Roman" w:cs="Times New Roman"/>
          <w:i/>
          <w:color w:val="000000" w:themeColor="text1"/>
          <w:sz w:val="24"/>
          <w:szCs w:val="24"/>
          <w:lang w:eastAsia="it-IT"/>
        </w:rPr>
        <w:t xml:space="preserve">Somma da erogare per l’attribuzione dell’assegno straordinario vitalizio intitolato Giulio Onesti” </w:t>
      </w:r>
      <w:r w:rsidRPr="00F56356">
        <w:rPr>
          <w:rFonts w:ascii="Times New Roman" w:eastAsia="Times New Roman" w:hAnsi="Times New Roman" w:cs="Times New Roman"/>
          <w:color w:val="000000" w:themeColor="text1"/>
          <w:sz w:val="24"/>
          <w:szCs w:val="24"/>
          <w:lang w:eastAsia="it-IT"/>
        </w:rPr>
        <w:t>(cap. 851)</w:t>
      </w:r>
    </w:p>
    <w:p w14:paraId="6BE7A8F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725.927,53 al pagamento dell’assegno vitalizio Giulio Onesti per atleti, in disagiate condizioni economiche, che hanno dato lustro alla Patria;</w:t>
      </w:r>
    </w:p>
    <w:p w14:paraId="314B0106"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r) </w:t>
      </w:r>
      <w:r w:rsidRPr="00F56356">
        <w:rPr>
          <w:rFonts w:ascii="Times New Roman" w:eastAsia="Times New Roman" w:hAnsi="Times New Roman" w:cs="Times New Roman"/>
          <w:i/>
          <w:iCs/>
          <w:color w:val="000000" w:themeColor="text1"/>
          <w:sz w:val="24"/>
          <w:szCs w:val="24"/>
          <w:lang w:eastAsia="it-IT"/>
        </w:rPr>
        <w:t xml:space="preserve">“Fondo da destinare ad interventi a favore delle società sportive dilettantistiche” </w:t>
      </w:r>
      <w:r w:rsidRPr="00F56356">
        <w:rPr>
          <w:rFonts w:ascii="Times New Roman" w:eastAsia="Times New Roman" w:hAnsi="Times New Roman" w:cs="Times New Roman"/>
          <w:color w:val="000000" w:themeColor="text1"/>
          <w:sz w:val="24"/>
          <w:szCs w:val="24"/>
          <w:lang w:eastAsia="it-IT"/>
        </w:rPr>
        <w:t>(cap. 852)</w:t>
      </w:r>
    </w:p>
    <w:p w14:paraId="25731A9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5.281.510,00 al finanziamento degli interventi a favore delle società sportive dilettantistiche che hanno partecipato ad un bando pubblico e sono risultate idonee al contributo a fronte di una graduatoria pubblicata sul sito istituzionale; </w:t>
      </w:r>
    </w:p>
    <w:p w14:paraId="4BD11EA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 </w:t>
      </w:r>
      <w:r w:rsidRPr="00F56356">
        <w:rPr>
          <w:rFonts w:ascii="Times New Roman" w:eastAsia="Times New Roman" w:hAnsi="Times New Roman" w:cs="Times New Roman"/>
          <w:i/>
          <w:iCs/>
          <w:color w:val="000000" w:themeColor="text1"/>
          <w:sz w:val="24"/>
          <w:szCs w:val="24"/>
          <w:lang w:eastAsia="it-IT"/>
        </w:rPr>
        <w:t>“Contributo in favore degli organizzatori di eventi del campionato del mondo MotoGP”</w:t>
      </w:r>
      <w:r w:rsidRPr="00F56356">
        <w:rPr>
          <w:rFonts w:ascii="Times New Roman" w:eastAsia="Times New Roman" w:hAnsi="Times New Roman" w:cs="Times New Roman"/>
          <w:color w:val="000000" w:themeColor="text1"/>
          <w:sz w:val="24"/>
          <w:szCs w:val="24"/>
          <w:lang w:eastAsia="it-IT"/>
        </w:rPr>
        <w:t xml:space="preserve"> (cap. 855)</w:t>
      </w:r>
    </w:p>
    <w:p w14:paraId="3090CA4D" w14:textId="77777777" w:rsidR="00F56356" w:rsidRPr="00F56356" w:rsidRDefault="00F56356" w:rsidP="00F56356">
      <w:pPr>
        <w:spacing w:after="0" w:line="360" w:lineRule="auto"/>
        <w:ind w:left="284"/>
        <w:jc w:val="both"/>
        <w:rPr>
          <w:rFonts w:eastAsia="Times New Roman"/>
          <w:color w:val="FF0000"/>
          <w:sz w:val="28"/>
          <w:szCs w:val="28"/>
          <w:lang w:eastAsia="it-IT"/>
        </w:rPr>
      </w:pPr>
      <w:r w:rsidRPr="00F56356">
        <w:rPr>
          <w:rFonts w:ascii="Times New Roman" w:eastAsia="Times New Roman" w:hAnsi="Times New Roman" w:cs="Times New Roman"/>
          <w:color w:val="000000" w:themeColor="text1"/>
          <w:sz w:val="24"/>
          <w:szCs w:val="24"/>
          <w:lang w:eastAsia="it-IT"/>
        </w:rPr>
        <w:t>- euro 634.492,46 alla realizzazione di eventi del campionato del mondo di MotoGP, in particolare agli organizzatori interessati dalle chiusure e limitazioni in tema di accesso del pubblico a causa dell’emergenza Covid-19.</w:t>
      </w:r>
    </w:p>
    <w:p w14:paraId="3DADAE36" w14:textId="77777777" w:rsidR="00F56356" w:rsidRPr="00F56356" w:rsidRDefault="00F56356" w:rsidP="00F56356">
      <w:pPr>
        <w:spacing w:after="0" w:line="360" w:lineRule="auto"/>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21728" behindDoc="1" locked="0" layoutInCell="1" allowOverlap="1" wp14:anchorId="6358BC12" wp14:editId="5E33D814">
            <wp:simplePos x="0" y="0"/>
            <wp:positionH relativeFrom="margin">
              <wp:align>right</wp:align>
            </wp:positionH>
            <wp:positionV relativeFrom="paragraph">
              <wp:posOffset>266065</wp:posOffset>
            </wp:positionV>
            <wp:extent cx="6019165" cy="3768090"/>
            <wp:effectExtent l="0" t="0" r="635" b="3810"/>
            <wp:wrapTight wrapText="bothSides">
              <wp:wrapPolygon edited="0">
                <wp:start x="0" y="0"/>
                <wp:lineTo x="0" y="21513"/>
                <wp:lineTo x="11963" y="21513"/>
                <wp:lineTo x="11963" y="20967"/>
                <wp:lineTo x="18253" y="20967"/>
                <wp:lineTo x="21534" y="20421"/>
                <wp:lineTo x="21534" y="3058"/>
                <wp:lineTo x="21192" y="1747"/>
                <wp:lineTo x="21466" y="1747"/>
                <wp:lineTo x="21534" y="1310"/>
                <wp:lineTo x="21534" y="0"/>
                <wp:lineTo x="0" y="0"/>
              </wp:wrapPolygon>
            </wp:wrapTight>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19165" cy="376809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 xml:space="preserve">Indicatori di bilancio </w:t>
      </w:r>
    </w:p>
    <w:p w14:paraId="4B0116F9" w14:textId="77777777" w:rsidR="00F56356" w:rsidRPr="00F56356" w:rsidRDefault="00F56356" w:rsidP="00F56356">
      <w:pPr>
        <w:tabs>
          <w:tab w:val="left" w:pos="567"/>
        </w:tabs>
        <w:spacing w:after="0" w:line="360" w:lineRule="auto"/>
        <w:jc w:val="center"/>
        <w:rPr>
          <w:rFonts w:ascii="Times New Roman" w:eastAsia="Times New Roman" w:hAnsi="Times New Roman" w:cs="Times New Roman"/>
          <w:b/>
          <w:color w:val="FF0000"/>
          <w:sz w:val="24"/>
          <w:szCs w:val="24"/>
          <w:lang w:eastAsia="it-IT"/>
        </w:rPr>
      </w:pPr>
    </w:p>
    <w:p w14:paraId="03DB21A2" w14:textId="4C3FA454" w:rsidR="00F56356" w:rsidRDefault="00F56356" w:rsidP="00F56356">
      <w:pPr>
        <w:tabs>
          <w:tab w:val="left" w:pos="567"/>
        </w:tabs>
        <w:spacing w:after="0" w:line="360" w:lineRule="auto"/>
        <w:jc w:val="center"/>
        <w:rPr>
          <w:rFonts w:ascii="Times New Roman" w:eastAsia="Times New Roman" w:hAnsi="Times New Roman" w:cs="Times New Roman"/>
          <w:b/>
          <w:color w:val="FF0000"/>
          <w:sz w:val="24"/>
          <w:szCs w:val="24"/>
          <w:lang w:eastAsia="it-IT"/>
        </w:rPr>
      </w:pPr>
    </w:p>
    <w:p w14:paraId="409003E8" w14:textId="6FF2A981" w:rsidR="0043213C" w:rsidRDefault="0043213C" w:rsidP="00F56356">
      <w:pPr>
        <w:tabs>
          <w:tab w:val="left" w:pos="567"/>
        </w:tabs>
        <w:spacing w:after="0" w:line="360" w:lineRule="auto"/>
        <w:jc w:val="center"/>
        <w:rPr>
          <w:rFonts w:ascii="Times New Roman" w:eastAsia="Times New Roman" w:hAnsi="Times New Roman" w:cs="Times New Roman"/>
          <w:b/>
          <w:color w:val="FF0000"/>
          <w:sz w:val="24"/>
          <w:szCs w:val="24"/>
          <w:lang w:eastAsia="it-IT"/>
        </w:rPr>
      </w:pPr>
    </w:p>
    <w:p w14:paraId="4B5DABFB" w14:textId="639B883C" w:rsidR="0043213C" w:rsidRDefault="0043213C" w:rsidP="00F56356">
      <w:pPr>
        <w:tabs>
          <w:tab w:val="left" w:pos="567"/>
        </w:tabs>
        <w:spacing w:after="0" w:line="360" w:lineRule="auto"/>
        <w:jc w:val="center"/>
        <w:rPr>
          <w:rFonts w:ascii="Times New Roman" w:eastAsia="Times New Roman" w:hAnsi="Times New Roman" w:cs="Times New Roman"/>
          <w:b/>
          <w:color w:val="FF0000"/>
          <w:sz w:val="24"/>
          <w:szCs w:val="24"/>
          <w:lang w:eastAsia="it-IT"/>
        </w:rPr>
      </w:pPr>
    </w:p>
    <w:p w14:paraId="60C64DA5" w14:textId="329DA9B4" w:rsidR="0043213C" w:rsidRDefault="0043213C" w:rsidP="00F56356">
      <w:pPr>
        <w:tabs>
          <w:tab w:val="left" w:pos="567"/>
        </w:tabs>
        <w:spacing w:after="0" w:line="360" w:lineRule="auto"/>
        <w:jc w:val="center"/>
        <w:rPr>
          <w:rFonts w:ascii="Times New Roman" w:eastAsia="Times New Roman" w:hAnsi="Times New Roman" w:cs="Times New Roman"/>
          <w:b/>
          <w:color w:val="FF0000"/>
          <w:sz w:val="24"/>
          <w:szCs w:val="24"/>
          <w:lang w:eastAsia="it-IT"/>
        </w:rPr>
      </w:pPr>
    </w:p>
    <w:p w14:paraId="65843468" w14:textId="77777777" w:rsidR="0043213C" w:rsidRPr="00F56356" w:rsidRDefault="0043213C" w:rsidP="00F56356">
      <w:pPr>
        <w:tabs>
          <w:tab w:val="left" w:pos="567"/>
        </w:tabs>
        <w:spacing w:after="0" w:line="360" w:lineRule="auto"/>
        <w:jc w:val="center"/>
        <w:rPr>
          <w:rFonts w:ascii="Times New Roman" w:eastAsia="Times New Roman" w:hAnsi="Times New Roman" w:cs="Times New Roman"/>
          <w:b/>
          <w:color w:val="FF0000"/>
          <w:sz w:val="24"/>
          <w:szCs w:val="24"/>
          <w:lang w:eastAsia="it-IT"/>
        </w:rPr>
      </w:pPr>
    </w:p>
    <w:p w14:paraId="08A5E8CB"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2.2.3</w:t>
      </w:r>
      <w:r w:rsidRPr="00F56356">
        <w:rPr>
          <w:rFonts w:ascii="Times New Roman" w:eastAsia="Times New Roman" w:hAnsi="Times New Roman" w:cs="Times New Roman"/>
          <w:color w:val="000000" w:themeColor="text1"/>
          <w:sz w:val="24"/>
          <w:szCs w:val="24"/>
          <w:lang w:eastAsia="it-IT"/>
        </w:rPr>
        <w:t xml:space="preserve"> Le risorse impegnate per le spese in conto capitale di euro 271.900.207,97, di cui euro 315.843,40 riferiti a reiscrizioni di residui passivi perenti, sono state destinate:   </w:t>
      </w:r>
    </w:p>
    <w:p w14:paraId="750BE8E7" w14:textId="1BDB67B4"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w:t>
      </w:r>
      <w:r w:rsidRPr="00F56356">
        <w:rPr>
          <w:rFonts w:ascii="Times New Roman" w:eastAsia="Times New Roman" w:hAnsi="Times New Roman" w:cs="Times New Roman"/>
          <w:i/>
          <w:color w:val="000000" w:themeColor="text1"/>
          <w:sz w:val="24"/>
          <w:szCs w:val="24"/>
          <w:lang w:eastAsia="it-IT"/>
        </w:rPr>
        <w:t>“Fondo sport e periferie</w:t>
      </w:r>
      <w:r w:rsidRPr="00F56356">
        <w:rPr>
          <w:rFonts w:ascii="Times New Roman" w:eastAsia="Times New Roman" w:hAnsi="Times New Roman" w:cs="Times New Roman"/>
          <w:color w:val="000000" w:themeColor="text1"/>
          <w:sz w:val="24"/>
          <w:szCs w:val="24"/>
          <w:lang w:eastAsia="it-IT"/>
        </w:rPr>
        <w:t>” (cap. 937)</w:t>
      </w:r>
    </w:p>
    <w:p w14:paraId="64F2D0B0"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112.795.449,07 ai soggetti beneficiari del bando “Sport e periferie 2020” e “Sport e periferie 2022” per la realizzazione di interventi da finanziare nell’ambito delle risorse di cui all’articolo 1, comma 362, della legge 27 dicembre 2017, n. 205; </w:t>
      </w:r>
    </w:p>
    <w:p w14:paraId="523CE9FF"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b) “</w:t>
      </w:r>
      <w:r w:rsidRPr="00F56356">
        <w:rPr>
          <w:rFonts w:ascii="Times New Roman" w:eastAsia="Times New Roman" w:hAnsi="Times New Roman" w:cs="Times New Roman"/>
          <w:i/>
          <w:color w:val="000000" w:themeColor="text1"/>
          <w:sz w:val="24"/>
          <w:szCs w:val="24"/>
          <w:lang w:eastAsia="it-IT"/>
        </w:rPr>
        <w:t>Fondi da destinare alla realizzazione di opere connesse agli impianti sportivi delle Olimpiadi invernali 2026”</w:t>
      </w:r>
      <w:r w:rsidRPr="00F56356">
        <w:rPr>
          <w:rFonts w:ascii="Times New Roman" w:eastAsia="Times New Roman" w:hAnsi="Times New Roman" w:cs="Times New Roman"/>
          <w:color w:val="000000" w:themeColor="text1"/>
          <w:sz w:val="24"/>
          <w:szCs w:val="24"/>
          <w:lang w:eastAsia="it-IT"/>
        </w:rPr>
        <w:t xml:space="preserve"> (cap. 944)</w:t>
      </w:r>
    </w:p>
    <w:p w14:paraId="05E9B15C"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 euro 105.000.000,00 al finanziamento di interventi sugli impianti sportivi, connessi al dossier di candidatura delle Olimpiadi invernali Milano-Cortina 2026; </w:t>
      </w:r>
    </w:p>
    <w:p w14:paraId="7145C21A"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w:t>
      </w:r>
      <w:r w:rsidRPr="00F56356">
        <w:rPr>
          <w:rFonts w:ascii="Times New Roman" w:eastAsia="Times New Roman" w:hAnsi="Times New Roman" w:cs="Times New Roman"/>
          <w:i/>
          <w:color w:val="000000" w:themeColor="text1"/>
          <w:sz w:val="24"/>
          <w:szCs w:val="24"/>
          <w:lang w:eastAsia="it-IT"/>
        </w:rPr>
        <w:t>“Investimenti per la realizzazione di eventi sportivi internazionali - riparto fondo investimenti 2020, art.1, comma 14, legge n. 160 del 2019</w:t>
      </w:r>
      <w:r w:rsidRPr="00F56356">
        <w:rPr>
          <w:rFonts w:ascii="Times New Roman" w:eastAsia="Times New Roman" w:hAnsi="Times New Roman" w:cs="Times New Roman"/>
          <w:color w:val="000000" w:themeColor="text1"/>
          <w:sz w:val="24"/>
          <w:szCs w:val="24"/>
          <w:lang w:eastAsia="it-IT"/>
        </w:rPr>
        <w:t>” (cap. 946)</w:t>
      </w:r>
    </w:p>
    <w:p w14:paraId="1C345BAE" w14:textId="77777777" w:rsidR="00F56356" w:rsidRPr="00F56356" w:rsidRDefault="00F56356" w:rsidP="00F56356">
      <w:pPr>
        <w:tabs>
          <w:tab w:val="left" w:pos="567"/>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12.400.000,00 al finanziamento di opere connesse agli europei di nuoto Roma 2022 e agli europei di atletica Roma 2024;</w:t>
      </w:r>
    </w:p>
    <w:p w14:paraId="1FADDBFC" w14:textId="77777777" w:rsidR="00F56356" w:rsidRPr="00F56356" w:rsidRDefault="00F56356" w:rsidP="00F56356">
      <w:pPr>
        <w:tabs>
          <w:tab w:val="center" w:pos="4819"/>
          <w:tab w:val="right" w:pos="9638"/>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d) “</w:t>
      </w:r>
      <w:r w:rsidRPr="00F56356">
        <w:rPr>
          <w:rFonts w:ascii="Times New Roman" w:eastAsia="Times New Roman" w:hAnsi="Times New Roman" w:cs="Times New Roman"/>
          <w:i/>
          <w:color w:val="000000" w:themeColor="text1"/>
          <w:sz w:val="24"/>
          <w:szCs w:val="24"/>
          <w:lang w:eastAsia="it-IT"/>
        </w:rPr>
        <w:t xml:space="preserve">Mutui relativi ad interventi di cui alla legge n. 65/1987 e successive modificazioni ed integrazioni” </w:t>
      </w:r>
      <w:r w:rsidRPr="00F56356">
        <w:rPr>
          <w:rFonts w:ascii="Times New Roman" w:eastAsia="Times New Roman" w:hAnsi="Times New Roman" w:cs="Times New Roman"/>
          <w:color w:val="000000" w:themeColor="text1"/>
          <w:sz w:val="24"/>
          <w:szCs w:val="24"/>
          <w:lang w:eastAsia="it-IT"/>
        </w:rPr>
        <w:t>(cap. 987)</w:t>
      </w:r>
    </w:p>
    <w:p w14:paraId="6BDD07B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41.704.758,90, di cui euro 315.843,40 riferiti a reiscrizioni di residui passivi perenti, quale contributo per i mutui accesi dai comuni e dagli enti locali per la realizzazione, la messa a norma e il completamento di impianti sportivi. </w:t>
      </w:r>
    </w:p>
    <w:p w14:paraId="197F02E1" w14:textId="77777777" w:rsidR="00F56356" w:rsidRPr="00F56356" w:rsidRDefault="00F56356" w:rsidP="00F56356">
      <w:pPr>
        <w:spacing w:after="0" w:line="360" w:lineRule="auto"/>
        <w:ind w:left="284"/>
        <w:jc w:val="center"/>
        <w:rPr>
          <w:rFonts w:ascii="Times New Roman" w:eastAsia="Times New Roman" w:hAnsi="Times New Roman" w:cs="Times New Roman"/>
          <w:color w:val="FF0000"/>
          <w:sz w:val="6"/>
          <w:szCs w:val="24"/>
          <w:lang w:eastAsia="it-IT"/>
        </w:rPr>
      </w:pPr>
    </w:p>
    <w:p w14:paraId="389E3925" w14:textId="77777777" w:rsidR="00F56356" w:rsidRPr="00F56356" w:rsidRDefault="00F56356" w:rsidP="00F56356">
      <w:pPr>
        <w:spacing w:after="0" w:line="360" w:lineRule="auto"/>
        <w:ind w:left="284"/>
        <w:jc w:val="center"/>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22752" behindDoc="1" locked="0" layoutInCell="1" allowOverlap="1" wp14:anchorId="05F5536E" wp14:editId="2F8E6679">
            <wp:simplePos x="0" y="0"/>
            <wp:positionH relativeFrom="margin">
              <wp:align>right</wp:align>
            </wp:positionH>
            <wp:positionV relativeFrom="paragraph">
              <wp:posOffset>265430</wp:posOffset>
            </wp:positionV>
            <wp:extent cx="6019800" cy="1719580"/>
            <wp:effectExtent l="0" t="0" r="0" b="0"/>
            <wp:wrapTight wrapText="bothSides">
              <wp:wrapPolygon edited="0">
                <wp:start x="0" y="0"/>
                <wp:lineTo x="0" y="21297"/>
                <wp:lineTo x="11962" y="21297"/>
                <wp:lineTo x="11962" y="19143"/>
                <wp:lineTo x="21532" y="19143"/>
                <wp:lineTo x="21532" y="6700"/>
                <wp:lineTo x="21190" y="3829"/>
                <wp:lineTo x="21463" y="3829"/>
                <wp:lineTo x="21532" y="2871"/>
                <wp:lineTo x="21532" y="0"/>
                <wp:lineTo x="0" y="0"/>
              </wp:wrapPolygon>
            </wp:wrapTight>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19800" cy="171958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sz w:val="24"/>
          <w:szCs w:val="24"/>
          <w:lang w:eastAsia="it-IT"/>
        </w:rPr>
        <w:t xml:space="preserve">Indicatori di bilancio </w:t>
      </w:r>
    </w:p>
    <w:p w14:paraId="29031E41" w14:textId="77777777" w:rsidR="00F56356" w:rsidRPr="00F56356" w:rsidRDefault="00F56356" w:rsidP="00F56356">
      <w:pPr>
        <w:tabs>
          <w:tab w:val="left" w:pos="567"/>
        </w:tabs>
        <w:spacing w:after="0" w:line="360" w:lineRule="auto"/>
        <w:contextualSpacing/>
        <w:jc w:val="center"/>
        <w:rPr>
          <w:rFonts w:ascii="Times New Roman" w:eastAsia="Calibri" w:hAnsi="Times New Roman" w:cs="Times New Roman"/>
          <w:color w:val="FF0000"/>
          <w:sz w:val="24"/>
          <w:szCs w:val="24"/>
        </w:rPr>
      </w:pPr>
    </w:p>
    <w:p w14:paraId="77AC66F9"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FF0000"/>
          <w:sz w:val="24"/>
          <w:szCs w:val="24"/>
        </w:rPr>
      </w:pPr>
    </w:p>
    <w:p w14:paraId="47E999E7" w14:textId="77777777" w:rsidR="00F56356" w:rsidRPr="00F56356" w:rsidRDefault="00F56356" w:rsidP="00F56356">
      <w:pPr>
        <w:tabs>
          <w:tab w:val="left" w:pos="567"/>
        </w:tabs>
        <w:spacing w:after="0" w:line="360" w:lineRule="auto"/>
        <w:ind w:left="284"/>
        <w:contextualSpacing/>
        <w:jc w:val="both"/>
        <w:rPr>
          <w:rFonts w:ascii="Times New Roman" w:eastAsia="Calibri" w:hAnsi="Times New Roman" w:cs="Times New Roman"/>
          <w:color w:val="000000" w:themeColor="text1"/>
          <w:sz w:val="24"/>
          <w:szCs w:val="24"/>
        </w:rPr>
      </w:pPr>
      <w:r w:rsidRPr="00F56356">
        <w:rPr>
          <w:rFonts w:ascii="Times New Roman" w:eastAsia="Calibri" w:hAnsi="Times New Roman" w:cs="Times New Roman"/>
          <w:color w:val="000000" w:themeColor="text1"/>
          <w:sz w:val="24"/>
          <w:szCs w:val="24"/>
        </w:rPr>
        <w:t xml:space="preserve">Gli scostamenti tra gli indicatori di bilancio attesi e realizzati sono stati determinati: </w:t>
      </w:r>
    </w:p>
    <w:p w14:paraId="67C211C6" w14:textId="77777777" w:rsidR="00F56356" w:rsidRPr="00F56356" w:rsidRDefault="00F56356" w:rsidP="00F56356">
      <w:pPr>
        <w:spacing w:after="0" w:line="360" w:lineRule="auto"/>
        <w:ind w:left="284"/>
        <w:jc w:val="both"/>
        <w:rPr>
          <w:rFonts w:ascii="Times New Roman" w:eastAsia="Calibri" w:hAnsi="Times New Roman" w:cs="Times New Roman"/>
          <w:color w:val="000000" w:themeColor="text1"/>
          <w:sz w:val="24"/>
          <w:szCs w:val="24"/>
        </w:rPr>
      </w:pPr>
      <w:r w:rsidRPr="00F56356">
        <w:rPr>
          <w:rFonts w:ascii="Times New Roman" w:eastAsia="Times New Roman" w:hAnsi="Times New Roman" w:cs="Times New Roman"/>
          <w:color w:val="000000" w:themeColor="text1"/>
          <w:sz w:val="24"/>
          <w:szCs w:val="24"/>
          <w:lang w:eastAsia="it-IT"/>
        </w:rPr>
        <w:t xml:space="preserve">a) per il capitolo 815 - </w:t>
      </w:r>
      <w:r w:rsidRPr="00F56356">
        <w:rPr>
          <w:rFonts w:ascii="Times New Roman" w:eastAsia="Times New Roman" w:hAnsi="Times New Roman" w:cs="Times New Roman"/>
          <w:i/>
          <w:color w:val="000000" w:themeColor="text1"/>
          <w:sz w:val="24"/>
          <w:szCs w:val="24"/>
          <w:lang w:eastAsia="it-IT"/>
        </w:rPr>
        <w:t>Fondo per il professionismo per gli sport femminili,</w:t>
      </w:r>
      <w:r w:rsidRPr="00F56356">
        <w:rPr>
          <w:rFonts w:ascii="Times New Roman" w:eastAsia="Times New Roman" w:hAnsi="Times New Roman" w:cs="Times New Roman"/>
          <w:color w:val="000000" w:themeColor="text1"/>
          <w:sz w:val="24"/>
          <w:szCs w:val="24"/>
          <w:lang w:eastAsia="it-IT"/>
        </w:rPr>
        <w:t xml:space="preserve"> d</w:t>
      </w:r>
      <w:r w:rsidRPr="00F56356">
        <w:rPr>
          <w:rFonts w:ascii="Times New Roman" w:eastAsia="Calibri" w:hAnsi="Times New Roman" w:cs="Times New Roman"/>
          <w:color w:val="000000" w:themeColor="text1"/>
          <w:sz w:val="24"/>
          <w:szCs w:val="24"/>
        </w:rPr>
        <w:t xml:space="preserve">a un rallentamento nella rendicontazione delle spese sostenute per gli anni 2020 e 2021, essendo la FIGC l’unica federazione beneficiaria, con conseguente slittamento della stipula della convenzione per l’anno 2022 e relativo impegno di spesa; </w:t>
      </w:r>
    </w:p>
    <w:p w14:paraId="1B30D77C" w14:textId="77777777" w:rsidR="00F56356" w:rsidRPr="00F56356" w:rsidRDefault="00F56356" w:rsidP="00F56356">
      <w:pPr>
        <w:spacing w:after="0" w:line="360" w:lineRule="auto"/>
        <w:ind w:left="284"/>
        <w:jc w:val="both"/>
        <w:rPr>
          <w:rFonts w:ascii="Times New Roman" w:eastAsia="Calibri" w:hAnsi="Times New Roman" w:cs="Times New Roman"/>
          <w:color w:val="000000" w:themeColor="text1"/>
          <w:sz w:val="24"/>
          <w:szCs w:val="24"/>
        </w:rPr>
      </w:pPr>
      <w:r w:rsidRPr="00F56356">
        <w:rPr>
          <w:rFonts w:ascii="Times New Roman" w:eastAsia="Times New Roman" w:hAnsi="Times New Roman" w:cs="Times New Roman"/>
          <w:color w:val="000000" w:themeColor="text1"/>
          <w:sz w:val="24"/>
          <w:szCs w:val="24"/>
          <w:lang w:eastAsia="it-IT"/>
        </w:rPr>
        <w:t>b) per il capitolo 846 -</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i/>
          <w:color w:val="000000" w:themeColor="text1"/>
          <w:sz w:val="24"/>
          <w:szCs w:val="24"/>
          <w:lang w:eastAsia="it-IT"/>
        </w:rPr>
        <w:t>Fondo a sostegno del potenziamento del movimento sportivo italiano,</w:t>
      </w:r>
      <w:r w:rsidRPr="00F56356">
        <w:rPr>
          <w:rFonts w:ascii="Times New Roman" w:eastAsia="Times New Roman" w:hAnsi="Times New Roman" w:cs="Times New Roman"/>
          <w:color w:val="000000" w:themeColor="text1"/>
          <w:sz w:val="24"/>
          <w:szCs w:val="24"/>
          <w:lang w:eastAsia="it-IT"/>
        </w:rPr>
        <w:t xml:space="preserve"> d</w:t>
      </w:r>
      <w:r w:rsidRPr="00F56356">
        <w:rPr>
          <w:rFonts w:ascii="Times New Roman" w:eastAsia="Calibri" w:hAnsi="Times New Roman" w:cs="Times New Roman"/>
          <w:color w:val="000000" w:themeColor="text1"/>
          <w:sz w:val="24"/>
          <w:szCs w:val="24"/>
        </w:rPr>
        <w:t xml:space="preserve">al fatto che una parte ingente delle risorse sono state trasferite verso la fine del mese di dicembre 2022 </w:t>
      </w:r>
      <w:r w:rsidRPr="00F56356">
        <w:rPr>
          <w:rFonts w:ascii="Times New Roman" w:eastAsia="Calibri" w:hAnsi="Times New Roman" w:cs="Times New Roman"/>
          <w:color w:val="000000" w:themeColor="text1"/>
          <w:sz w:val="24"/>
          <w:szCs w:val="24"/>
        </w:rPr>
        <w:lastRenderedPageBreak/>
        <w:t>(decreti del Presidente del Consiglio dei ministri n. 680/</w:t>
      </w:r>
      <w:proofErr w:type="spellStart"/>
      <w:r w:rsidRPr="00F56356">
        <w:rPr>
          <w:rFonts w:ascii="Times New Roman" w:eastAsia="Calibri" w:hAnsi="Times New Roman" w:cs="Times New Roman"/>
          <w:color w:val="000000" w:themeColor="text1"/>
          <w:sz w:val="24"/>
          <w:szCs w:val="24"/>
        </w:rPr>
        <w:t>Bil</w:t>
      </w:r>
      <w:proofErr w:type="spellEnd"/>
      <w:r w:rsidRPr="00F56356">
        <w:rPr>
          <w:rFonts w:ascii="Times New Roman" w:eastAsia="Calibri" w:hAnsi="Times New Roman" w:cs="Times New Roman"/>
          <w:color w:val="000000" w:themeColor="text1"/>
          <w:sz w:val="24"/>
          <w:szCs w:val="24"/>
        </w:rPr>
        <w:t xml:space="preserve"> del 23 dicembre 2022 e n. 705/</w:t>
      </w:r>
      <w:proofErr w:type="spellStart"/>
      <w:r w:rsidRPr="00F56356">
        <w:rPr>
          <w:rFonts w:ascii="Times New Roman" w:eastAsia="Calibri" w:hAnsi="Times New Roman" w:cs="Times New Roman"/>
          <w:color w:val="000000" w:themeColor="text1"/>
          <w:sz w:val="24"/>
          <w:szCs w:val="24"/>
        </w:rPr>
        <w:t>Bil</w:t>
      </w:r>
      <w:proofErr w:type="spellEnd"/>
      <w:r w:rsidRPr="00F56356">
        <w:rPr>
          <w:rFonts w:ascii="Times New Roman" w:eastAsia="Calibri" w:hAnsi="Times New Roman" w:cs="Times New Roman"/>
          <w:color w:val="000000" w:themeColor="text1"/>
          <w:sz w:val="24"/>
          <w:szCs w:val="24"/>
        </w:rPr>
        <w:t xml:space="preserve"> del 30 dicembre 2022), rendendo impraticabile l’emanazione del decreto di riparto prescritto dalla norma istitutiva del Fondo. Inoltre, relativamente all’Avviso pubblico indirizzato ai gestori di impianti sportivi per l’erogazione di contributi a fondo perduto per fronteggiare l’emergenza dei rincari dei costi per l’approvvigionamento energetico, dal fatto che è tutt’ora in corso l’istruttoria delle istanze ricevute;</w:t>
      </w:r>
    </w:p>
    <w:p w14:paraId="3BC781D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c) per il capitolo 937- </w:t>
      </w:r>
      <w:r w:rsidRPr="00F56356">
        <w:rPr>
          <w:rFonts w:ascii="Times New Roman" w:eastAsia="Times New Roman" w:hAnsi="Times New Roman" w:cs="Times New Roman"/>
          <w:i/>
          <w:color w:val="000000" w:themeColor="text1"/>
          <w:sz w:val="24"/>
          <w:szCs w:val="24"/>
          <w:lang w:eastAsia="it-IT"/>
        </w:rPr>
        <w:t>Fondo sport e periferie,</w:t>
      </w:r>
      <w:r w:rsidRPr="00F56356">
        <w:rPr>
          <w:rFonts w:ascii="Times New Roman" w:eastAsia="Times New Roman" w:hAnsi="Times New Roman" w:cs="Times New Roman"/>
          <w:color w:val="000000" w:themeColor="text1"/>
          <w:sz w:val="24"/>
          <w:szCs w:val="24"/>
          <w:lang w:eastAsia="it-IT"/>
        </w:rPr>
        <w:t xml:space="preserve"> dal prolungamento dell’istruttoria relativa alle domande presentate per il bando 2022, tutt’ora in corso.</w:t>
      </w:r>
    </w:p>
    <w:p w14:paraId="6FCE08F9"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14"/>
          <w:szCs w:val="24"/>
          <w:lang w:eastAsia="it-IT"/>
        </w:rPr>
      </w:pPr>
    </w:p>
    <w:p w14:paraId="4E3B24CE"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Si evidenzia, inoltre, che:  </w:t>
      </w:r>
    </w:p>
    <w:p w14:paraId="4DFFBF7D" w14:textId="77777777" w:rsidR="00F56356" w:rsidRPr="00F56356" w:rsidRDefault="00F56356"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FF0000"/>
          <w:sz w:val="24"/>
          <w:szCs w:val="24"/>
          <w:lang w:eastAsia="it-IT"/>
        </w:rPr>
        <w:tab/>
        <w:t xml:space="preserve">   </w:t>
      </w:r>
      <w:r w:rsidRPr="00F56356">
        <w:rPr>
          <w:rFonts w:ascii="Times New Roman" w:eastAsia="Times New Roman" w:hAnsi="Times New Roman" w:cs="Times New Roman"/>
          <w:color w:val="000000" w:themeColor="text1"/>
          <w:sz w:val="24"/>
          <w:szCs w:val="24"/>
          <w:lang w:eastAsia="it-IT"/>
        </w:rPr>
        <w:t xml:space="preserve">a) per il capitolo 258 </w:t>
      </w:r>
      <w:r w:rsidRPr="00F56356">
        <w:rPr>
          <w:rFonts w:ascii="Times New Roman" w:eastAsia="Times New Roman" w:hAnsi="Times New Roman" w:cs="Times New Roman"/>
          <w:i/>
          <w:color w:val="000000" w:themeColor="text1"/>
          <w:sz w:val="24"/>
          <w:szCs w:val="24"/>
          <w:lang w:eastAsia="it-IT"/>
        </w:rPr>
        <w:t>- Spese per lo sviluppo e la promozione di eventi sportivi di rilevanza nazionale e internazionale,</w:t>
      </w:r>
      <w:r w:rsidRPr="00F56356">
        <w:rPr>
          <w:rFonts w:ascii="Times New Roman" w:eastAsia="Times New Roman" w:hAnsi="Times New Roman" w:cs="Times New Roman"/>
          <w:color w:val="000000" w:themeColor="text1"/>
          <w:sz w:val="24"/>
          <w:szCs w:val="24"/>
          <w:lang w:eastAsia="it-IT"/>
        </w:rPr>
        <w:t xml:space="preserve"> non è stato possibile assumere impegni di spesa in quanto le Regioni non hanno ancora formulato l’intesa preventiva all’attuazione del decreto di riparto del Fondo istituito ai sensi dell</w:t>
      </w:r>
      <w:r w:rsidRPr="00F56356">
        <w:rPr>
          <w:rFonts w:ascii="Times New Roman" w:eastAsia="Times New Roman" w:hAnsi="Times New Roman" w:cs="Times New Roman"/>
          <w:sz w:val="24"/>
          <w:szCs w:val="24"/>
          <w:lang w:eastAsia="it-IT"/>
        </w:rPr>
        <w:t xml:space="preserve">’articolo </w:t>
      </w:r>
      <w:r w:rsidRPr="00F56356">
        <w:rPr>
          <w:rFonts w:ascii="Times New Roman" w:eastAsia="Times New Roman" w:hAnsi="Times New Roman" w:cs="Times New Roman"/>
          <w:color w:val="000000" w:themeColor="text1"/>
          <w:sz w:val="24"/>
          <w:szCs w:val="24"/>
          <w:lang w:eastAsia="it-IT"/>
        </w:rPr>
        <w:t>1, comma 605, della legge 30 dicembre 2020, n. 178 (legge di bilancio 2021), destinato all’erogazione di contributi a favore delle Regioni e delle Province autonome di Trento e di Bolzano per l’organizzazione di gare sportive atletiche, ciclistiche e automobilistiche di rilievo internazionale che si svolgano nel territorio di almeno due Regioni. La sentenza della Corte costituzionale 123/2022 ha dichiarato illegittima dell’articolo 1, comma 606, della citata legge nella parte in cui non prevedeva che il decreto attuativo venisse adottato previa intesa con le Regioni e le Province autonome interessate;</w:t>
      </w:r>
    </w:p>
    <w:p w14:paraId="6761F147" w14:textId="77777777" w:rsidR="00F56356" w:rsidRPr="00F56356" w:rsidRDefault="00F56356"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b/>
        <w:t xml:space="preserve">  b) per il capitolo 854 - </w:t>
      </w:r>
      <w:r w:rsidRPr="00F56356">
        <w:rPr>
          <w:rFonts w:ascii="Times New Roman" w:eastAsia="Times New Roman" w:hAnsi="Times New Roman" w:cs="Times New Roman"/>
          <w:i/>
          <w:color w:val="000000" w:themeColor="text1"/>
          <w:sz w:val="24"/>
          <w:szCs w:val="24"/>
          <w:lang w:eastAsia="it-IT"/>
        </w:rPr>
        <w:t>Fondo per il rilancio del sistema sportivo nazionale</w:t>
      </w:r>
      <w:r w:rsidRPr="00F56356">
        <w:rPr>
          <w:rFonts w:ascii="Times New Roman" w:eastAsia="Times New Roman" w:hAnsi="Times New Roman" w:cs="Times New Roman"/>
          <w:color w:val="000000" w:themeColor="text1"/>
          <w:sz w:val="24"/>
          <w:szCs w:val="24"/>
          <w:lang w:eastAsia="it-IT"/>
        </w:rPr>
        <w:t>, le risorse di euro 840.408,80, destinate al sostegno delle associazioni sportive dilettantistiche e delle società sportive dilettantistiche in seguito alla emergenza epidemiologica Covid-19, non sono state impegnate trattandosi di risorse eccedenti, relative a bandi già conclusi;</w:t>
      </w:r>
    </w:p>
    <w:p w14:paraId="33722CF3" w14:textId="77777777" w:rsidR="00F56356" w:rsidRPr="00F56356" w:rsidRDefault="00F56356"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c) per il capitolo 988 - </w:t>
      </w:r>
      <w:r w:rsidRPr="00F56356">
        <w:rPr>
          <w:rFonts w:ascii="Times New Roman" w:eastAsia="Times New Roman" w:hAnsi="Times New Roman" w:cs="Times New Roman"/>
          <w:i/>
          <w:color w:val="000000" w:themeColor="text1"/>
          <w:sz w:val="24"/>
          <w:szCs w:val="24"/>
          <w:lang w:eastAsia="it-IT"/>
        </w:rPr>
        <w:t>Fondo per gli eventi sportivi di rilevanza internazionale,</w:t>
      </w:r>
      <w:r w:rsidRPr="00F56356">
        <w:rPr>
          <w:rFonts w:ascii="Times New Roman" w:eastAsia="Times New Roman" w:hAnsi="Times New Roman" w:cs="Times New Roman"/>
          <w:color w:val="000000" w:themeColor="text1"/>
          <w:sz w:val="24"/>
          <w:szCs w:val="24"/>
          <w:lang w:eastAsia="it-IT"/>
        </w:rPr>
        <w:t xml:space="preserve"> non sono state impegnate le risorse di euro 1.800.000,00 destinate al contributo alla Federazione Ciclistica Italiana per la realizzazione di un velodromo nella Provincia di Treviso, perché nel corso dell’anno 2022 è stato risolto l’Accordo di programma tra il Dipartimento degli affari regionali e le autonomie - Ufficio per lo sport e la Federazione Ciclistica Italiana per la realizzazione di un velodromo nel territorio del comune di Spresiano. La risoluzione si è resa necessaria al fine di apportare modifiche al progetto, non più in linea con i prezzi attuali e precedentemente interrotto a causa del fallimento della ditta appaltatrice. In attesa della presentazione di un nuovo progetto e della stipula di un nuovo accordo di programma, è venuto meno il presupposto per l’impegno delle somme stanziate.  </w:t>
      </w:r>
    </w:p>
    <w:p w14:paraId="3E333F4B" w14:textId="77777777" w:rsidR="00F56356" w:rsidRPr="00F56356" w:rsidRDefault="00F56356"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p>
    <w:p w14:paraId="4F0FF1FE" w14:textId="77777777" w:rsidR="00F56356" w:rsidRPr="00F56356" w:rsidRDefault="00F56356"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p>
    <w:p w14:paraId="31C37DA2" w14:textId="77777777" w:rsidR="00F56356" w:rsidRPr="00F56356" w:rsidRDefault="00F56356" w:rsidP="00F56356">
      <w:pPr>
        <w:tabs>
          <w:tab w:val="left" w:pos="-142"/>
          <w:tab w:val="left" w:pos="142"/>
        </w:tabs>
        <w:spacing w:after="0" w:line="360" w:lineRule="auto"/>
        <w:ind w:left="284" w:hanging="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     Si riporta qui di seguito l’andamento delle politiche attive (interventi/investimenti) nel corso del triennio 2020-2022:</w:t>
      </w:r>
    </w:p>
    <w:p w14:paraId="33B779F5" w14:textId="77777777" w:rsidR="00F56356" w:rsidRPr="00F56356" w:rsidRDefault="00F56356" w:rsidP="00F56356">
      <w:pPr>
        <w:tabs>
          <w:tab w:val="left" w:pos="-142"/>
          <w:tab w:val="left" w:pos="142"/>
        </w:tabs>
        <w:spacing w:after="0" w:line="360" w:lineRule="auto"/>
        <w:ind w:left="284"/>
        <w:jc w:val="both"/>
        <w:rPr>
          <w:rFonts w:ascii="Times New Roman" w:eastAsia="Times New Roman" w:hAnsi="Times New Roman" w:cs="Times New Roman"/>
          <w:color w:val="000000" w:themeColor="text1"/>
          <w:sz w:val="24"/>
          <w:szCs w:val="24"/>
          <w:lang w:eastAsia="it-IT"/>
        </w:rPr>
      </w:pPr>
    </w:p>
    <w:p w14:paraId="20CE7822"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inline distT="0" distB="0" distL="0" distR="0" wp14:anchorId="04FDFCB0" wp14:editId="1ED39F6A">
            <wp:extent cx="3491103" cy="381595"/>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80745" cy="391393"/>
                    </a:xfrm>
                    <a:prstGeom prst="rect">
                      <a:avLst/>
                    </a:prstGeom>
                    <a:noFill/>
                    <a:ln>
                      <a:noFill/>
                    </a:ln>
                  </pic:spPr>
                </pic:pic>
              </a:graphicData>
            </a:graphic>
          </wp:inline>
        </w:drawing>
      </w:r>
    </w:p>
    <w:p w14:paraId="2BE378CF"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3797772E" wp14:editId="48C3F91A">
            <wp:extent cx="3568065" cy="1912592"/>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598840" cy="1929088"/>
                    </a:xfrm>
                    <a:prstGeom prst="rect">
                      <a:avLst/>
                    </a:prstGeom>
                    <a:noFill/>
                  </pic:spPr>
                </pic:pic>
              </a:graphicData>
            </a:graphic>
          </wp:inline>
        </w:drawing>
      </w:r>
    </w:p>
    <w:p w14:paraId="509E697A"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684143B6"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2ACF8784"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768EAA17"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5A203E13"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21FA3359"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1690AC02"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72397ED"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3B8838B6"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73F4813F"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060F33A5"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103CE7D5"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0B969446"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2AC2F641"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146DF7A1"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59C19110"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71E6E7C7"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256BCBF"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1493C42E" w14:textId="121D726A" w:rsid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0EBB0C0D" w14:textId="77777777" w:rsidR="0043213C" w:rsidRPr="00F56356" w:rsidRDefault="0043213C"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03D9D58F"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56E26EF1" w14:textId="77777777" w:rsidR="00F56356" w:rsidRPr="00F56356" w:rsidRDefault="00F56356" w:rsidP="00F56356">
      <w:pPr>
        <w:tabs>
          <w:tab w:val="left" w:pos="-142"/>
          <w:tab w:val="left" w:pos="142"/>
        </w:tabs>
        <w:spacing w:after="0" w:line="360" w:lineRule="auto"/>
        <w:ind w:left="284"/>
        <w:jc w:val="center"/>
        <w:rPr>
          <w:rFonts w:ascii="Times New Roman" w:eastAsia="Times New Roman" w:hAnsi="Times New Roman" w:cs="Times New Roman"/>
          <w:color w:val="000000" w:themeColor="text1"/>
          <w:sz w:val="24"/>
          <w:szCs w:val="24"/>
          <w:lang w:eastAsia="it-IT"/>
        </w:rPr>
      </w:pPr>
    </w:p>
    <w:p w14:paraId="47C702E5" w14:textId="77777777" w:rsidR="00F56356" w:rsidRPr="00F56356" w:rsidRDefault="00F56356" w:rsidP="00F56356">
      <w:pPr>
        <w:tabs>
          <w:tab w:val="left" w:pos="9393"/>
        </w:tabs>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Nelle tabelle seguenti è indicata la ripartizione delle risorse relative a interventi/investimenti per destinatari finali, comprensive delle risorse relative ai residui passivi perenti </w:t>
      </w:r>
      <w:proofErr w:type="spellStart"/>
      <w:r w:rsidRPr="00F56356">
        <w:rPr>
          <w:rFonts w:ascii="Times New Roman" w:eastAsia="Times New Roman" w:hAnsi="Times New Roman" w:cs="Times New Roman"/>
          <w:color w:val="000000" w:themeColor="text1"/>
          <w:sz w:val="24"/>
          <w:szCs w:val="24"/>
          <w:lang w:eastAsia="it-IT"/>
        </w:rPr>
        <w:t>reiscritti</w:t>
      </w:r>
      <w:proofErr w:type="spellEnd"/>
      <w:r w:rsidRPr="00F56356">
        <w:rPr>
          <w:rFonts w:ascii="Times New Roman" w:eastAsia="Times New Roman" w:hAnsi="Times New Roman" w:cs="Times New Roman"/>
          <w:color w:val="000000" w:themeColor="text1"/>
          <w:sz w:val="24"/>
          <w:szCs w:val="24"/>
          <w:lang w:eastAsia="it-IT"/>
        </w:rPr>
        <w:t>:</w:t>
      </w:r>
    </w:p>
    <w:p w14:paraId="38C6E1E2" w14:textId="77777777" w:rsidR="00F56356" w:rsidRPr="00F56356" w:rsidRDefault="00F56356" w:rsidP="00F56356">
      <w:pPr>
        <w:spacing w:after="0" w:line="360" w:lineRule="auto"/>
        <w:ind w:right="284"/>
        <w:jc w:val="both"/>
        <w:rPr>
          <w:rFonts w:eastAsia="Times New Roman"/>
          <w:sz w:val="4"/>
          <w:szCs w:val="12"/>
          <w:lang w:eastAsia="it-IT"/>
        </w:rPr>
      </w:pPr>
    </w:p>
    <w:p w14:paraId="40D47B03" w14:textId="77777777" w:rsidR="00F56356" w:rsidRPr="00F56356" w:rsidRDefault="00F56356" w:rsidP="00F56356">
      <w:pPr>
        <w:spacing w:after="0" w:line="360" w:lineRule="auto"/>
        <w:ind w:right="284"/>
        <w:jc w:val="both"/>
        <w:rPr>
          <w:rFonts w:eastAsia="Times New Roman"/>
          <w:sz w:val="4"/>
          <w:szCs w:val="12"/>
          <w:lang w:eastAsia="it-IT"/>
        </w:rPr>
      </w:pPr>
      <w:r w:rsidRPr="00F56356">
        <w:rPr>
          <w:rFonts w:eastAsia="Times New Roman"/>
          <w:noProof/>
          <w:sz w:val="28"/>
          <w:szCs w:val="28"/>
          <w:lang w:eastAsia="it-IT"/>
        </w:rPr>
        <w:drawing>
          <wp:anchor distT="0" distB="0" distL="114300" distR="114300" simplePos="0" relativeHeight="251723776" behindDoc="1" locked="0" layoutInCell="1" allowOverlap="1" wp14:anchorId="213828AC" wp14:editId="027D1A3E">
            <wp:simplePos x="0" y="0"/>
            <wp:positionH relativeFrom="margin">
              <wp:align>right</wp:align>
            </wp:positionH>
            <wp:positionV relativeFrom="paragraph">
              <wp:posOffset>48895</wp:posOffset>
            </wp:positionV>
            <wp:extent cx="6007735" cy="8048625"/>
            <wp:effectExtent l="0" t="0" r="0" b="9525"/>
            <wp:wrapTight wrapText="bothSides">
              <wp:wrapPolygon edited="0">
                <wp:start x="0" y="0"/>
                <wp:lineTo x="0" y="21217"/>
                <wp:lineTo x="616" y="21268"/>
                <wp:lineTo x="616" y="21574"/>
                <wp:lineTo x="19726" y="21574"/>
                <wp:lineTo x="21438" y="21472"/>
                <wp:lineTo x="21506" y="21165"/>
                <wp:lineTo x="21506" y="0"/>
                <wp:lineTo x="0" y="0"/>
              </wp:wrapPolygon>
            </wp:wrapTight>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07735" cy="804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FE8C0" w14:textId="77777777" w:rsidR="00F56356" w:rsidRPr="00F56356" w:rsidRDefault="00F56356" w:rsidP="00F56356">
      <w:pPr>
        <w:spacing w:after="0" w:line="360" w:lineRule="auto"/>
        <w:ind w:right="284"/>
        <w:jc w:val="both"/>
        <w:rPr>
          <w:rFonts w:eastAsia="Times New Roman"/>
          <w:sz w:val="4"/>
          <w:szCs w:val="12"/>
          <w:lang w:eastAsia="it-IT"/>
        </w:rPr>
      </w:pPr>
    </w:p>
    <w:p w14:paraId="7010CC3D" w14:textId="77777777" w:rsidR="00F56356" w:rsidRPr="00F56356" w:rsidRDefault="00F56356" w:rsidP="00F56356">
      <w:pPr>
        <w:spacing w:after="0" w:line="360" w:lineRule="auto"/>
        <w:ind w:right="284"/>
        <w:jc w:val="both"/>
        <w:rPr>
          <w:rFonts w:eastAsia="Times New Roman"/>
          <w:sz w:val="4"/>
          <w:szCs w:val="12"/>
          <w:lang w:eastAsia="it-IT"/>
        </w:rPr>
      </w:pPr>
    </w:p>
    <w:p w14:paraId="4F782CBB" w14:textId="77777777" w:rsidR="00F56356" w:rsidRPr="00F56356" w:rsidRDefault="00F56356" w:rsidP="00F56356">
      <w:pPr>
        <w:spacing w:after="0" w:line="360" w:lineRule="auto"/>
        <w:ind w:right="284"/>
        <w:jc w:val="both"/>
        <w:rPr>
          <w:rFonts w:eastAsia="Times New Roman"/>
          <w:sz w:val="4"/>
          <w:szCs w:val="12"/>
          <w:lang w:eastAsia="it-IT"/>
        </w:rPr>
      </w:pPr>
    </w:p>
    <w:p w14:paraId="5058E36A" w14:textId="77777777" w:rsidR="00F56356" w:rsidRPr="00F56356" w:rsidRDefault="00F56356" w:rsidP="00F56356">
      <w:pPr>
        <w:spacing w:after="0" w:line="360" w:lineRule="auto"/>
        <w:ind w:right="284"/>
        <w:jc w:val="both"/>
        <w:rPr>
          <w:rFonts w:eastAsia="Times New Roman"/>
          <w:sz w:val="4"/>
          <w:szCs w:val="12"/>
          <w:lang w:eastAsia="it-IT"/>
        </w:rPr>
      </w:pPr>
    </w:p>
    <w:p w14:paraId="7D193F68" w14:textId="77777777" w:rsidR="00F56356" w:rsidRPr="00F56356" w:rsidRDefault="00F56356" w:rsidP="00F56356">
      <w:pPr>
        <w:spacing w:after="0" w:line="360" w:lineRule="auto"/>
        <w:ind w:right="284"/>
        <w:jc w:val="both"/>
        <w:rPr>
          <w:rFonts w:eastAsia="Times New Roman"/>
          <w:sz w:val="4"/>
          <w:szCs w:val="12"/>
          <w:lang w:eastAsia="it-IT"/>
        </w:rPr>
      </w:pPr>
    </w:p>
    <w:p w14:paraId="4CA27A2F" w14:textId="77777777" w:rsidR="00F56356" w:rsidRPr="00F56356" w:rsidRDefault="00F56356" w:rsidP="00F56356">
      <w:pPr>
        <w:spacing w:after="0" w:line="360" w:lineRule="auto"/>
        <w:ind w:right="284"/>
        <w:jc w:val="both"/>
        <w:rPr>
          <w:rFonts w:eastAsia="Times New Roman"/>
          <w:sz w:val="4"/>
          <w:szCs w:val="12"/>
          <w:lang w:eastAsia="it-IT"/>
        </w:rPr>
      </w:pPr>
    </w:p>
    <w:p w14:paraId="10362B3A" w14:textId="77777777" w:rsidR="00F56356" w:rsidRPr="00F56356" w:rsidRDefault="00F56356" w:rsidP="00F56356">
      <w:pPr>
        <w:spacing w:after="0" w:line="360" w:lineRule="auto"/>
        <w:ind w:right="284"/>
        <w:jc w:val="both"/>
        <w:rPr>
          <w:rFonts w:eastAsia="Times New Roman"/>
          <w:sz w:val="4"/>
          <w:szCs w:val="12"/>
          <w:lang w:eastAsia="it-IT"/>
        </w:rPr>
      </w:pPr>
    </w:p>
    <w:p w14:paraId="092514DC" w14:textId="77777777" w:rsidR="00F56356" w:rsidRPr="00F56356" w:rsidRDefault="00F56356" w:rsidP="00F56356">
      <w:pPr>
        <w:spacing w:after="0" w:line="360" w:lineRule="auto"/>
        <w:ind w:right="284"/>
        <w:jc w:val="both"/>
        <w:rPr>
          <w:rFonts w:eastAsia="Times New Roman"/>
          <w:sz w:val="4"/>
          <w:szCs w:val="12"/>
          <w:lang w:eastAsia="it-IT"/>
        </w:rPr>
      </w:pPr>
    </w:p>
    <w:p w14:paraId="6E9DE5A8" w14:textId="77777777" w:rsidR="00F56356" w:rsidRPr="00F56356" w:rsidRDefault="00F56356" w:rsidP="00F56356">
      <w:pPr>
        <w:spacing w:after="0" w:line="360" w:lineRule="auto"/>
        <w:ind w:right="284"/>
        <w:jc w:val="both"/>
        <w:rPr>
          <w:rFonts w:eastAsia="Times New Roman"/>
          <w:sz w:val="4"/>
          <w:szCs w:val="12"/>
          <w:lang w:eastAsia="it-IT"/>
        </w:rPr>
      </w:pPr>
    </w:p>
    <w:p w14:paraId="3A803E8A" w14:textId="77777777" w:rsidR="00F56356" w:rsidRPr="00F56356" w:rsidRDefault="00F56356" w:rsidP="00F56356">
      <w:pPr>
        <w:spacing w:after="0" w:line="360" w:lineRule="auto"/>
        <w:ind w:right="284"/>
        <w:jc w:val="both"/>
        <w:rPr>
          <w:rFonts w:eastAsia="Times New Roman"/>
          <w:sz w:val="4"/>
          <w:szCs w:val="12"/>
          <w:lang w:eastAsia="it-IT"/>
        </w:rPr>
      </w:pPr>
    </w:p>
    <w:p w14:paraId="64EC0C2C" w14:textId="77777777" w:rsidR="00F56356" w:rsidRPr="00F56356" w:rsidRDefault="00F56356" w:rsidP="00F56356">
      <w:pPr>
        <w:spacing w:after="0" w:line="360" w:lineRule="auto"/>
        <w:ind w:right="284"/>
        <w:jc w:val="both"/>
        <w:rPr>
          <w:rFonts w:eastAsia="Times New Roman"/>
          <w:sz w:val="4"/>
          <w:szCs w:val="12"/>
          <w:lang w:eastAsia="it-IT"/>
        </w:rPr>
      </w:pPr>
    </w:p>
    <w:p w14:paraId="4E9BDE3B" w14:textId="77777777" w:rsidR="00F56356" w:rsidRPr="00F56356" w:rsidRDefault="00F56356" w:rsidP="00F56356">
      <w:pPr>
        <w:spacing w:after="0" w:line="360" w:lineRule="auto"/>
        <w:ind w:right="284"/>
        <w:jc w:val="both"/>
        <w:rPr>
          <w:rFonts w:eastAsia="Times New Roman"/>
          <w:sz w:val="4"/>
          <w:szCs w:val="12"/>
          <w:lang w:eastAsia="it-IT"/>
        </w:rPr>
      </w:pPr>
    </w:p>
    <w:p w14:paraId="4CA96D00" w14:textId="77777777" w:rsidR="00F56356" w:rsidRPr="00F56356" w:rsidRDefault="00F56356" w:rsidP="00F56356">
      <w:pPr>
        <w:spacing w:after="0" w:line="360" w:lineRule="auto"/>
        <w:ind w:right="284"/>
        <w:jc w:val="both"/>
        <w:rPr>
          <w:rFonts w:eastAsia="Times New Roman"/>
          <w:sz w:val="4"/>
          <w:szCs w:val="12"/>
          <w:lang w:eastAsia="it-IT"/>
        </w:rPr>
      </w:pPr>
      <w:r w:rsidRPr="00F56356">
        <w:rPr>
          <w:rFonts w:eastAsia="Times New Roman"/>
          <w:noProof/>
          <w:sz w:val="28"/>
          <w:szCs w:val="28"/>
          <w:lang w:eastAsia="it-IT"/>
        </w:rPr>
        <w:lastRenderedPageBreak/>
        <w:drawing>
          <wp:anchor distT="0" distB="0" distL="114300" distR="114300" simplePos="0" relativeHeight="251724800" behindDoc="1" locked="0" layoutInCell="1" allowOverlap="1" wp14:anchorId="14646224" wp14:editId="6A15B999">
            <wp:simplePos x="0" y="0"/>
            <wp:positionH relativeFrom="margin">
              <wp:posOffset>140970</wp:posOffset>
            </wp:positionH>
            <wp:positionV relativeFrom="paragraph">
              <wp:posOffset>41910</wp:posOffset>
            </wp:positionV>
            <wp:extent cx="5890260" cy="3158490"/>
            <wp:effectExtent l="0" t="0" r="0" b="3810"/>
            <wp:wrapTight wrapText="bothSides">
              <wp:wrapPolygon edited="0">
                <wp:start x="0" y="0"/>
                <wp:lineTo x="0" y="20584"/>
                <wp:lineTo x="629" y="20844"/>
                <wp:lineTo x="629" y="21496"/>
                <wp:lineTo x="19700" y="21496"/>
                <wp:lineTo x="19700" y="20844"/>
                <wp:lineTo x="21167" y="20844"/>
                <wp:lineTo x="21516" y="20454"/>
                <wp:lineTo x="21516" y="0"/>
                <wp:lineTo x="0" y="0"/>
              </wp:wrapPolygon>
            </wp:wrapTight>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890260" cy="3158490"/>
                    </a:xfrm>
                    <a:prstGeom prst="rect">
                      <a:avLst/>
                    </a:prstGeom>
                    <a:noFill/>
                    <a:ln>
                      <a:noFill/>
                    </a:ln>
                  </pic:spPr>
                </pic:pic>
              </a:graphicData>
            </a:graphic>
            <wp14:sizeRelH relativeFrom="margin">
              <wp14:pctWidth>0</wp14:pctWidth>
            </wp14:sizeRelH>
          </wp:anchor>
        </w:drawing>
      </w:r>
    </w:p>
    <w:p w14:paraId="1AC7849A" w14:textId="77777777" w:rsidR="00F56356" w:rsidRPr="00F56356" w:rsidRDefault="00F56356" w:rsidP="00F56356">
      <w:pPr>
        <w:spacing w:after="0" w:line="360" w:lineRule="auto"/>
        <w:ind w:right="284"/>
        <w:jc w:val="both"/>
        <w:rPr>
          <w:rFonts w:eastAsia="Times New Roman"/>
          <w:sz w:val="4"/>
          <w:szCs w:val="12"/>
          <w:lang w:eastAsia="it-IT"/>
        </w:rPr>
      </w:pPr>
    </w:p>
    <w:p w14:paraId="7336B520" w14:textId="77777777" w:rsidR="00F56356" w:rsidRPr="00F56356" w:rsidRDefault="00F56356" w:rsidP="00F56356">
      <w:pPr>
        <w:spacing w:after="0" w:line="360" w:lineRule="auto"/>
        <w:ind w:right="284"/>
        <w:jc w:val="both"/>
        <w:rPr>
          <w:rFonts w:eastAsia="Times New Roman"/>
          <w:sz w:val="4"/>
          <w:szCs w:val="12"/>
          <w:lang w:eastAsia="it-IT"/>
        </w:rPr>
      </w:pPr>
    </w:p>
    <w:p w14:paraId="14CF7AC6" w14:textId="77777777" w:rsidR="00F56356" w:rsidRPr="00F56356" w:rsidRDefault="00F56356" w:rsidP="00F56356">
      <w:pPr>
        <w:spacing w:after="0" w:line="360" w:lineRule="auto"/>
        <w:ind w:right="284"/>
        <w:jc w:val="both"/>
        <w:rPr>
          <w:rFonts w:eastAsia="Times New Roman"/>
          <w:sz w:val="4"/>
          <w:szCs w:val="12"/>
          <w:lang w:eastAsia="it-IT"/>
        </w:rPr>
      </w:pPr>
    </w:p>
    <w:p w14:paraId="76A5B200" w14:textId="77777777" w:rsidR="00F56356" w:rsidRPr="00F56356" w:rsidRDefault="00F56356" w:rsidP="00F56356">
      <w:pPr>
        <w:spacing w:after="0" w:line="360" w:lineRule="auto"/>
        <w:ind w:right="284"/>
        <w:jc w:val="both"/>
        <w:rPr>
          <w:rFonts w:eastAsia="Times New Roman"/>
          <w:sz w:val="4"/>
          <w:szCs w:val="12"/>
          <w:lang w:eastAsia="it-IT"/>
        </w:rPr>
      </w:pPr>
    </w:p>
    <w:p w14:paraId="4DAAB36B" w14:textId="77777777" w:rsidR="00F56356" w:rsidRPr="00F56356" w:rsidRDefault="00F56356" w:rsidP="00F56356">
      <w:pPr>
        <w:spacing w:after="0" w:line="360" w:lineRule="auto"/>
        <w:ind w:right="284"/>
        <w:jc w:val="both"/>
        <w:rPr>
          <w:rFonts w:eastAsia="Times New Roman"/>
          <w:sz w:val="4"/>
          <w:szCs w:val="12"/>
          <w:lang w:eastAsia="it-IT"/>
        </w:rPr>
      </w:pPr>
    </w:p>
    <w:p w14:paraId="28B1EECF" w14:textId="77777777" w:rsidR="00F56356" w:rsidRPr="00F56356" w:rsidRDefault="00F56356" w:rsidP="00F56356">
      <w:pPr>
        <w:spacing w:after="0" w:line="360" w:lineRule="auto"/>
        <w:ind w:right="284"/>
        <w:jc w:val="both"/>
        <w:rPr>
          <w:rFonts w:eastAsia="Times New Roman"/>
          <w:sz w:val="4"/>
          <w:szCs w:val="12"/>
          <w:lang w:eastAsia="it-IT"/>
        </w:rPr>
      </w:pPr>
    </w:p>
    <w:p w14:paraId="4D2333FF" w14:textId="77777777" w:rsidR="00F56356" w:rsidRPr="00F56356" w:rsidRDefault="00F56356" w:rsidP="00F56356">
      <w:pPr>
        <w:spacing w:after="0" w:line="360" w:lineRule="auto"/>
        <w:ind w:right="284"/>
        <w:jc w:val="both"/>
        <w:rPr>
          <w:rFonts w:eastAsia="Times New Roman"/>
          <w:sz w:val="4"/>
          <w:szCs w:val="12"/>
          <w:lang w:eastAsia="it-IT"/>
        </w:rPr>
      </w:pPr>
    </w:p>
    <w:p w14:paraId="5A8E8B56" w14:textId="77777777" w:rsidR="00F56356" w:rsidRPr="00F56356" w:rsidRDefault="00F56356" w:rsidP="00F56356">
      <w:pPr>
        <w:spacing w:after="0" w:line="360" w:lineRule="auto"/>
        <w:ind w:right="284"/>
        <w:jc w:val="both"/>
        <w:rPr>
          <w:rFonts w:eastAsia="Times New Roman"/>
          <w:sz w:val="4"/>
          <w:szCs w:val="12"/>
          <w:lang w:eastAsia="it-IT"/>
        </w:rPr>
      </w:pPr>
    </w:p>
    <w:p w14:paraId="298449F2" w14:textId="77777777" w:rsidR="00F56356" w:rsidRPr="00F56356" w:rsidRDefault="00F56356" w:rsidP="00F56356">
      <w:pPr>
        <w:spacing w:after="0" w:line="360" w:lineRule="auto"/>
        <w:ind w:right="284"/>
        <w:jc w:val="both"/>
        <w:rPr>
          <w:rFonts w:eastAsia="Times New Roman"/>
          <w:sz w:val="4"/>
          <w:szCs w:val="12"/>
          <w:lang w:eastAsia="it-IT"/>
        </w:rPr>
      </w:pPr>
    </w:p>
    <w:p w14:paraId="53158B60" w14:textId="77777777" w:rsidR="00F56356" w:rsidRPr="00F56356" w:rsidRDefault="00F56356" w:rsidP="00F56356">
      <w:pPr>
        <w:spacing w:after="0" w:line="360" w:lineRule="auto"/>
        <w:ind w:right="284"/>
        <w:jc w:val="both"/>
        <w:rPr>
          <w:rFonts w:eastAsia="Times New Roman"/>
          <w:sz w:val="4"/>
          <w:szCs w:val="12"/>
          <w:lang w:eastAsia="it-IT"/>
        </w:rPr>
      </w:pPr>
    </w:p>
    <w:p w14:paraId="7C90C022" w14:textId="77777777" w:rsidR="00F56356" w:rsidRPr="00F56356" w:rsidRDefault="00F56356" w:rsidP="00F56356">
      <w:pPr>
        <w:spacing w:after="0" w:line="360" w:lineRule="auto"/>
        <w:ind w:right="284"/>
        <w:jc w:val="both"/>
        <w:rPr>
          <w:rFonts w:eastAsia="Times New Roman"/>
          <w:sz w:val="4"/>
          <w:szCs w:val="12"/>
          <w:lang w:eastAsia="it-IT"/>
        </w:rPr>
      </w:pPr>
    </w:p>
    <w:p w14:paraId="5827C585" w14:textId="77777777" w:rsidR="00F56356" w:rsidRPr="00F56356" w:rsidRDefault="00F56356" w:rsidP="00F56356">
      <w:pPr>
        <w:spacing w:after="0" w:line="360" w:lineRule="auto"/>
        <w:ind w:right="284"/>
        <w:jc w:val="both"/>
        <w:rPr>
          <w:rFonts w:eastAsia="Times New Roman"/>
          <w:sz w:val="4"/>
          <w:szCs w:val="12"/>
          <w:lang w:eastAsia="it-IT"/>
        </w:rPr>
      </w:pPr>
    </w:p>
    <w:p w14:paraId="08D1722F" w14:textId="77777777" w:rsidR="00F56356" w:rsidRPr="00F56356" w:rsidRDefault="00F56356" w:rsidP="00F56356">
      <w:pPr>
        <w:spacing w:after="0" w:line="360" w:lineRule="auto"/>
        <w:ind w:right="284"/>
        <w:jc w:val="both"/>
        <w:rPr>
          <w:rFonts w:eastAsia="Times New Roman"/>
          <w:sz w:val="4"/>
          <w:szCs w:val="12"/>
          <w:lang w:eastAsia="it-IT"/>
        </w:rPr>
      </w:pPr>
    </w:p>
    <w:p w14:paraId="66163A02" w14:textId="77777777" w:rsidR="00F56356" w:rsidRPr="00F56356" w:rsidRDefault="00F56356" w:rsidP="00F56356">
      <w:pPr>
        <w:spacing w:after="0" w:line="360" w:lineRule="auto"/>
        <w:ind w:right="284"/>
        <w:jc w:val="both"/>
        <w:rPr>
          <w:rFonts w:eastAsia="Times New Roman"/>
          <w:sz w:val="4"/>
          <w:szCs w:val="12"/>
          <w:lang w:eastAsia="it-IT"/>
        </w:rPr>
      </w:pPr>
    </w:p>
    <w:p w14:paraId="7DBC3CC2" w14:textId="77777777" w:rsidR="00F56356" w:rsidRPr="00F56356" w:rsidRDefault="00F56356" w:rsidP="00F56356">
      <w:pPr>
        <w:spacing w:after="0" w:line="360" w:lineRule="auto"/>
        <w:ind w:right="284"/>
        <w:jc w:val="both"/>
        <w:rPr>
          <w:rFonts w:eastAsia="Times New Roman"/>
          <w:sz w:val="4"/>
          <w:szCs w:val="12"/>
          <w:lang w:eastAsia="it-IT"/>
        </w:rPr>
      </w:pPr>
    </w:p>
    <w:p w14:paraId="3973DD1B" w14:textId="77777777" w:rsidR="00F56356" w:rsidRPr="00F56356" w:rsidRDefault="00F56356" w:rsidP="00F56356">
      <w:pPr>
        <w:spacing w:after="0" w:line="360" w:lineRule="auto"/>
        <w:ind w:right="284"/>
        <w:jc w:val="both"/>
        <w:rPr>
          <w:rFonts w:eastAsia="Times New Roman"/>
          <w:sz w:val="4"/>
          <w:szCs w:val="12"/>
          <w:lang w:eastAsia="it-IT"/>
        </w:rPr>
      </w:pPr>
    </w:p>
    <w:p w14:paraId="2CF62DC0" w14:textId="77777777" w:rsidR="00F56356" w:rsidRPr="00F56356" w:rsidRDefault="00F56356" w:rsidP="00F56356">
      <w:pPr>
        <w:spacing w:after="0" w:line="360" w:lineRule="auto"/>
        <w:ind w:right="284"/>
        <w:jc w:val="both"/>
        <w:rPr>
          <w:rFonts w:eastAsia="Times New Roman"/>
          <w:sz w:val="4"/>
          <w:szCs w:val="12"/>
          <w:lang w:eastAsia="it-IT"/>
        </w:rPr>
      </w:pPr>
    </w:p>
    <w:p w14:paraId="7B45E986" w14:textId="77777777" w:rsidR="00F56356" w:rsidRPr="00F56356" w:rsidRDefault="00F56356" w:rsidP="00F56356">
      <w:pPr>
        <w:spacing w:after="0" w:line="360" w:lineRule="auto"/>
        <w:ind w:right="284"/>
        <w:jc w:val="both"/>
        <w:rPr>
          <w:rFonts w:eastAsia="Times New Roman"/>
          <w:sz w:val="4"/>
          <w:szCs w:val="12"/>
          <w:lang w:eastAsia="it-IT"/>
        </w:rPr>
      </w:pPr>
    </w:p>
    <w:p w14:paraId="441CC486" w14:textId="77777777" w:rsidR="00F56356" w:rsidRPr="00F56356" w:rsidRDefault="00F56356" w:rsidP="00F56356">
      <w:pPr>
        <w:spacing w:after="0" w:line="360" w:lineRule="auto"/>
        <w:ind w:right="284"/>
        <w:jc w:val="both"/>
        <w:rPr>
          <w:rFonts w:eastAsia="Times New Roman"/>
          <w:sz w:val="4"/>
          <w:szCs w:val="12"/>
          <w:lang w:eastAsia="it-IT"/>
        </w:rPr>
      </w:pPr>
    </w:p>
    <w:p w14:paraId="1EAC127D" w14:textId="77777777" w:rsidR="00F56356" w:rsidRPr="00F56356" w:rsidRDefault="00F56356" w:rsidP="00F56356">
      <w:pPr>
        <w:spacing w:after="0" w:line="360" w:lineRule="auto"/>
        <w:ind w:right="284"/>
        <w:jc w:val="both"/>
        <w:rPr>
          <w:rFonts w:eastAsia="Times New Roman"/>
          <w:sz w:val="4"/>
          <w:szCs w:val="12"/>
          <w:lang w:eastAsia="it-IT"/>
        </w:rPr>
      </w:pPr>
    </w:p>
    <w:p w14:paraId="4A4DF5AA" w14:textId="77777777" w:rsidR="00F56356" w:rsidRPr="00F56356" w:rsidRDefault="00F56356" w:rsidP="00F56356">
      <w:pPr>
        <w:spacing w:after="0" w:line="360" w:lineRule="auto"/>
        <w:ind w:right="284"/>
        <w:jc w:val="both"/>
        <w:rPr>
          <w:rFonts w:eastAsia="Times New Roman"/>
          <w:sz w:val="4"/>
          <w:szCs w:val="12"/>
          <w:lang w:eastAsia="it-IT"/>
        </w:rPr>
      </w:pPr>
    </w:p>
    <w:p w14:paraId="2BD653B3" w14:textId="77777777" w:rsidR="00F56356" w:rsidRPr="00F56356" w:rsidRDefault="00F56356" w:rsidP="00F56356">
      <w:pPr>
        <w:spacing w:after="0" w:line="360" w:lineRule="auto"/>
        <w:ind w:right="284"/>
        <w:jc w:val="both"/>
        <w:rPr>
          <w:rFonts w:eastAsia="Times New Roman"/>
          <w:sz w:val="4"/>
          <w:szCs w:val="12"/>
          <w:lang w:eastAsia="it-IT"/>
        </w:rPr>
      </w:pPr>
    </w:p>
    <w:p w14:paraId="5855C4CE" w14:textId="77777777" w:rsidR="00F56356" w:rsidRPr="00F56356" w:rsidRDefault="00F56356" w:rsidP="00F56356">
      <w:pPr>
        <w:spacing w:after="0" w:line="360" w:lineRule="auto"/>
        <w:ind w:right="284"/>
        <w:jc w:val="both"/>
        <w:rPr>
          <w:rFonts w:eastAsia="Times New Roman"/>
          <w:sz w:val="4"/>
          <w:szCs w:val="12"/>
          <w:lang w:eastAsia="it-IT"/>
        </w:rPr>
      </w:pPr>
    </w:p>
    <w:p w14:paraId="6D6BF750" w14:textId="77777777" w:rsidR="00F56356" w:rsidRPr="00F56356" w:rsidRDefault="00F56356" w:rsidP="00F56356">
      <w:pPr>
        <w:spacing w:after="0" w:line="360" w:lineRule="auto"/>
        <w:ind w:right="284"/>
        <w:jc w:val="both"/>
        <w:rPr>
          <w:rFonts w:eastAsia="Times New Roman"/>
          <w:sz w:val="4"/>
          <w:szCs w:val="12"/>
          <w:lang w:eastAsia="it-IT"/>
        </w:rPr>
      </w:pPr>
    </w:p>
    <w:p w14:paraId="61FBA827" w14:textId="77777777" w:rsidR="00F56356" w:rsidRPr="00F56356" w:rsidRDefault="00F56356" w:rsidP="00F56356">
      <w:pPr>
        <w:spacing w:after="0" w:line="360" w:lineRule="auto"/>
        <w:ind w:right="284"/>
        <w:jc w:val="both"/>
        <w:rPr>
          <w:rFonts w:eastAsia="Times New Roman"/>
          <w:sz w:val="4"/>
          <w:szCs w:val="12"/>
          <w:lang w:eastAsia="it-IT"/>
        </w:rPr>
      </w:pPr>
    </w:p>
    <w:p w14:paraId="0E6ED62F" w14:textId="77777777" w:rsidR="00F56356" w:rsidRPr="00F56356" w:rsidRDefault="00F56356" w:rsidP="00F56356">
      <w:pPr>
        <w:spacing w:after="0" w:line="360" w:lineRule="auto"/>
        <w:ind w:right="284"/>
        <w:jc w:val="both"/>
        <w:rPr>
          <w:rFonts w:eastAsia="Times New Roman"/>
          <w:sz w:val="4"/>
          <w:szCs w:val="12"/>
          <w:lang w:eastAsia="it-IT"/>
        </w:rPr>
      </w:pPr>
    </w:p>
    <w:p w14:paraId="4D1B7FC5" w14:textId="77777777" w:rsidR="00F56356" w:rsidRPr="00F56356" w:rsidRDefault="00F56356" w:rsidP="00F56356">
      <w:pPr>
        <w:spacing w:after="0" w:line="360" w:lineRule="auto"/>
        <w:ind w:right="284"/>
        <w:jc w:val="both"/>
        <w:rPr>
          <w:rFonts w:eastAsia="Times New Roman"/>
          <w:sz w:val="4"/>
          <w:szCs w:val="12"/>
          <w:lang w:eastAsia="it-IT"/>
        </w:rPr>
      </w:pPr>
    </w:p>
    <w:p w14:paraId="33019956" w14:textId="77777777" w:rsidR="00F56356" w:rsidRPr="00F56356" w:rsidRDefault="00F56356" w:rsidP="00F56356">
      <w:pPr>
        <w:spacing w:after="0" w:line="360" w:lineRule="auto"/>
        <w:ind w:right="284"/>
        <w:jc w:val="both"/>
        <w:rPr>
          <w:rFonts w:eastAsia="Times New Roman"/>
          <w:sz w:val="4"/>
          <w:szCs w:val="12"/>
          <w:lang w:eastAsia="it-IT"/>
        </w:rPr>
      </w:pPr>
    </w:p>
    <w:p w14:paraId="5F6439E1" w14:textId="77777777" w:rsidR="00F56356" w:rsidRPr="00F56356" w:rsidRDefault="00F56356" w:rsidP="00F56356">
      <w:pPr>
        <w:spacing w:after="0" w:line="360" w:lineRule="auto"/>
        <w:ind w:right="284"/>
        <w:jc w:val="both"/>
        <w:rPr>
          <w:rFonts w:eastAsia="Times New Roman"/>
          <w:sz w:val="4"/>
          <w:szCs w:val="12"/>
          <w:lang w:eastAsia="it-IT"/>
        </w:rPr>
      </w:pPr>
    </w:p>
    <w:p w14:paraId="230D4B13" w14:textId="77777777" w:rsidR="00F56356" w:rsidRPr="00F56356" w:rsidRDefault="00F56356" w:rsidP="00F56356">
      <w:pPr>
        <w:spacing w:after="0" w:line="360" w:lineRule="auto"/>
        <w:ind w:right="284"/>
        <w:jc w:val="both"/>
        <w:rPr>
          <w:rFonts w:eastAsia="Times New Roman"/>
          <w:sz w:val="4"/>
          <w:szCs w:val="12"/>
          <w:lang w:eastAsia="it-IT"/>
        </w:rPr>
      </w:pPr>
    </w:p>
    <w:p w14:paraId="5005E5AD" w14:textId="77777777" w:rsidR="00F56356" w:rsidRPr="00F56356" w:rsidRDefault="00F56356" w:rsidP="00F56356">
      <w:pPr>
        <w:spacing w:after="0" w:line="360" w:lineRule="auto"/>
        <w:ind w:right="284"/>
        <w:jc w:val="both"/>
        <w:rPr>
          <w:rFonts w:eastAsia="Times New Roman"/>
          <w:sz w:val="4"/>
          <w:szCs w:val="12"/>
          <w:lang w:eastAsia="it-IT"/>
        </w:rPr>
      </w:pPr>
    </w:p>
    <w:p w14:paraId="0D490C85" w14:textId="77777777" w:rsidR="00F56356" w:rsidRPr="00F56356" w:rsidRDefault="00F56356" w:rsidP="00F56356">
      <w:pPr>
        <w:spacing w:after="0" w:line="360" w:lineRule="auto"/>
        <w:ind w:right="284"/>
        <w:jc w:val="both"/>
        <w:rPr>
          <w:rFonts w:eastAsia="Times New Roman"/>
          <w:sz w:val="4"/>
          <w:szCs w:val="12"/>
          <w:lang w:eastAsia="it-IT"/>
        </w:rPr>
      </w:pPr>
    </w:p>
    <w:p w14:paraId="467208A8" w14:textId="77777777" w:rsidR="00F56356" w:rsidRPr="00F56356" w:rsidRDefault="00F56356" w:rsidP="00F56356">
      <w:pPr>
        <w:spacing w:after="0" w:line="360" w:lineRule="auto"/>
        <w:ind w:right="284"/>
        <w:jc w:val="both"/>
        <w:rPr>
          <w:rFonts w:eastAsia="Times New Roman"/>
          <w:sz w:val="4"/>
          <w:szCs w:val="12"/>
          <w:lang w:eastAsia="it-IT"/>
        </w:rPr>
      </w:pPr>
    </w:p>
    <w:p w14:paraId="1FC2F3AB" w14:textId="77777777" w:rsidR="00F56356" w:rsidRPr="00F56356" w:rsidRDefault="00F56356" w:rsidP="00F56356">
      <w:pPr>
        <w:spacing w:after="0" w:line="360" w:lineRule="auto"/>
        <w:ind w:right="284"/>
        <w:jc w:val="both"/>
        <w:rPr>
          <w:rFonts w:eastAsia="Times New Roman"/>
          <w:sz w:val="4"/>
          <w:szCs w:val="12"/>
          <w:lang w:eastAsia="it-IT"/>
        </w:rPr>
      </w:pPr>
    </w:p>
    <w:p w14:paraId="150AAA69" w14:textId="77777777" w:rsidR="00F56356" w:rsidRPr="00F56356" w:rsidRDefault="00F56356" w:rsidP="00F56356">
      <w:pPr>
        <w:spacing w:after="0" w:line="360" w:lineRule="auto"/>
        <w:ind w:right="284"/>
        <w:jc w:val="both"/>
        <w:rPr>
          <w:rFonts w:eastAsia="Times New Roman"/>
          <w:sz w:val="4"/>
          <w:szCs w:val="12"/>
          <w:lang w:eastAsia="it-IT"/>
        </w:rPr>
      </w:pPr>
    </w:p>
    <w:p w14:paraId="553835F7" w14:textId="77777777" w:rsidR="00F56356" w:rsidRPr="00F56356" w:rsidRDefault="00F56356" w:rsidP="00F56356">
      <w:pPr>
        <w:spacing w:after="0" w:line="360" w:lineRule="auto"/>
        <w:ind w:right="284"/>
        <w:jc w:val="both"/>
        <w:rPr>
          <w:rFonts w:eastAsia="Times New Roman"/>
          <w:sz w:val="4"/>
          <w:szCs w:val="12"/>
          <w:lang w:eastAsia="it-IT"/>
        </w:rPr>
      </w:pPr>
    </w:p>
    <w:p w14:paraId="687B2AEE" w14:textId="77777777" w:rsidR="00F56356" w:rsidRPr="00F56356" w:rsidRDefault="00F56356" w:rsidP="00F56356">
      <w:pPr>
        <w:spacing w:after="0" w:line="360" w:lineRule="auto"/>
        <w:ind w:right="284"/>
        <w:jc w:val="both"/>
        <w:rPr>
          <w:rFonts w:eastAsia="Times New Roman"/>
          <w:sz w:val="4"/>
          <w:szCs w:val="12"/>
          <w:lang w:eastAsia="it-IT"/>
        </w:rPr>
      </w:pPr>
    </w:p>
    <w:p w14:paraId="582AE35F" w14:textId="77777777" w:rsidR="00F56356" w:rsidRPr="00F56356" w:rsidRDefault="00F56356" w:rsidP="00F56356">
      <w:pPr>
        <w:spacing w:after="0" w:line="360" w:lineRule="auto"/>
        <w:ind w:right="284"/>
        <w:jc w:val="both"/>
        <w:rPr>
          <w:rFonts w:eastAsia="Times New Roman"/>
          <w:sz w:val="4"/>
          <w:szCs w:val="12"/>
          <w:lang w:eastAsia="it-IT"/>
        </w:rPr>
      </w:pPr>
    </w:p>
    <w:p w14:paraId="00619778" w14:textId="77777777" w:rsidR="00F56356" w:rsidRPr="00F56356" w:rsidRDefault="00F56356" w:rsidP="00F56356">
      <w:pPr>
        <w:spacing w:after="0" w:line="360" w:lineRule="auto"/>
        <w:ind w:right="284"/>
        <w:jc w:val="both"/>
        <w:rPr>
          <w:rFonts w:eastAsia="Times New Roman"/>
          <w:sz w:val="4"/>
          <w:szCs w:val="12"/>
          <w:lang w:eastAsia="it-IT"/>
        </w:rPr>
      </w:pPr>
    </w:p>
    <w:p w14:paraId="3AFC95E9" w14:textId="77777777" w:rsidR="00F56356" w:rsidRPr="00F56356" w:rsidRDefault="00F56356" w:rsidP="00F56356">
      <w:pPr>
        <w:spacing w:after="0" w:line="360" w:lineRule="auto"/>
        <w:ind w:right="284"/>
        <w:jc w:val="both"/>
        <w:rPr>
          <w:rFonts w:eastAsia="Times New Roman"/>
          <w:sz w:val="4"/>
          <w:szCs w:val="12"/>
          <w:lang w:eastAsia="it-IT"/>
        </w:rPr>
      </w:pPr>
    </w:p>
    <w:p w14:paraId="070FD1C8" w14:textId="77777777" w:rsidR="00F56356" w:rsidRPr="00F56356" w:rsidRDefault="00F56356" w:rsidP="00F56356">
      <w:pPr>
        <w:spacing w:after="0" w:line="360" w:lineRule="auto"/>
        <w:ind w:right="284"/>
        <w:jc w:val="both"/>
        <w:rPr>
          <w:rFonts w:eastAsia="Times New Roman"/>
          <w:sz w:val="4"/>
          <w:szCs w:val="12"/>
          <w:lang w:eastAsia="it-IT"/>
        </w:rPr>
      </w:pPr>
    </w:p>
    <w:p w14:paraId="04EFA81F" w14:textId="77777777" w:rsidR="00F56356" w:rsidRPr="00F56356" w:rsidRDefault="00F56356" w:rsidP="00F56356">
      <w:pPr>
        <w:spacing w:after="0" w:line="360" w:lineRule="auto"/>
        <w:ind w:right="284"/>
        <w:jc w:val="both"/>
        <w:rPr>
          <w:rFonts w:eastAsia="Times New Roman"/>
          <w:sz w:val="4"/>
          <w:szCs w:val="12"/>
          <w:lang w:eastAsia="it-IT"/>
        </w:rPr>
      </w:pPr>
    </w:p>
    <w:p w14:paraId="79116528" w14:textId="77777777" w:rsidR="00F56356" w:rsidRPr="00F56356" w:rsidRDefault="00F56356" w:rsidP="00F56356">
      <w:pPr>
        <w:spacing w:after="0" w:line="360" w:lineRule="auto"/>
        <w:ind w:right="284"/>
        <w:jc w:val="both"/>
        <w:rPr>
          <w:rFonts w:eastAsia="Times New Roman"/>
          <w:sz w:val="4"/>
          <w:szCs w:val="12"/>
          <w:lang w:eastAsia="it-IT"/>
        </w:rPr>
      </w:pPr>
    </w:p>
    <w:p w14:paraId="2B629CB4" w14:textId="77777777" w:rsidR="00F56356" w:rsidRPr="00F56356" w:rsidRDefault="00F56356" w:rsidP="00F56356">
      <w:pPr>
        <w:spacing w:after="0" w:line="360" w:lineRule="auto"/>
        <w:ind w:right="284"/>
        <w:jc w:val="both"/>
        <w:rPr>
          <w:rFonts w:eastAsia="Times New Roman"/>
          <w:sz w:val="4"/>
          <w:szCs w:val="12"/>
          <w:lang w:eastAsia="it-IT"/>
        </w:rPr>
      </w:pPr>
    </w:p>
    <w:p w14:paraId="012271E6" w14:textId="77777777" w:rsidR="00F56356" w:rsidRPr="00F56356" w:rsidRDefault="00F56356" w:rsidP="00F56356">
      <w:pPr>
        <w:spacing w:after="0" w:line="360" w:lineRule="auto"/>
        <w:ind w:right="284"/>
        <w:jc w:val="both"/>
        <w:rPr>
          <w:rFonts w:eastAsia="Times New Roman"/>
          <w:sz w:val="4"/>
          <w:szCs w:val="12"/>
          <w:lang w:eastAsia="it-IT"/>
        </w:rPr>
      </w:pPr>
    </w:p>
    <w:p w14:paraId="21782321" w14:textId="77777777" w:rsidR="00F56356" w:rsidRPr="00F56356" w:rsidRDefault="00F56356" w:rsidP="00F56356">
      <w:pPr>
        <w:spacing w:after="0" w:line="360" w:lineRule="auto"/>
        <w:ind w:right="284"/>
        <w:jc w:val="both"/>
        <w:rPr>
          <w:rFonts w:eastAsia="Times New Roman"/>
          <w:sz w:val="4"/>
          <w:szCs w:val="12"/>
          <w:lang w:eastAsia="it-IT"/>
        </w:rPr>
      </w:pPr>
    </w:p>
    <w:p w14:paraId="18E860AA" w14:textId="77777777" w:rsidR="00F56356" w:rsidRPr="00F56356" w:rsidRDefault="00F56356" w:rsidP="00F56356">
      <w:pPr>
        <w:spacing w:after="0" w:line="360" w:lineRule="auto"/>
        <w:ind w:right="284"/>
        <w:jc w:val="both"/>
        <w:rPr>
          <w:rFonts w:eastAsia="Times New Roman"/>
          <w:sz w:val="4"/>
          <w:szCs w:val="12"/>
          <w:lang w:eastAsia="it-IT"/>
        </w:rPr>
      </w:pPr>
    </w:p>
    <w:p w14:paraId="25D1172A" w14:textId="77777777" w:rsidR="00F56356" w:rsidRPr="00F56356" w:rsidRDefault="00F56356" w:rsidP="00F56356">
      <w:pPr>
        <w:spacing w:after="0" w:line="360" w:lineRule="auto"/>
        <w:ind w:right="284"/>
        <w:jc w:val="both"/>
        <w:rPr>
          <w:rFonts w:eastAsia="Times New Roman"/>
          <w:sz w:val="4"/>
          <w:szCs w:val="12"/>
          <w:lang w:eastAsia="it-IT"/>
        </w:rPr>
      </w:pPr>
    </w:p>
    <w:p w14:paraId="61726755" w14:textId="77777777" w:rsidR="00F56356" w:rsidRPr="00F56356" w:rsidRDefault="00F56356" w:rsidP="00F56356">
      <w:pPr>
        <w:spacing w:after="0" w:line="360" w:lineRule="auto"/>
        <w:ind w:right="284"/>
        <w:jc w:val="both"/>
        <w:rPr>
          <w:rFonts w:eastAsia="Times New Roman"/>
          <w:sz w:val="4"/>
          <w:szCs w:val="12"/>
          <w:lang w:eastAsia="it-IT"/>
        </w:rPr>
      </w:pPr>
    </w:p>
    <w:p w14:paraId="7CF30B7E" w14:textId="77777777" w:rsidR="00F56356" w:rsidRPr="00F56356" w:rsidRDefault="00F56356" w:rsidP="00F56356">
      <w:pPr>
        <w:spacing w:after="0" w:line="360" w:lineRule="auto"/>
        <w:ind w:right="284"/>
        <w:jc w:val="both"/>
        <w:rPr>
          <w:rFonts w:eastAsia="Times New Roman"/>
          <w:sz w:val="4"/>
          <w:szCs w:val="12"/>
          <w:lang w:eastAsia="it-IT"/>
        </w:rPr>
      </w:pPr>
    </w:p>
    <w:p w14:paraId="130CE09B" w14:textId="77777777" w:rsidR="00F56356" w:rsidRPr="00F56356" w:rsidRDefault="00F56356" w:rsidP="00F56356">
      <w:pPr>
        <w:spacing w:after="0" w:line="360" w:lineRule="auto"/>
        <w:ind w:right="284"/>
        <w:jc w:val="both"/>
        <w:rPr>
          <w:rFonts w:eastAsia="Times New Roman"/>
          <w:sz w:val="4"/>
          <w:szCs w:val="12"/>
          <w:lang w:eastAsia="it-IT"/>
        </w:rPr>
      </w:pPr>
    </w:p>
    <w:p w14:paraId="70114949" w14:textId="77777777" w:rsidR="00F56356" w:rsidRPr="00F56356" w:rsidRDefault="00F56356" w:rsidP="00F56356">
      <w:pPr>
        <w:spacing w:after="0" w:line="360" w:lineRule="auto"/>
        <w:ind w:right="284"/>
        <w:jc w:val="both"/>
        <w:rPr>
          <w:rFonts w:eastAsia="Times New Roman"/>
          <w:sz w:val="4"/>
          <w:szCs w:val="12"/>
          <w:lang w:eastAsia="it-IT"/>
        </w:rPr>
      </w:pPr>
    </w:p>
    <w:p w14:paraId="62357173" w14:textId="77777777" w:rsidR="00F56356" w:rsidRPr="00F56356" w:rsidRDefault="00F56356" w:rsidP="00F56356">
      <w:pPr>
        <w:spacing w:after="0" w:line="360" w:lineRule="auto"/>
        <w:ind w:right="284"/>
        <w:jc w:val="both"/>
        <w:rPr>
          <w:rFonts w:eastAsia="Times New Roman"/>
          <w:sz w:val="4"/>
          <w:szCs w:val="12"/>
          <w:lang w:eastAsia="it-IT"/>
        </w:rPr>
      </w:pPr>
    </w:p>
    <w:p w14:paraId="374E3367" w14:textId="77777777" w:rsidR="00F56356" w:rsidRPr="00F56356" w:rsidRDefault="00F56356" w:rsidP="00F56356">
      <w:pPr>
        <w:spacing w:after="0" w:line="360" w:lineRule="auto"/>
        <w:ind w:right="284"/>
        <w:jc w:val="both"/>
        <w:rPr>
          <w:rFonts w:eastAsia="Times New Roman"/>
          <w:sz w:val="4"/>
          <w:szCs w:val="12"/>
          <w:lang w:eastAsia="it-IT"/>
        </w:rPr>
      </w:pPr>
    </w:p>
    <w:p w14:paraId="4E16BC1A" w14:textId="77777777" w:rsidR="00F56356" w:rsidRPr="00F56356" w:rsidRDefault="00F56356" w:rsidP="00F56356">
      <w:pPr>
        <w:spacing w:after="0" w:line="360" w:lineRule="auto"/>
        <w:ind w:right="284"/>
        <w:jc w:val="both"/>
        <w:rPr>
          <w:rFonts w:eastAsia="Times New Roman"/>
          <w:sz w:val="4"/>
          <w:szCs w:val="12"/>
          <w:lang w:eastAsia="it-IT"/>
        </w:rPr>
      </w:pPr>
    </w:p>
    <w:p w14:paraId="593B0870" w14:textId="77777777" w:rsidR="00F56356" w:rsidRPr="00F56356" w:rsidRDefault="00F56356" w:rsidP="00F56356">
      <w:pPr>
        <w:spacing w:after="0" w:line="360" w:lineRule="auto"/>
        <w:ind w:right="284"/>
        <w:jc w:val="both"/>
        <w:rPr>
          <w:rFonts w:eastAsia="Times New Roman"/>
          <w:sz w:val="4"/>
          <w:szCs w:val="12"/>
          <w:lang w:eastAsia="it-IT"/>
        </w:rPr>
      </w:pPr>
    </w:p>
    <w:p w14:paraId="48BF861B" w14:textId="77777777" w:rsidR="00F56356" w:rsidRPr="00F56356" w:rsidRDefault="00F56356" w:rsidP="00F56356">
      <w:pPr>
        <w:spacing w:after="0" w:line="360" w:lineRule="auto"/>
        <w:ind w:right="284"/>
        <w:jc w:val="both"/>
        <w:rPr>
          <w:rFonts w:eastAsia="Times New Roman"/>
          <w:sz w:val="4"/>
          <w:szCs w:val="12"/>
          <w:lang w:eastAsia="it-IT"/>
        </w:rPr>
      </w:pPr>
    </w:p>
    <w:p w14:paraId="76889658" w14:textId="77777777" w:rsidR="00F56356" w:rsidRPr="00F56356" w:rsidRDefault="00F56356" w:rsidP="00F56356">
      <w:pPr>
        <w:spacing w:after="0" w:line="360" w:lineRule="auto"/>
        <w:ind w:right="284"/>
        <w:jc w:val="both"/>
        <w:rPr>
          <w:rFonts w:eastAsia="Times New Roman"/>
          <w:sz w:val="4"/>
          <w:szCs w:val="12"/>
          <w:lang w:eastAsia="it-IT"/>
        </w:rPr>
      </w:pPr>
    </w:p>
    <w:p w14:paraId="70FC9451" w14:textId="77777777" w:rsidR="00F56356" w:rsidRPr="00F56356" w:rsidRDefault="00F56356" w:rsidP="00F56356">
      <w:pPr>
        <w:spacing w:after="0" w:line="360" w:lineRule="auto"/>
        <w:ind w:right="284"/>
        <w:jc w:val="both"/>
        <w:rPr>
          <w:rFonts w:eastAsia="Times New Roman"/>
          <w:sz w:val="4"/>
          <w:szCs w:val="12"/>
          <w:lang w:eastAsia="it-IT"/>
        </w:rPr>
      </w:pPr>
    </w:p>
    <w:p w14:paraId="24D2EC6D" w14:textId="77777777" w:rsidR="00F56356" w:rsidRPr="00F56356" w:rsidRDefault="00F56356" w:rsidP="00F56356">
      <w:pPr>
        <w:spacing w:after="0" w:line="360" w:lineRule="auto"/>
        <w:ind w:right="284"/>
        <w:jc w:val="both"/>
        <w:rPr>
          <w:rFonts w:eastAsia="Times New Roman"/>
          <w:sz w:val="4"/>
          <w:szCs w:val="12"/>
          <w:lang w:eastAsia="it-IT"/>
        </w:rPr>
      </w:pPr>
    </w:p>
    <w:p w14:paraId="4AC4D4F5" w14:textId="77777777" w:rsidR="00F56356" w:rsidRPr="00F56356" w:rsidRDefault="00F56356" w:rsidP="00F56356">
      <w:pPr>
        <w:spacing w:after="0" w:line="360" w:lineRule="auto"/>
        <w:ind w:right="284"/>
        <w:jc w:val="both"/>
        <w:rPr>
          <w:rFonts w:eastAsia="Times New Roman"/>
          <w:sz w:val="4"/>
          <w:szCs w:val="12"/>
          <w:lang w:eastAsia="it-IT"/>
        </w:rPr>
      </w:pPr>
    </w:p>
    <w:p w14:paraId="7C2AA027" w14:textId="77777777" w:rsidR="00F56356" w:rsidRPr="00F56356" w:rsidRDefault="00F56356" w:rsidP="00F56356">
      <w:pPr>
        <w:spacing w:after="0" w:line="360" w:lineRule="auto"/>
        <w:ind w:right="284"/>
        <w:jc w:val="both"/>
        <w:rPr>
          <w:rFonts w:eastAsia="Times New Roman"/>
          <w:sz w:val="4"/>
          <w:szCs w:val="12"/>
          <w:lang w:eastAsia="it-IT"/>
        </w:rPr>
      </w:pPr>
    </w:p>
    <w:p w14:paraId="0A4F009E" w14:textId="77777777" w:rsidR="00F56356" w:rsidRPr="00F56356" w:rsidRDefault="00F56356" w:rsidP="00F56356">
      <w:pPr>
        <w:spacing w:after="0" w:line="360" w:lineRule="auto"/>
        <w:ind w:right="284"/>
        <w:jc w:val="both"/>
        <w:rPr>
          <w:rFonts w:eastAsia="Times New Roman"/>
          <w:sz w:val="4"/>
          <w:szCs w:val="12"/>
          <w:lang w:eastAsia="it-IT"/>
        </w:rPr>
      </w:pPr>
    </w:p>
    <w:p w14:paraId="13D75809" w14:textId="77777777" w:rsidR="00F56356" w:rsidRPr="00F56356" w:rsidRDefault="00F56356" w:rsidP="00F56356">
      <w:pPr>
        <w:spacing w:after="0" w:line="360" w:lineRule="auto"/>
        <w:ind w:right="284"/>
        <w:jc w:val="both"/>
        <w:rPr>
          <w:rFonts w:eastAsia="Times New Roman"/>
          <w:sz w:val="4"/>
          <w:szCs w:val="12"/>
          <w:lang w:eastAsia="it-IT"/>
        </w:rPr>
      </w:pPr>
    </w:p>
    <w:p w14:paraId="4759124F" w14:textId="77777777" w:rsidR="00F56356" w:rsidRPr="00F56356" w:rsidRDefault="00F56356" w:rsidP="00F56356">
      <w:pPr>
        <w:spacing w:after="0" w:line="360" w:lineRule="auto"/>
        <w:ind w:right="284"/>
        <w:jc w:val="both"/>
        <w:rPr>
          <w:rFonts w:eastAsia="Times New Roman"/>
          <w:sz w:val="4"/>
          <w:szCs w:val="12"/>
          <w:lang w:eastAsia="it-IT"/>
        </w:rPr>
      </w:pPr>
    </w:p>
    <w:p w14:paraId="3F202DA7" w14:textId="77777777" w:rsidR="00F56356" w:rsidRPr="00F56356" w:rsidRDefault="00F56356" w:rsidP="00F56356">
      <w:pPr>
        <w:spacing w:after="0" w:line="360" w:lineRule="auto"/>
        <w:ind w:right="284"/>
        <w:jc w:val="both"/>
        <w:rPr>
          <w:rFonts w:eastAsia="Times New Roman"/>
          <w:sz w:val="4"/>
          <w:szCs w:val="12"/>
          <w:lang w:eastAsia="it-IT"/>
        </w:rPr>
      </w:pPr>
    </w:p>
    <w:p w14:paraId="5084280C" w14:textId="77777777" w:rsidR="00F56356" w:rsidRPr="00F56356" w:rsidRDefault="00F56356" w:rsidP="00F56356">
      <w:pPr>
        <w:spacing w:after="0" w:line="360" w:lineRule="auto"/>
        <w:ind w:right="284"/>
        <w:jc w:val="both"/>
        <w:rPr>
          <w:rFonts w:eastAsia="Times New Roman"/>
          <w:sz w:val="4"/>
          <w:szCs w:val="12"/>
          <w:lang w:eastAsia="it-IT"/>
        </w:rPr>
      </w:pPr>
    </w:p>
    <w:p w14:paraId="79014007" w14:textId="38CA0366" w:rsidR="00F56356" w:rsidRDefault="00F56356" w:rsidP="00F56356">
      <w:pPr>
        <w:spacing w:after="0" w:line="360" w:lineRule="auto"/>
        <w:ind w:right="284"/>
        <w:jc w:val="both"/>
        <w:rPr>
          <w:rFonts w:eastAsia="Times New Roman"/>
          <w:sz w:val="4"/>
          <w:szCs w:val="12"/>
          <w:lang w:eastAsia="it-IT"/>
        </w:rPr>
      </w:pPr>
    </w:p>
    <w:p w14:paraId="38F12E21" w14:textId="17838C2C" w:rsidR="0043213C" w:rsidRDefault="0043213C" w:rsidP="00F56356">
      <w:pPr>
        <w:spacing w:after="0" w:line="360" w:lineRule="auto"/>
        <w:ind w:right="284"/>
        <w:jc w:val="both"/>
        <w:rPr>
          <w:rFonts w:eastAsia="Times New Roman"/>
          <w:sz w:val="4"/>
          <w:szCs w:val="12"/>
          <w:lang w:eastAsia="it-IT"/>
        </w:rPr>
      </w:pPr>
    </w:p>
    <w:p w14:paraId="2CA521D8" w14:textId="5610153D" w:rsidR="0043213C" w:rsidRDefault="0043213C" w:rsidP="00F56356">
      <w:pPr>
        <w:spacing w:after="0" w:line="360" w:lineRule="auto"/>
        <w:ind w:right="284"/>
        <w:jc w:val="both"/>
        <w:rPr>
          <w:rFonts w:eastAsia="Times New Roman"/>
          <w:sz w:val="4"/>
          <w:szCs w:val="12"/>
          <w:lang w:eastAsia="it-IT"/>
        </w:rPr>
      </w:pPr>
    </w:p>
    <w:p w14:paraId="420BA0B9" w14:textId="77777777" w:rsidR="0043213C" w:rsidRPr="00F56356" w:rsidRDefault="0043213C" w:rsidP="00F56356">
      <w:pPr>
        <w:spacing w:after="0" w:line="360" w:lineRule="auto"/>
        <w:ind w:right="284"/>
        <w:jc w:val="both"/>
        <w:rPr>
          <w:rFonts w:eastAsia="Times New Roman"/>
          <w:sz w:val="4"/>
          <w:szCs w:val="12"/>
          <w:lang w:eastAsia="it-IT"/>
        </w:rPr>
      </w:pPr>
    </w:p>
    <w:p w14:paraId="40024D6C" w14:textId="77777777" w:rsidR="00F56356" w:rsidRPr="00F56356" w:rsidRDefault="00F56356" w:rsidP="00F56356">
      <w:pPr>
        <w:spacing w:after="0" w:line="360" w:lineRule="auto"/>
        <w:ind w:right="284"/>
        <w:jc w:val="both"/>
        <w:rPr>
          <w:rFonts w:eastAsia="Times New Roman"/>
          <w:sz w:val="4"/>
          <w:szCs w:val="12"/>
          <w:lang w:eastAsia="it-IT"/>
        </w:rPr>
      </w:pPr>
    </w:p>
    <w:p w14:paraId="3360EBE5" w14:textId="77777777" w:rsidR="00F56356" w:rsidRPr="00F56356" w:rsidRDefault="00F56356" w:rsidP="00F56356">
      <w:pPr>
        <w:spacing w:after="0" w:line="360" w:lineRule="auto"/>
        <w:ind w:right="284"/>
        <w:jc w:val="both"/>
        <w:rPr>
          <w:rFonts w:eastAsia="Times New Roman"/>
          <w:sz w:val="4"/>
          <w:szCs w:val="12"/>
          <w:lang w:eastAsia="it-IT"/>
        </w:rPr>
      </w:pPr>
    </w:p>
    <w:p w14:paraId="28468ADB" w14:textId="77777777" w:rsidR="00F56356" w:rsidRPr="00F56356" w:rsidRDefault="00F56356" w:rsidP="00F56356">
      <w:pPr>
        <w:spacing w:after="0" w:line="360" w:lineRule="auto"/>
        <w:ind w:right="284"/>
        <w:jc w:val="both"/>
        <w:rPr>
          <w:rFonts w:eastAsia="Times New Roman"/>
          <w:sz w:val="4"/>
          <w:szCs w:val="12"/>
          <w:lang w:eastAsia="it-IT"/>
        </w:rPr>
      </w:pPr>
    </w:p>
    <w:p w14:paraId="3549C528" w14:textId="77777777" w:rsidR="00F56356" w:rsidRPr="00F56356" w:rsidRDefault="00F56356" w:rsidP="00F56356">
      <w:pPr>
        <w:spacing w:after="0" w:line="360" w:lineRule="auto"/>
        <w:ind w:right="284"/>
        <w:jc w:val="both"/>
        <w:rPr>
          <w:rFonts w:eastAsia="Times New Roman"/>
          <w:sz w:val="4"/>
          <w:szCs w:val="12"/>
          <w:lang w:eastAsia="it-IT"/>
        </w:rPr>
      </w:pPr>
    </w:p>
    <w:p w14:paraId="6A1D61F3" w14:textId="77777777" w:rsidR="00F56356" w:rsidRPr="00F56356" w:rsidRDefault="00F56356" w:rsidP="00F56356">
      <w:pPr>
        <w:spacing w:after="0" w:line="360" w:lineRule="auto"/>
        <w:ind w:right="284"/>
        <w:jc w:val="both"/>
        <w:rPr>
          <w:rFonts w:eastAsia="Times New Roman"/>
          <w:sz w:val="4"/>
          <w:szCs w:val="12"/>
          <w:lang w:eastAsia="it-IT"/>
        </w:rPr>
      </w:pPr>
    </w:p>
    <w:p w14:paraId="04439FFE" w14:textId="77777777" w:rsidR="00F56356" w:rsidRPr="00F56356" w:rsidRDefault="00F56356" w:rsidP="00F56356">
      <w:pPr>
        <w:spacing w:after="0" w:line="360" w:lineRule="auto"/>
        <w:ind w:right="284"/>
        <w:jc w:val="both"/>
        <w:rPr>
          <w:rFonts w:eastAsia="Times New Roman"/>
          <w:sz w:val="4"/>
          <w:szCs w:val="12"/>
          <w:lang w:eastAsia="it-IT"/>
        </w:rPr>
      </w:pPr>
    </w:p>
    <w:p w14:paraId="315D784A" w14:textId="77777777" w:rsidR="00F56356" w:rsidRPr="00F56356" w:rsidRDefault="00F56356" w:rsidP="00F56356">
      <w:pPr>
        <w:spacing w:after="0" w:line="360" w:lineRule="auto"/>
        <w:ind w:right="284"/>
        <w:jc w:val="both"/>
        <w:rPr>
          <w:rFonts w:eastAsia="Times New Roman"/>
          <w:sz w:val="4"/>
          <w:szCs w:val="12"/>
          <w:lang w:eastAsia="it-IT"/>
        </w:rPr>
      </w:pPr>
    </w:p>
    <w:p w14:paraId="69DC7E61" w14:textId="77777777" w:rsidR="00F56356" w:rsidRPr="00F56356" w:rsidRDefault="00F56356" w:rsidP="00F56356">
      <w:pPr>
        <w:spacing w:after="0" w:line="360" w:lineRule="auto"/>
        <w:ind w:right="284"/>
        <w:jc w:val="both"/>
        <w:rPr>
          <w:rFonts w:eastAsia="Times New Roman"/>
          <w:sz w:val="4"/>
          <w:szCs w:val="12"/>
          <w:lang w:eastAsia="it-IT"/>
        </w:rPr>
      </w:pPr>
    </w:p>
    <w:p w14:paraId="4AE944BA" w14:textId="77777777" w:rsidR="00F56356" w:rsidRPr="00F56356" w:rsidRDefault="00F56356" w:rsidP="00F56356">
      <w:pPr>
        <w:spacing w:after="0" w:line="360" w:lineRule="auto"/>
        <w:ind w:right="284"/>
        <w:jc w:val="both"/>
        <w:rPr>
          <w:rFonts w:eastAsia="Times New Roman"/>
          <w:sz w:val="4"/>
          <w:szCs w:val="12"/>
          <w:lang w:eastAsia="it-IT"/>
        </w:rPr>
      </w:pPr>
    </w:p>
    <w:p w14:paraId="71FE6637" w14:textId="77777777" w:rsidR="00F56356" w:rsidRPr="00F56356" w:rsidRDefault="00F56356" w:rsidP="00F56356">
      <w:pPr>
        <w:spacing w:after="0" w:line="360" w:lineRule="auto"/>
        <w:ind w:right="284"/>
        <w:jc w:val="both"/>
        <w:rPr>
          <w:rFonts w:eastAsia="Times New Roman"/>
          <w:sz w:val="4"/>
          <w:szCs w:val="12"/>
          <w:lang w:eastAsia="it-IT"/>
        </w:rPr>
      </w:pPr>
    </w:p>
    <w:p w14:paraId="47A4333B" w14:textId="77777777" w:rsidR="00F56356" w:rsidRPr="00F56356" w:rsidRDefault="00F56356" w:rsidP="00F56356">
      <w:pPr>
        <w:spacing w:after="0" w:line="360" w:lineRule="auto"/>
        <w:ind w:right="284"/>
        <w:jc w:val="both"/>
        <w:rPr>
          <w:rFonts w:eastAsia="Times New Roman"/>
          <w:sz w:val="4"/>
          <w:szCs w:val="12"/>
          <w:lang w:eastAsia="it-IT"/>
        </w:rPr>
      </w:pPr>
    </w:p>
    <w:p w14:paraId="014E43F7" w14:textId="77777777" w:rsidR="00F56356" w:rsidRPr="00F56356" w:rsidRDefault="00F56356" w:rsidP="00F56356">
      <w:pPr>
        <w:spacing w:after="0" w:line="360" w:lineRule="auto"/>
        <w:ind w:right="284"/>
        <w:jc w:val="both"/>
        <w:rPr>
          <w:rFonts w:eastAsia="Times New Roman"/>
          <w:sz w:val="4"/>
          <w:szCs w:val="12"/>
          <w:lang w:eastAsia="it-IT"/>
        </w:rPr>
      </w:pPr>
    </w:p>
    <w:p w14:paraId="329212EE" w14:textId="77777777" w:rsidR="00F56356" w:rsidRPr="00F56356" w:rsidRDefault="00F56356" w:rsidP="00F56356">
      <w:pPr>
        <w:spacing w:after="0" w:line="360" w:lineRule="auto"/>
        <w:ind w:right="284"/>
        <w:jc w:val="both"/>
        <w:rPr>
          <w:rFonts w:eastAsia="Times New Roman"/>
          <w:sz w:val="4"/>
          <w:szCs w:val="12"/>
          <w:lang w:eastAsia="it-IT"/>
        </w:rPr>
      </w:pPr>
    </w:p>
    <w:p w14:paraId="28ECF0C8" w14:textId="77777777" w:rsidR="00F56356" w:rsidRPr="00F56356" w:rsidRDefault="00F56356" w:rsidP="00F56356">
      <w:pPr>
        <w:spacing w:after="0" w:line="360" w:lineRule="auto"/>
        <w:ind w:right="284"/>
        <w:jc w:val="both"/>
        <w:rPr>
          <w:rFonts w:eastAsia="Times New Roman"/>
          <w:sz w:val="4"/>
          <w:szCs w:val="12"/>
          <w:lang w:eastAsia="it-IT"/>
        </w:rPr>
      </w:pPr>
    </w:p>
    <w:p w14:paraId="24DDF01A" w14:textId="77777777" w:rsidR="00F56356" w:rsidRPr="00F56356" w:rsidRDefault="00F56356" w:rsidP="00F56356">
      <w:pPr>
        <w:spacing w:after="0" w:line="360" w:lineRule="auto"/>
        <w:ind w:right="284"/>
        <w:jc w:val="both"/>
        <w:rPr>
          <w:rFonts w:eastAsia="Times New Roman"/>
          <w:sz w:val="4"/>
          <w:szCs w:val="12"/>
          <w:lang w:eastAsia="it-IT"/>
        </w:rPr>
      </w:pPr>
    </w:p>
    <w:p w14:paraId="7150E38E" w14:textId="77777777" w:rsidR="00F56356" w:rsidRPr="00F56356" w:rsidRDefault="00F56356" w:rsidP="00F56356">
      <w:pPr>
        <w:spacing w:after="0" w:line="360" w:lineRule="auto"/>
        <w:ind w:right="284"/>
        <w:jc w:val="both"/>
        <w:rPr>
          <w:rFonts w:eastAsia="Times New Roman"/>
          <w:sz w:val="4"/>
          <w:szCs w:val="12"/>
          <w:lang w:eastAsia="it-IT"/>
        </w:rPr>
      </w:pPr>
    </w:p>
    <w:p w14:paraId="4736B96E" w14:textId="77777777" w:rsidR="00F56356" w:rsidRPr="00F56356" w:rsidRDefault="00F56356" w:rsidP="00F56356">
      <w:pPr>
        <w:spacing w:after="0" w:line="360" w:lineRule="auto"/>
        <w:ind w:right="284"/>
        <w:jc w:val="both"/>
        <w:rPr>
          <w:rFonts w:eastAsia="Times New Roman"/>
          <w:sz w:val="4"/>
          <w:szCs w:val="12"/>
          <w:lang w:eastAsia="it-IT"/>
        </w:rPr>
      </w:pPr>
    </w:p>
    <w:p w14:paraId="19749657" w14:textId="77777777" w:rsidR="00F56356" w:rsidRPr="00F56356" w:rsidRDefault="00F56356" w:rsidP="00F56356">
      <w:pPr>
        <w:spacing w:after="0" w:line="360" w:lineRule="auto"/>
        <w:ind w:right="284"/>
        <w:jc w:val="both"/>
        <w:rPr>
          <w:rFonts w:eastAsia="Times New Roman"/>
          <w:sz w:val="4"/>
          <w:szCs w:val="12"/>
          <w:lang w:eastAsia="it-IT"/>
        </w:rPr>
      </w:pPr>
    </w:p>
    <w:p w14:paraId="28B8583B" w14:textId="77777777" w:rsidR="00F56356" w:rsidRPr="00F56356" w:rsidRDefault="00F56356" w:rsidP="00F56356">
      <w:pPr>
        <w:spacing w:after="0" w:line="360" w:lineRule="auto"/>
        <w:ind w:right="284"/>
        <w:jc w:val="both"/>
        <w:rPr>
          <w:rFonts w:eastAsia="Times New Roman"/>
          <w:sz w:val="4"/>
          <w:szCs w:val="12"/>
          <w:lang w:eastAsia="it-IT"/>
        </w:rPr>
      </w:pPr>
    </w:p>
    <w:p w14:paraId="431D93FE" w14:textId="77777777" w:rsidR="00F56356" w:rsidRPr="00F56356" w:rsidRDefault="00F56356" w:rsidP="00F56356">
      <w:pPr>
        <w:spacing w:after="0" w:line="360" w:lineRule="auto"/>
        <w:ind w:right="284"/>
        <w:jc w:val="both"/>
        <w:rPr>
          <w:rFonts w:eastAsia="Times New Roman"/>
          <w:sz w:val="4"/>
          <w:szCs w:val="12"/>
          <w:lang w:eastAsia="it-IT"/>
        </w:rPr>
      </w:pPr>
    </w:p>
    <w:p w14:paraId="60C358D4" w14:textId="77777777" w:rsidR="00F56356" w:rsidRPr="00F56356" w:rsidRDefault="00F56356" w:rsidP="00F56356">
      <w:pPr>
        <w:spacing w:after="0" w:line="360" w:lineRule="auto"/>
        <w:ind w:right="284"/>
        <w:jc w:val="both"/>
        <w:rPr>
          <w:rFonts w:eastAsia="Times New Roman"/>
          <w:sz w:val="4"/>
          <w:szCs w:val="12"/>
          <w:lang w:eastAsia="it-IT"/>
        </w:rPr>
      </w:pPr>
    </w:p>
    <w:p w14:paraId="4133A9E3" w14:textId="77777777" w:rsidR="00F56356" w:rsidRPr="00F56356" w:rsidRDefault="00F56356" w:rsidP="00F56356">
      <w:pPr>
        <w:spacing w:after="0" w:line="360" w:lineRule="auto"/>
        <w:ind w:right="284"/>
        <w:jc w:val="both"/>
        <w:rPr>
          <w:rFonts w:eastAsia="Times New Roman"/>
          <w:sz w:val="4"/>
          <w:szCs w:val="12"/>
          <w:lang w:eastAsia="it-IT"/>
        </w:rPr>
      </w:pPr>
    </w:p>
    <w:p w14:paraId="76094061" w14:textId="77777777" w:rsidR="00F56356" w:rsidRPr="00F56356" w:rsidRDefault="00F56356" w:rsidP="00F56356">
      <w:pPr>
        <w:spacing w:after="0" w:line="360" w:lineRule="auto"/>
        <w:ind w:right="284"/>
        <w:jc w:val="both"/>
        <w:rPr>
          <w:rFonts w:eastAsia="Times New Roman"/>
          <w:sz w:val="4"/>
          <w:szCs w:val="12"/>
          <w:lang w:eastAsia="it-IT"/>
        </w:rPr>
      </w:pPr>
    </w:p>
    <w:p w14:paraId="5BF7BE0D" w14:textId="77777777" w:rsidR="00F56356" w:rsidRPr="00F56356" w:rsidRDefault="00F56356" w:rsidP="00F56356">
      <w:pPr>
        <w:spacing w:after="0" w:line="360" w:lineRule="auto"/>
        <w:ind w:right="284"/>
        <w:jc w:val="both"/>
        <w:rPr>
          <w:rFonts w:eastAsia="Times New Roman"/>
          <w:sz w:val="4"/>
          <w:szCs w:val="12"/>
          <w:lang w:eastAsia="it-IT"/>
        </w:rPr>
      </w:pPr>
    </w:p>
    <w:p w14:paraId="4A42D974" w14:textId="77777777" w:rsidR="00F56356" w:rsidRPr="00F56356" w:rsidRDefault="00F56356" w:rsidP="00F56356">
      <w:pPr>
        <w:spacing w:after="0" w:line="360" w:lineRule="auto"/>
        <w:ind w:right="284"/>
        <w:jc w:val="both"/>
        <w:rPr>
          <w:rFonts w:eastAsia="Times New Roman"/>
          <w:sz w:val="4"/>
          <w:szCs w:val="12"/>
          <w:lang w:eastAsia="it-IT"/>
        </w:rPr>
      </w:pPr>
    </w:p>
    <w:p w14:paraId="019D2417" w14:textId="77777777" w:rsidR="00F56356" w:rsidRPr="00F56356" w:rsidRDefault="00F56356" w:rsidP="00F56356">
      <w:pPr>
        <w:spacing w:after="0" w:line="360" w:lineRule="auto"/>
        <w:ind w:right="284"/>
        <w:jc w:val="both"/>
        <w:rPr>
          <w:rFonts w:eastAsia="Times New Roman"/>
          <w:sz w:val="4"/>
          <w:szCs w:val="12"/>
          <w:lang w:eastAsia="it-IT"/>
        </w:rPr>
      </w:pPr>
    </w:p>
    <w:p w14:paraId="047E3DE2" w14:textId="77777777" w:rsidR="00F56356" w:rsidRPr="00F56356" w:rsidRDefault="00F56356" w:rsidP="00F56356">
      <w:pPr>
        <w:spacing w:after="0" w:line="360" w:lineRule="auto"/>
        <w:ind w:right="284"/>
        <w:jc w:val="both"/>
        <w:rPr>
          <w:rFonts w:eastAsia="Times New Roman"/>
          <w:sz w:val="4"/>
          <w:szCs w:val="12"/>
          <w:lang w:eastAsia="it-IT"/>
        </w:rPr>
      </w:pPr>
    </w:p>
    <w:p w14:paraId="7A18AB11" w14:textId="77777777" w:rsidR="00F56356" w:rsidRPr="00F56356" w:rsidRDefault="00F56356" w:rsidP="00F56356">
      <w:pPr>
        <w:spacing w:after="0" w:line="360" w:lineRule="auto"/>
        <w:ind w:right="284"/>
        <w:jc w:val="both"/>
        <w:rPr>
          <w:rFonts w:eastAsia="Times New Roman"/>
          <w:sz w:val="4"/>
          <w:szCs w:val="12"/>
          <w:lang w:eastAsia="it-IT"/>
        </w:rPr>
      </w:pPr>
    </w:p>
    <w:p w14:paraId="1F6797B5" w14:textId="77777777" w:rsidR="00F56356" w:rsidRPr="00F56356" w:rsidRDefault="00F56356" w:rsidP="00F56356">
      <w:pPr>
        <w:spacing w:after="0" w:line="360" w:lineRule="auto"/>
        <w:ind w:right="284"/>
        <w:jc w:val="both"/>
        <w:rPr>
          <w:rFonts w:eastAsia="Times New Roman"/>
          <w:sz w:val="4"/>
          <w:szCs w:val="12"/>
          <w:lang w:eastAsia="it-IT"/>
        </w:rPr>
      </w:pPr>
    </w:p>
    <w:p w14:paraId="6433BDF6" w14:textId="77777777" w:rsidR="00F56356" w:rsidRPr="00F56356" w:rsidRDefault="00F56356" w:rsidP="00F56356">
      <w:pPr>
        <w:spacing w:after="0" w:line="360" w:lineRule="auto"/>
        <w:ind w:right="284"/>
        <w:jc w:val="both"/>
        <w:rPr>
          <w:rFonts w:eastAsia="Times New Roman"/>
          <w:sz w:val="4"/>
          <w:szCs w:val="12"/>
          <w:lang w:eastAsia="it-IT"/>
        </w:rPr>
      </w:pPr>
    </w:p>
    <w:p w14:paraId="300B83F3" w14:textId="77777777" w:rsidR="00F56356" w:rsidRPr="00F56356" w:rsidRDefault="00F56356" w:rsidP="00F56356">
      <w:pPr>
        <w:spacing w:after="0" w:line="360" w:lineRule="auto"/>
        <w:ind w:right="284"/>
        <w:jc w:val="both"/>
        <w:rPr>
          <w:rFonts w:eastAsia="Times New Roman"/>
          <w:sz w:val="4"/>
          <w:szCs w:val="12"/>
          <w:lang w:eastAsia="it-IT"/>
        </w:rPr>
      </w:pPr>
    </w:p>
    <w:p w14:paraId="44D1C53D" w14:textId="77777777" w:rsidR="00F56356" w:rsidRPr="00F56356" w:rsidRDefault="00F56356" w:rsidP="00F56356">
      <w:pPr>
        <w:spacing w:after="0" w:line="360" w:lineRule="auto"/>
        <w:ind w:right="284"/>
        <w:jc w:val="both"/>
        <w:rPr>
          <w:rFonts w:eastAsia="Times New Roman"/>
          <w:sz w:val="4"/>
          <w:szCs w:val="12"/>
          <w:lang w:eastAsia="it-IT"/>
        </w:rPr>
      </w:pPr>
    </w:p>
    <w:p w14:paraId="3E888555" w14:textId="77777777" w:rsidR="00F56356" w:rsidRPr="00F56356" w:rsidRDefault="00F56356" w:rsidP="00F56356">
      <w:pPr>
        <w:spacing w:after="0" w:line="360" w:lineRule="auto"/>
        <w:ind w:right="284"/>
        <w:jc w:val="both"/>
        <w:rPr>
          <w:rFonts w:eastAsia="Times New Roman"/>
          <w:sz w:val="4"/>
          <w:szCs w:val="12"/>
          <w:lang w:eastAsia="it-IT"/>
        </w:rPr>
      </w:pPr>
    </w:p>
    <w:p w14:paraId="166FF55C" w14:textId="77777777" w:rsidR="00F56356" w:rsidRPr="00F56356" w:rsidRDefault="00F56356" w:rsidP="00F56356">
      <w:pPr>
        <w:spacing w:after="0" w:line="360" w:lineRule="auto"/>
        <w:ind w:right="284"/>
        <w:jc w:val="both"/>
        <w:rPr>
          <w:rFonts w:eastAsia="Times New Roman"/>
          <w:sz w:val="4"/>
          <w:szCs w:val="12"/>
          <w:lang w:eastAsia="it-IT"/>
        </w:rPr>
      </w:pPr>
    </w:p>
    <w:p w14:paraId="602477FA" w14:textId="77777777" w:rsidR="00F56356" w:rsidRPr="00F56356" w:rsidRDefault="00F56356" w:rsidP="00F56356">
      <w:pPr>
        <w:spacing w:after="0" w:line="360" w:lineRule="auto"/>
        <w:ind w:right="284"/>
        <w:jc w:val="both"/>
        <w:rPr>
          <w:rFonts w:eastAsia="Times New Roman"/>
          <w:sz w:val="4"/>
          <w:szCs w:val="12"/>
          <w:lang w:eastAsia="it-IT"/>
        </w:rPr>
      </w:pPr>
    </w:p>
    <w:p w14:paraId="721B9C71" w14:textId="77777777" w:rsidR="00F56356" w:rsidRPr="00F56356" w:rsidRDefault="00F56356" w:rsidP="00F56356">
      <w:pPr>
        <w:spacing w:after="0" w:line="360" w:lineRule="auto"/>
        <w:ind w:right="284"/>
        <w:jc w:val="both"/>
        <w:rPr>
          <w:rFonts w:eastAsia="Times New Roman"/>
          <w:sz w:val="4"/>
          <w:szCs w:val="12"/>
          <w:lang w:eastAsia="it-IT"/>
        </w:rPr>
      </w:pPr>
    </w:p>
    <w:p w14:paraId="284D8719" w14:textId="77777777" w:rsidR="00F56356" w:rsidRPr="00F56356" w:rsidRDefault="00F56356" w:rsidP="00F56356">
      <w:pPr>
        <w:spacing w:after="0" w:line="360" w:lineRule="auto"/>
        <w:ind w:right="284"/>
        <w:jc w:val="both"/>
        <w:rPr>
          <w:rFonts w:eastAsia="Times New Roman"/>
          <w:sz w:val="4"/>
          <w:szCs w:val="12"/>
          <w:lang w:eastAsia="it-IT"/>
        </w:rPr>
      </w:pPr>
    </w:p>
    <w:p w14:paraId="4144A139" w14:textId="77777777" w:rsidR="00F56356" w:rsidRPr="00F56356" w:rsidRDefault="00F56356" w:rsidP="00F56356">
      <w:pPr>
        <w:spacing w:after="0" w:line="360" w:lineRule="auto"/>
        <w:ind w:right="284"/>
        <w:jc w:val="both"/>
        <w:rPr>
          <w:rFonts w:eastAsia="Times New Roman"/>
          <w:sz w:val="4"/>
          <w:szCs w:val="12"/>
          <w:lang w:eastAsia="it-IT"/>
        </w:rPr>
      </w:pPr>
    </w:p>
    <w:p w14:paraId="00E9EB11" w14:textId="77777777" w:rsidR="00F56356" w:rsidRPr="00F56356" w:rsidRDefault="00F56356" w:rsidP="00F56356">
      <w:pPr>
        <w:spacing w:after="0" w:line="360" w:lineRule="auto"/>
        <w:ind w:right="284"/>
        <w:jc w:val="both"/>
        <w:rPr>
          <w:rFonts w:eastAsia="Times New Roman"/>
          <w:sz w:val="4"/>
          <w:szCs w:val="12"/>
          <w:lang w:eastAsia="it-IT"/>
        </w:rPr>
      </w:pPr>
    </w:p>
    <w:p w14:paraId="28EB991C" w14:textId="77777777" w:rsidR="00F56356" w:rsidRPr="00F56356" w:rsidRDefault="00F56356" w:rsidP="00F56356">
      <w:pPr>
        <w:spacing w:after="0" w:line="360" w:lineRule="auto"/>
        <w:ind w:right="284"/>
        <w:jc w:val="both"/>
        <w:rPr>
          <w:rFonts w:eastAsia="Times New Roman"/>
          <w:sz w:val="4"/>
          <w:szCs w:val="12"/>
          <w:lang w:eastAsia="it-IT"/>
        </w:rPr>
      </w:pPr>
    </w:p>
    <w:p w14:paraId="715D87E9" w14:textId="77777777" w:rsidR="00F56356" w:rsidRPr="00F56356" w:rsidRDefault="00F56356" w:rsidP="00F56356">
      <w:pPr>
        <w:spacing w:after="0" w:line="360" w:lineRule="auto"/>
        <w:ind w:right="284"/>
        <w:jc w:val="both"/>
        <w:rPr>
          <w:rFonts w:eastAsia="Times New Roman"/>
          <w:sz w:val="4"/>
          <w:szCs w:val="12"/>
          <w:lang w:eastAsia="it-IT"/>
        </w:rPr>
      </w:pPr>
    </w:p>
    <w:p w14:paraId="2C33D897" w14:textId="77777777" w:rsidR="00F56356" w:rsidRPr="00F56356" w:rsidRDefault="00F56356" w:rsidP="00F56356">
      <w:pPr>
        <w:spacing w:after="0" w:line="360" w:lineRule="auto"/>
        <w:ind w:right="284"/>
        <w:jc w:val="both"/>
        <w:rPr>
          <w:rFonts w:eastAsia="Times New Roman"/>
          <w:sz w:val="4"/>
          <w:szCs w:val="12"/>
          <w:lang w:eastAsia="it-IT"/>
        </w:rPr>
      </w:pPr>
    </w:p>
    <w:p w14:paraId="5C08DA1E" w14:textId="77777777" w:rsidR="00F56356" w:rsidRPr="00F56356" w:rsidRDefault="00F56356" w:rsidP="00F56356">
      <w:pPr>
        <w:spacing w:after="0" w:line="360" w:lineRule="auto"/>
        <w:ind w:right="284"/>
        <w:jc w:val="both"/>
        <w:rPr>
          <w:rFonts w:eastAsia="Times New Roman"/>
          <w:sz w:val="4"/>
          <w:szCs w:val="12"/>
          <w:lang w:eastAsia="it-IT"/>
        </w:rPr>
      </w:pPr>
    </w:p>
    <w:p w14:paraId="5AA492C1" w14:textId="77777777" w:rsidR="00F56356" w:rsidRPr="00F56356" w:rsidRDefault="00F56356" w:rsidP="00F56356">
      <w:pPr>
        <w:spacing w:after="0" w:line="360" w:lineRule="auto"/>
        <w:ind w:right="284"/>
        <w:jc w:val="both"/>
        <w:rPr>
          <w:rFonts w:eastAsia="Times New Roman"/>
          <w:sz w:val="4"/>
          <w:szCs w:val="12"/>
          <w:lang w:eastAsia="it-IT"/>
        </w:rPr>
      </w:pPr>
    </w:p>
    <w:p w14:paraId="769ED87E" w14:textId="77777777" w:rsidR="00F56356" w:rsidRPr="00F56356" w:rsidRDefault="00F56356" w:rsidP="00F56356">
      <w:pPr>
        <w:spacing w:after="0" w:line="360" w:lineRule="auto"/>
        <w:ind w:right="284"/>
        <w:jc w:val="both"/>
        <w:rPr>
          <w:rFonts w:eastAsia="Times New Roman"/>
          <w:sz w:val="4"/>
          <w:szCs w:val="12"/>
          <w:lang w:eastAsia="it-IT"/>
        </w:rPr>
      </w:pPr>
    </w:p>
    <w:p w14:paraId="46E44692" w14:textId="77777777" w:rsidR="00F56356" w:rsidRPr="00F56356" w:rsidRDefault="00F56356" w:rsidP="00F56356">
      <w:pPr>
        <w:spacing w:after="0" w:line="360" w:lineRule="auto"/>
        <w:ind w:right="284"/>
        <w:jc w:val="both"/>
        <w:rPr>
          <w:rFonts w:eastAsia="Times New Roman"/>
          <w:sz w:val="4"/>
          <w:szCs w:val="12"/>
          <w:lang w:eastAsia="it-IT"/>
        </w:rPr>
      </w:pPr>
    </w:p>
    <w:p w14:paraId="3E741EFD" w14:textId="77777777" w:rsidR="00F56356" w:rsidRPr="00F56356" w:rsidRDefault="00F56356" w:rsidP="00F56356">
      <w:pPr>
        <w:spacing w:after="0" w:line="360" w:lineRule="auto"/>
        <w:ind w:right="284"/>
        <w:jc w:val="both"/>
        <w:rPr>
          <w:rFonts w:eastAsia="Times New Roman"/>
          <w:sz w:val="4"/>
          <w:szCs w:val="12"/>
          <w:lang w:eastAsia="it-IT"/>
        </w:rPr>
      </w:pPr>
    </w:p>
    <w:p w14:paraId="07D5A27C" w14:textId="77777777" w:rsidR="00F56356" w:rsidRPr="00F56356" w:rsidRDefault="00F56356" w:rsidP="00F56356">
      <w:pPr>
        <w:spacing w:after="0" w:line="360" w:lineRule="auto"/>
        <w:ind w:right="284"/>
        <w:jc w:val="both"/>
        <w:rPr>
          <w:rFonts w:eastAsia="Times New Roman"/>
          <w:sz w:val="4"/>
          <w:szCs w:val="12"/>
          <w:lang w:eastAsia="it-IT"/>
        </w:rPr>
      </w:pPr>
    </w:p>
    <w:p w14:paraId="29C728F8" w14:textId="77777777" w:rsidR="00F56356" w:rsidRPr="00F56356" w:rsidRDefault="00F56356" w:rsidP="00F56356">
      <w:pPr>
        <w:spacing w:after="0" w:line="360" w:lineRule="auto"/>
        <w:ind w:right="284"/>
        <w:jc w:val="both"/>
        <w:rPr>
          <w:rFonts w:eastAsia="Times New Roman"/>
          <w:sz w:val="4"/>
          <w:szCs w:val="12"/>
          <w:lang w:eastAsia="it-IT"/>
        </w:rPr>
      </w:pPr>
    </w:p>
    <w:p w14:paraId="587B753A" w14:textId="77777777" w:rsidR="00F56356" w:rsidRPr="00F56356" w:rsidRDefault="00F56356" w:rsidP="00F56356">
      <w:pPr>
        <w:spacing w:after="0" w:line="360" w:lineRule="auto"/>
        <w:ind w:right="284"/>
        <w:jc w:val="both"/>
        <w:rPr>
          <w:rFonts w:eastAsia="Times New Roman"/>
          <w:sz w:val="4"/>
          <w:szCs w:val="12"/>
          <w:lang w:eastAsia="it-IT"/>
        </w:rPr>
      </w:pPr>
    </w:p>
    <w:p w14:paraId="134D28AF" w14:textId="77777777" w:rsidR="00F56356" w:rsidRPr="00F56356" w:rsidRDefault="00F56356" w:rsidP="00F56356">
      <w:pPr>
        <w:spacing w:after="0" w:line="360" w:lineRule="auto"/>
        <w:ind w:right="284"/>
        <w:jc w:val="both"/>
        <w:rPr>
          <w:rFonts w:eastAsia="Times New Roman"/>
          <w:sz w:val="4"/>
          <w:szCs w:val="12"/>
          <w:lang w:eastAsia="it-IT"/>
        </w:rPr>
      </w:pPr>
    </w:p>
    <w:p w14:paraId="121E89A9" w14:textId="77777777" w:rsidR="00F56356" w:rsidRPr="00F56356" w:rsidRDefault="00F56356" w:rsidP="00F56356">
      <w:pPr>
        <w:spacing w:after="0" w:line="360" w:lineRule="auto"/>
        <w:ind w:right="284"/>
        <w:jc w:val="both"/>
        <w:rPr>
          <w:rFonts w:eastAsia="Times New Roman"/>
          <w:sz w:val="4"/>
          <w:szCs w:val="12"/>
          <w:lang w:eastAsia="it-IT"/>
        </w:rPr>
      </w:pPr>
    </w:p>
    <w:p w14:paraId="3893C1D5" w14:textId="77777777" w:rsidR="00F56356" w:rsidRPr="00F56356" w:rsidRDefault="00F56356" w:rsidP="00F56356">
      <w:pPr>
        <w:spacing w:after="0" w:line="360" w:lineRule="auto"/>
        <w:ind w:right="284"/>
        <w:jc w:val="both"/>
        <w:rPr>
          <w:rFonts w:eastAsia="Times New Roman"/>
          <w:sz w:val="4"/>
          <w:szCs w:val="12"/>
          <w:lang w:eastAsia="it-IT"/>
        </w:rPr>
      </w:pPr>
    </w:p>
    <w:p w14:paraId="177FCD04" w14:textId="77777777" w:rsidR="00F56356" w:rsidRPr="00F56356" w:rsidRDefault="00F56356" w:rsidP="00F56356">
      <w:pPr>
        <w:spacing w:after="0" w:line="360" w:lineRule="auto"/>
        <w:ind w:right="284"/>
        <w:jc w:val="both"/>
        <w:rPr>
          <w:rFonts w:eastAsia="Times New Roman"/>
          <w:sz w:val="4"/>
          <w:szCs w:val="12"/>
          <w:lang w:eastAsia="it-IT"/>
        </w:rPr>
      </w:pPr>
    </w:p>
    <w:p w14:paraId="1CE8D49E" w14:textId="77777777" w:rsidR="00F56356" w:rsidRPr="00F56356" w:rsidRDefault="00F56356" w:rsidP="00F56356">
      <w:pPr>
        <w:spacing w:after="0" w:line="360" w:lineRule="auto"/>
        <w:ind w:right="284"/>
        <w:jc w:val="both"/>
        <w:rPr>
          <w:rFonts w:eastAsia="Times New Roman"/>
          <w:sz w:val="4"/>
          <w:szCs w:val="12"/>
          <w:lang w:eastAsia="it-IT"/>
        </w:rPr>
      </w:pPr>
    </w:p>
    <w:tbl>
      <w:tblPr>
        <w:tblW w:w="9790" w:type="dxa"/>
        <w:tblCellMar>
          <w:left w:w="70" w:type="dxa"/>
          <w:right w:w="70" w:type="dxa"/>
        </w:tblCellMar>
        <w:tblLook w:val="04A0" w:firstRow="1" w:lastRow="0" w:firstColumn="1" w:lastColumn="0" w:noHBand="0" w:noVBand="1"/>
      </w:tblPr>
      <w:tblGrid>
        <w:gridCol w:w="380"/>
        <w:gridCol w:w="2720"/>
        <w:gridCol w:w="720"/>
        <w:gridCol w:w="1240"/>
        <w:gridCol w:w="1140"/>
        <w:gridCol w:w="1130"/>
        <w:gridCol w:w="1180"/>
        <w:gridCol w:w="1280"/>
      </w:tblGrid>
      <w:tr w:rsidR="00F56356" w:rsidRPr="00F56356" w14:paraId="12F270FE" w14:textId="77777777" w:rsidTr="00F56356">
        <w:trPr>
          <w:trHeight w:val="420"/>
        </w:trPr>
        <w:tc>
          <w:tcPr>
            <w:tcW w:w="380" w:type="dxa"/>
            <w:tcBorders>
              <w:top w:val="nil"/>
              <w:left w:val="nil"/>
              <w:bottom w:val="nil"/>
              <w:right w:val="nil"/>
            </w:tcBorders>
            <w:shd w:val="clear" w:color="auto" w:fill="auto"/>
            <w:noWrap/>
            <w:vAlign w:val="bottom"/>
            <w:hideMark/>
          </w:tcPr>
          <w:p w14:paraId="2B3173C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41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3BD50"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1B2300AD" w14:textId="77777777" w:rsidTr="00F56356">
        <w:trPr>
          <w:trHeight w:val="559"/>
        </w:trPr>
        <w:tc>
          <w:tcPr>
            <w:tcW w:w="380" w:type="dxa"/>
            <w:tcBorders>
              <w:top w:val="nil"/>
              <w:left w:val="nil"/>
              <w:bottom w:val="nil"/>
              <w:right w:val="nil"/>
            </w:tcBorders>
            <w:shd w:val="clear" w:color="auto" w:fill="auto"/>
            <w:vAlign w:val="center"/>
            <w:hideMark/>
          </w:tcPr>
          <w:p w14:paraId="79E58C5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7645340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90" w:type="dxa"/>
            <w:gridSpan w:val="6"/>
            <w:tcBorders>
              <w:top w:val="single" w:sz="4" w:space="0" w:color="auto"/>
              <w:left w:val="nil"/>
              <w:bottom w:val="single" w:sz="4" w:space="0" w:color="auto"/>
              <w:right w:val="single" w:sz="4" w:space="0" w:color="000000"/>
            </w:tcBorders>
            <w:shd w:val="clear" w:color="auto" w:fill="auto"/>
            <w:vAlign w:val="center"/>
            <w:hideMark/>
          </w:tcPr>
          <w:p w14:paraId="57E8DAE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30 - Giovani e sport</w:t>
            </w:r>
          </w:p>
        </w:tc>
      </w:tr>
      <w:tr w:rsidR="00F56356" w:rsidRPr="00F56356" w14:paraId="0BFDD81E" w14:textId="77777777" w:rsidTr="00F56356">
        <w:trPr>
          <w:trHeight w:val="554"/>
        </w:trPr>
        <w:tc>
          <w:tcPr>
            <w:tcW w:w="380" w:type="dxa"/>
            <w:tcBorders>
              <w:top w:val="nil"/>
              <w:left w:val="nil"/>
              <w:bottom w:val="nil"/>
              <w:right w:val="nil"/>
            </w:tcBorders>
            <w:shd w:val="clear" w:color="auto" w:fill="auto"/>
            <w:noWrap/>
            <w:vAlign w:val="center"/>
            <w:hideMark/>
          </w:tcPr>
          <w:p w14:paraId="28DDB32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C2DE15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90" w:type="dxa"/>
            <w:gridSpan w:val="6"/>
            <w:tcBorders>
              <w:top w:val="single" w:sz="4" w:space="0" w:color="auto"/>
              <w:left w:val="nil"/>
              <w:bottom w:val="single" w:sz="4" w:space="0" w:color="auto"/>
              <w:right w:val="single" w:sz="4" w:space="0" w:color="000000"/>
            </w:tcBorders>
            <w:shd w:val="clear" w:color="auto" w:fill="auto"/>
            <w:vAlign w:val="center"/>
            <w:hideMark/>
          </w:tcPr>
          <w:p w14:paraId="672B879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30.1 - Attività ricreative e sport</w:t>
            </w:r>
          </w:p>
        </w:tc>
      </w:tr>
      <w:tr w:rsidR="00F56356" w:rsidRPr="00F56356" w14:paraId="25767CEA" w14:textId="77777777" w:rsidTr="00F56356">
        <w:trPr>
          <w:trHeight w:val="549"/>
        </w:trPr>
        <w:tc>
          <w:tcPr>
            <w:tcW w:w="380" w:type="dxa"/>
            <w:tcBorders>
              <w:top w:val="nil"/>
              <w:left w:val="nil"/>
              <w:bottom w:val="nil"/>
              <w:right w:val="nil"/>
            </w:tcBorders>
            <w:shd w:val="clear" w:color="auto" w:fill="auto"/>
            <w:noWrap/>
            <w:vAlign w:val="center"/>
            <w:hideMark/>
          </w:tcPr>
          <w:p w14:paraId="2458C11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7BF3EF5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832871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17 - Sport</w:t>
            </w:r>
          </w:p>
        </w:tc>
      </w:tr>
      <w:tr w:rsidR="00F56356" w:rsidRPr="00F56356" w14:paraId="195772FC" w14:textId="77777777" w:rsidTr="00F56356">
        <w:trPr>
          <w:trHeight w:val="705"/>
        </w:trPr>
        <w:tc>
          <w:tcPr>
            <w:tcW w:w="380" w:type="dxa"/>
            <w:tcBorders>
              <w:top w:val="nil"/>
              <w:left w:val="nil"/>
              <w:bottom w:val="nil"/>
              <w:right w:val="nil"/>
            </w:tcBorders>
            <w:shd w:val="clear" w:color="auto" w:fill="auto"/>
            <w:noWrap/>
            <w:vAlign w:val="center"/>
            <w:hideMark/>
          </w:tcPr>
          <w:p w14:paraId="4DA2EFE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7ED9608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90" w:type="dxa"/>
            <w:gridSpan w:val="6"/>
            <w:tcBorders>
              <w:top w:val="single" w:sz="4" w:space="0" w:color="auto"/>
              <w:left w:val="nil"/>
              <w:bottom w:val="single" w:sz="4" w:space="0" w:color="auto"/>
              <w:right w:val="single" w:sz="4" w:space="0" w:color="000000"/>
            </w:tcBorders>
            <w:shd w:val="clear" w:color="auto" w:fill="auto"/>
            <w:vAlign w:val="center"/>
            <w:hideMark/>
          </w:tcPr>
          <w:p w14:paraId="74591A6B"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Spese per lo sviluppo e la promozione di eventi sportivi di rilevanza nazionale e internazionale.</w:t>
            </w:r>
          </w:p>
        </w:tc>
      </w:tr>
      <w:tr w:rsidR="00F56356" w:rsidRPr="00F56356" w14:paraId="6E95E2A2" w14:textId="77777777" w:rsidTr="00F56356">
        <w:trPr>
          <w:trHeight w:val="705"/>
        </w:trPr>
        <w:tc>
          <w:tcPr>
            <w:tcW w:w="380" w:type="dxa"/>
            <w:tcBorders>
              <w:top w:val="nil"/>
              <w:left w:val="nil"/>
              <w:bottom w:val="nil"/>
              <w:right w:val="nil"/>
            </w:tcBorders>
            <w:shd w:val="clear" w:color="auto" w:fill="auto"/>
            <w:noWrap/>
            <w:vAlign w:val="center"/>
            <w:hideMark/>
          </w:tcPr>
          <w:p w14:paraId="4AE2E79E"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7DDC697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90" w:type="dxa"/>
            <w:gridSpan w:val="6"/>
            <w:tcBorders>
              <w:top w:val="single" w:sz="4" w:space="0" w:color="auto"/>
              <w:left w:val="nil"/>
              <w:bottom w:val="single" w:sz="4" w:space="0" w:color="auto"/>
              <w:right w:val="single" w:sz="4" w:space="0" w:color="000000"/>
            </w:tcBorders>
            <w:shd w:val="clear" w:color="auto" w:fill="auto"/>
            <w:vAlign w:val="center"/>
            <w:hideMark/>
          </w:tcPr>
          <w:p w14:paraId="0BC70EF7"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Fondi da corrispondere alle provincie autonome di Trento e Bolzano per l’organizzazione di gare sportive di rilievo internazionale nel loro territorio.</w:t>
            </w:r>
          </w:p>
        </w:tc>
      </w:tr>
      <w:tr w:rsidR="00F56356" w:rsidRPr="00F56356" w14:paraId="4F01C580" w14:textId="77777777" w:rsidTr="00F56356">
        <w:trPr>
          <w:trHeight w:val="495"/>
        </w:trPr>
        <w:tc>
          <w:tcPr>
            <w:tcW w:w="380" w:type="dxa"/>
            <w:tcBorders>
              <w:top w:val="nil"/>
              <w:left w:val="nil"/>
              <w:bottom w:val="nil"/>
              <w:right w:val="nil"/>
            </w:tcBorders>
            <w:shd w:val="clear" w:color="auto" w:fill="auto"/>
            <w:noWrap/>
            <w:vAlign w:val="center"/>
            <w:hideMark/>
          </w:tcPr>
          <w:p w14:paraId="072456F1"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828193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90" w:type="dxa"/>
            <w:gridSpan w:val="6"/>
            <w:tcBorders>
              <w:top w:val="single" w:sz="4" w:space="0" w:color="auto"/>
              <w:left w:val="nil"/>
              <w:bottom w:val="single" w:sz="4" w:space="0" w:color="auto"/>
              <w:right w:val="single" w:sz="4" w:space="0" w:color="auto"/>
            </w:tcBorders>
            <w:shd w:val="clear" w:color="auto" w:fill="auto"/>
            <w:noWrap/>
            <w:vAlign w:val="center"/>
            <w:hideMark/>
          </w:tcPr>
          <w:p w14:paraId="555C3FA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w:t>
            </w:r>
          </w:p>
        </w:tc>
      </w:tr>
      <w:tr w:rsidR="00F56356" w:rsidRPr="00F56356" w14:paraId="599B44EF" w14:textId="77777777" w:rsidTr="00F56356">
        <w:trPr>
          <w:trHeight w:val="495"/>
        </w:trPr>
        <w:tc>
          <w:tcPr>
            <w:tcW w:w="380" w:type="dxa"/>
            <w:tcBorders>
              <w:top w:val="nil"/>
              <w:left w:val="nil"/>
              <w:bottom w:val="nil"/>
              <w:right w:val="nil"/>
            </w:tcBorders>
            <w:shd w:val="clear" w:color="auto" w:fill="auto"/>
            <w:noWrap/>
            <w:vAlign w:val="center"/>
            <w:hideMark/>
          </w:tcPr>
          <w:p w14:paraId="12029A5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8E6CE9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9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9908DC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w:t>
            </w:r>
          </w:p>
        </w:tc>
      </w:tr>
      <w:tr w:rsidR="00F56356" w:rsidRPr="00F56356" w14:paraId="2A22121F" w14:textId="77777777" w:rsidTr="00F56356">
        <w:trPr>
          <w:trHeight w:val="630"/>
        </w:trPr>
        <w:tc>
          <w:tcPr>
            <w:tcW w:w="380" w:type="dxa"/>
            <w:tcBorders>
              <w:top w:val="nil"/>
              <w:left w:val="nil"/>
              <w:bottom w:val="nil"/>
              <w:right w:val="nil"/>
            </w:tcBorders>
            <w:shd w:val="clear" w:color="auto" w:fill="auto"/>
            <w:noWrap/>
            <w:vAlign w:val="bottom"/>
            <w:hideMark/>
          </w:tcPr>
          <w:p w14:paraId="34B06F8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6FB334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48EB73C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Cap. 258</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C462B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9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80B0742"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1D22A7D5" w14:textId="77777777" w:rsidTr="00F56356">
        <w:trPr>
          <w:trHeight w:val="1305"/>
        </w:trPr>
        <w:tc>
          <w:tcPr>
            <w:tcW w:w="380" w:type="dxa"/>
            <w:tcBorders>
              <w:top w:val="nil"/>
              <w:left w:val="nil"/>
              <w:bottom w:val="nil"/>
              <w:right w:val="nil"/>
            </w:tcBorders>
            <w:shd w:val="clear" w:color="auto" w:fill="auto"/>
            <w:noWrap/>
            <w:vAlign w:val="bottom"/>
            <w:hideMark/>
          </w:tcPr>
          <w:p w14:paraId="781DEA0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2EA711C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5A623BB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59A94D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164C7AA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2)</w:t>
            </w:r>
          </w:p>
        </w:tc>
        <w:tc>
          <w:tcPr>
            <w:tcW w:w="1130" w:type="dxa"/>
            <w:tcBorders>
              <w:top w:val="nil"/>
              <w:left w:val="nil"/>
              <w:bottom w:val="single" w:sz="4" w:space="0" w:color="auto"/>
              <w:right w:val="single" w:sz="4" w:space="0" w:color="auto"/>
            </w:tcBorders>
            <w:shd w:val="clear" w:color="auto" w:fill="auto"/>
            <w:vAlign w:val="center"/>
            <w:hideMark/>
          </w:tcPr>
          <w:p w14:paraId="0F0B541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40A6630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4)</w:t>
            </w:r>
          </w:p>
        </w:tc>
        <w:tc>
          <w:tcPr>
            <w:tcW w:w="1280" w:type="dxa"/>
            <w:tcBorders>
              <w:top w:val="nil"/>
              <w:left w:val="nil"/>
              <w:bottom w:val="single" w:sz="4" w:space="0" w:color="auto"/>
              <w:right w:val="single" w:sz="4" w:space="0" w:color="auto"/>
            </w:tcBorders>
            <w:shd w:val="clear" w:color="auto" w:fill="auto"/>
            <w:vAlign w:val="center"/>
            <w:hideMark/>
          </w:tcPr>
          <w:p w14:paraId="4A32E25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EAACDA9" w14:textId="77777777" w:rsidTr="00F56356">
        <w:trPr>
          <w:trHeight w:val="537"/>
        </w:trPr>
        <w:tc>
          <w:tcPr>
            <w:tcW w:w="380" w:type="dxa"/>
            <w:tcBorders>
              <w:top w:val="nil"/>
              <w:left w:val="nil"/>
              <w:bottom w:val="nil"/>
              <w:right w:val="nil"/>
            </w:tcBorders>
            <w:shd w:val="clear" w:color="auto" w:fill="auto"/>
            <w:noWrap/>
            <w:vAlign w:val="bottom"/>
            <w:hideMark/>
          </w:tcPr>
          <w:p w14:paraId="558D69F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2D2850C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7EAEABE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0E062BD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500.000,00</w:t>
            </w:r>
          </w:p>
        </w:tc>
        <w:tc>
          <w:tcPr>
            <w:tcW w:w="1140" w:type="dxa"/>
            <w:tcBorders>
              <w:top w:val="nil"/>
              <w:left w:val="nil"/>
              <w:bottom w:val="single" w:sz="4" w:space="0" w:color="auto"/>
              <w:right w:val="single" w:sz="4" w:space="0" w:color="auto"/>
            </w:tcBorders>
            <w:shd w:val="clear" w:color="auto" w:fill="auto"/>
            <w:noWrap/>
            <w:vAlign w:val="center"/>
            <w:hideMark/>
          </w:tcPr>
          <w:p w14:paraId="1DCDA0DE"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1.000.000,00</w:t>
            </w:r>
          </w:p>
        </w:tc>
        <w:tc>
          <w:tcPr>
            <w:tcW w:w="1130" w:type="dxa"/>
            <w:tcBorders>
              <w:top w:val="nil"/>
              <w:left w:val="nil"/>
              <w:bottom w:val="single" w:sz="4" w:space="0" w:color="auto"/>
              <w:right w:val="single" w:sz="4" w:space="0" w:color="auto"/>
            </w:tcBorders>
            <w:shd w:val="clear" w:color="auto" w:fill="auto"/>
            <w:noWrap/>
            <w:vAlign w:val="center"/>
            <w:hideMark/>
          </w:tcPr>
          <w:p w14:paraId="74A1277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5749AC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4562E9A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r>
      <w:tr w:rsidR="00F56356" w:rsidRPr="00F56356" w14:paraId="40B3500D" w14:textId="77777777" w:rsidTr="00F56356">
        <w:trPr>
          <w:trHeight w:val="405"/>
        </w:trPr>
        <w:tc>
          <w:tcPr>
            <w:tcW w:w="380" w:type="dxa"/>
            <w:tcBorders>
              <w:top w:val="nil"/>
              <w:left w:val="nil"/>
              <w:bottom w:val="nil"/>
              <w:right w:val="nil"/>
            </w:tcBorders>
            <w:shd w:val="clear" w:color="auto" w:fill="auto"/>
            <w:noWrap/>
            <w:vAlign w:val="bottom"/>
            <w:hideMark/>
          </w:tcPr>
          <w:p w14:paraId="79A0C15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nil"/>
              <w:right w:val="nil"/>
            </w:tcBorders>
            <w:shd w:val="clear" w:color="auto" w:fill="auto"/>
            <w:noWrap/>
            <w:vAlign w:val="center"/>
            <w:hideMark/>
          </w:tcPr>
          <w:p w14:paraId="2726AEB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20" w:type="dxa"/>
            <w:tcBorders>
              <w:top w:val="nil"/>
              <w:left w:val="nil"/>
              <w:bottom w:val="nil"/>
              <w:right w:val="nil"/>
            </w:tcBorders>
            <w:shd w:val="clear" w:color="auto" w:fill="auto"/>
            <w:noWrap/>
            <w:vAlign w:val="bottom"/>
            <w:hideMark/>
          </w:tcPr>
          <w:p w14:paraId="1209FA5A"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3D60DF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65E16F5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30" w:type="dxa"/>
            <w:tcBorders>
              <w:top w:val="nil"/>
              <w:left w:val="nil"/>
              <w:bottom w:val="nil"/>
              <w:right w:val="nil"/>
            </w:tcBorders>
            <w:shd w:val="clear" w:color="auto" w:fill="auto"/>
            <w:noWrap/>
            <w:vAlign w:val="bottom"/>
            <w:hideMark/>
          </w:tcPr>
          <w:p w14:paraId="1479AE42"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1B1ED64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80" w:type="dxa"/>
            <w:tcBorders>
              <w:top w:val="nil"/>
              <w:left w:val="nil"/>
              <w:bottom w:val="nil"/>
              <w:right w:val="single" w:sz="4" w:space="0" w:color="auto"/>
            </w:tcBorders>
            <w:shd w:val="clear" w:color="auto" w:fill="auto"/>
            <w:noWrap/>
            <w:vAlign w:val="bottom"/>
            <w:hideMark/>
          </w:tcPr>
          <w:p w14:paraId="090FDD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0FBC305C" w14:textId="77777777" w:rsidTr="00F56356">
        <w:trPr>
          <w:trHeight w:val="366"/>
        </w:trPr>
        <w:tc>
          <w:tcPr>
            <w:tcW w:w="380" w:type="dxa"/>
            <w:tcBorders>
              <w:top w:val="nil"/>
              <w:left w:val="nil"/>
              <w:bottom w:val="nil"/>
              <w:right w:val="nil"/>
            </w:tcBorders>
            <w:shd w:val="clear" w:color="auto" w:fill="auto"/>
            <w:noWrap/>
            <w:vAlign w:val="bottom"/>
            <w:hideMark/>
          </w:tcPr>
          <w:p w14:paraId="3A12D6C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10" w:type="dxa"/>
            <w:gridSpan w:val="7"/>
            <w:tcBorders>
              <w:top w:val="nil"/>
              <w:left w:val="single" w:sz="4" w:space="0" w:color="auto"/>
              <w:bottom w:val="nil"/>
              <w:right w:val="single" w:sz="4" w:space="0" w:color="000000"/>
            </w:tcBorders>
            <w:shd w:val="clear" w:color="auto" w:fill="auto"/>
            <w:vAlign w:val="center"/>
            <w:hideMark/>
          </w:tcPr>
          <w:p w14:paraId="7FC6FBF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2DE9C686" w14:textId="77777777" w:rsidTr="00F56356">
        <w:trPr>
          <w:trHeight w:val="316"/>
        </w:trPr>
        <w:tc>
          <w:tcPr>
            <w:tcW w:w="380" w:type="dxa"/>
            <w:tcBorders>
              <w:top w:val="nil"/>
              <w:left w:val="nil"/>
              <w:bottom w:val="nil"/>
              <w:right w:val="nil"/>
            </w:tcBorders>
            <w:shd w:val="clear" w:color="auto" w:fill="auto"/>
            <w:noWrap/>
            <w:vAlign w:val="bottom"/>
            <w:hideMark/>
          </w:tcPr>
          <w:p w14:paraId="4197EAC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10" w:type="dxa"/>
            <w:gridSpan w:val="7"/>
            <w:tcBorders>
              <w:top w:val="nil"/>
              <w:left w:val="single" w:sz="4" w:space="0" w:color="auto"/>
              <w:bottom w:val="nil"/>
              <w:right w:val="single" w:sz="4" w:space="0" w:color="000000"/>
            </w:tcBorders>
            <w:shd w:val="clear" w:color="auto" w:fill="auto"/>
            <w:vAlign w:val="center"/>
            <w:hideMark/>
          </w:tcPr>
          <w:p w14:paraId="7C1788D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16664673" w14:textId="77777777" w:rsidTr="00F56356">
        <w:trPr>
          <w:trHeight w:val="338"/>
        </w:trPr>
        <w:tc>
          <w:tcPr>
            <w:tcW w:w="380" w:type="dxa"/>
            <w:tcBorders>
              <w:top w:val="nil"/>
              <w:left w:val="nil"/>
              <w:bottom w:val="nil"/>
              <w:right w:val="nil"/>
            </w:tcBorders>
            <w:shd w:val="clear" w:color="auto" w:fill="auto"/>
            <w:noWrap/>
            <w:vAlign w:val="bottom"/>
            <w:hideMark/>
          </w:tcPr>
          <w:p w14:paraId="7C71C67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10" w:type="dxa"/>
            <w:gridSpan w:val="7"/>
            <w:tcBorders>
              <w:top w:val="nil"/>
              <w:left w:val="single" w:sz="4" w:space="0" w:color="auto"/>
              <w:bottom w:val="single" w:sz="4" w:space="0" w:color="auto"/>
              <w:right w:val="single" w:sz="4" w:space="0" w:color="000000"/>
            </w:tcBorders>
            <w:shd w:val="clear" w:color="auto" w:fill="auto"/>
            <w:vAlign w:val="center"/>
            <w:hideMark/>
          </w:tcPr>
          <w:p w14:paraId="33D8920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32ABF1B7" w14:textId="77777777" w:rsidTr="00F56356">
        <w:trPr>
          <w:trHeight w:val="495"/>
        </w:trPr>
        <w:tc>
          <w:tcPr>
            <w:tcW w:w="380" w:type="dxa"/>
            <w:tcBorders>
              <w:top w:val="nil"/>
              <w:left w:val="nil"/>
              <w:bottom w:val="nil"/>
              <w:right w:val="nil"/>
            </w:tcBorders>
            <w:shd w:val="clear" w:color="auto" w:fill="auto"/>
            <w:noWrap/>
            <w:vAlign w:val="bottom"/>
            <w:hideMark/>
          </w:tcPr>
          <w:p w14:paraId="6CA9569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1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B83C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F50FD5D" w14:textId="77777777" w:rsidTr="00F56356">
        <w:trPr>
          <w:trHeight w:val="555"/>
        </w:trPr>
        <w:tc>
          <w:tcPr>
            <w:tcW w:w="380" w:type="dxa"/>
            <w:tcBorders>
              <w:top w:val="nil"/>
              <w:left w:val="nil"/>
              <w:bottom w:val="nil"/>
              <w:right w:val="nil"/>
            </w:tcBorders>
            <w:shd w:val="clear" w:color="auto" w:fill="auto"/>
            <w:noWrap/>
            <w:vAlign w:val="center"/>
            <w:hideMark/>
          </w:tcPr>
          <w:p w14:paraId="0964D3B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7C1A21D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90" w:type="dxa"/>
            <w:gridSpan w:val="6"/>
            <w:tcBorders>
              <w:top w:val="single" w:sz="4" w:space="0" w:color="auto"/>
              <w:left w:val="nil"/>
              <w:bottom w:val="single" w:sz="4" w:space="0" w:color="auto"/>
              <w:right w:val="single" w:sz="4" w:space="0" w:color="000000"/>
            </w:tcBorders>
            <w:shd w:val="clear" w:color="auto" w:fill="auto"/>
            <w:vAlign w:val="center"/>
            <w:hideMark/>
          </w:tcPr>
          <w:p w14:paraId="119013B7"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Percentuale degli impegni di spesa, misurata in termini di rapporto tra somme impegnate e stanziamento totale.  </w:t>
            </w:r>
          </w:p>
        </w:tc>
      </w:tr>
      <w:tr w:rsidR="00F56356" w:rsidRPr="00F56356" w14:paraId="0BFBE07D" w14:textId="77777777" w:rsidTr="00F56356">
        <w:trPr>
          <w:trHeight w:val="480"/>
        </w:trPr>
        <w:tc>
          <w:tcPr>
            <w:tcW w:w="380" w:type="dxa"/>
            <w:tcBorders>
              <w:top w:val="nil"/>
              <w:left w:val="nil"/>
              <w:bottom w:val="nil"/>
              <w:right w:val="nil"/>
            </w:tcBorders>
            <w:shd w:val="clear" w:color="auto" w:fill="auto"/>
            <w:noWrap/>
            <w:vAlign w:val="center"/>
            <w:hideMark/>
          </w:tcPr>
          <w:p w14:paraId="4114C73B"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52BF23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90" w:type="dxa"/>
            <w:gridSpan w:val="6"/>
            <w:tcBorders>
              <w:top w:val="single" w:sz="4" w:space="0" w:color="auto"/>
              <w:left w:val="nil"/>
              <w:bottom w:val="single" w:sz="4" w:space="0" w:color="auto"/>
              <w:right w:val="single" w:sz="4" w:space="0" w:color="000000"/>
            </w:tcBorders>
            <w:shd w:val="clear" w:color="auto" w:fill="auto"/>
            <w:vAlign w:val="center"/>
            <w:hideMark/>
          </w:tcPr>
          <w:p w14:paraId="11F8AC6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SICOGE, sistema di posta elettronica, </w:t>
            </w:r>
            <w:proofErr w:type="spellStart"/>
            <w:r w:rsidRPr="00F56356">
              <w:rPr>
                <w:rFonts w:ascii="Times New Roman" w:eastAsia="Times New Roman" w:hAnsi="Times New Roman" w:cs="Times New Roman"/>
                <w:color w:val="000000"/>
                <w:sz w:val="18"/>
                <w:szCs w:val="18"/>
                <w:lang w:eastAsia="it-IT"/>
              </w:rPr>
              <w:t>pec</w:t>
            </w:r>
            <w:proofErr w:type="spellEnd"/>
            <w:r w:rsidRPr="00F56356">
              <w:rPr>
                <w:rFonts w:ascii="Times New Roman" w:eastAsia="Times New Roman" w:hAnsi="Times New Roman" w:cs="Times New Roman"/>
                <w:color w:val="000000"/>
                <w:sz w:val="18"/>
                <w:szCs w:val="18"/>
                <w:lang w:eastAsia="it-IT"/>
              </w:rPr>
              <w:t xml:space="preserve"> </w:t>
            </w:r>
          </w:p>
        </w:tc>
      </w:tr>
      <w:tr w:rsidR="00F56356" w:rsidRPr="00F56356" w14:paraId="3ED70B3A" w14:textId="77777777" w:rsidTr="00F56356">
        <w:trPr>
          <w:trHeight w:val="817"/>
        </w:trPr>
        <w:tc>
          <w:tcPr>
            <w:tcW w:w="380" w:type="dxa"/>
            <w:tcBorders>
              <w:top w:val="nil"/>
              <w:left w:val="nil"/>
              <w:bottom w:val="nil"/>
              <w:right w:val="nil"/>
            </w:tcBorders>
            <w:shd w:val="clear" w:color="auto" w:fill="auto"/>
            <w:noWrap/>
            <w:vAlign w:val="center"/>
            <w:hideMark/>
          </w:tcPr>
          <w:p w14:paraId="58DFDDC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F4CB26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C64E458" w14:textId="77777777" w:rsidR="00F56356" w:rsidRPr="00F56356" w:rsidRDefault="00F56356" w:rsidP="00F56356">
            <w:pPr>
              <w:spacing w:after="0" w:line="240" w:lineRule="auto"/>
              <w:jc w:val="both"/>
              <w:rPr>
                <w:rFonts w:ascii="Times New Roman" w:eastAsia="Times New Roman" w:hAnsi="Times New Roman" w:cs="Times New Roman"/>
                <w:sz w:val="18"/>
                <w:szCs w:val="18"/>
                <w:lang w:eastAsia="it-IT"/>
              </w:rPr>
            </w:pPr>
            <w:r w:rsidRPr="00F56356">
              <w:rPr>
                <w:rFonts w:ascii="Times New Roman" w:eastAsia="Times New Roman" w:hAnsi="Times New Roman" w:cs="Times New Roman"/>
                <w:sz w:val="18"/>
                <w:szCs w:val="18"/>
                <w:lang w:eastAsia="it-IT"/>
              </w:rPr>
              <w:t>Somme impegnate/somme stanziate</w:t>
            </w:r>
          </w:p>
        </w:tc>
        <w:tc>
          <w:tcPr>
            <w:tcW w:w="1130" w:type="dxa"/>
            <w:tcBorders>
              <w:top w:val="nil"/>
              <w:left w:val="nil"/>
              <w:bottom w:val="single" w:sz="4" w:space="0" w:color="auto"/>
              <w:right w:val="single" w:sz="4" w:space="0" w:color="auto"/>
            </w:tcBorders>
            <w:shd w:val="clear" w:color="auto" w:fill="auto"/>
            <w:vAlign w:val="center"/>
            <w:hideMark/>
          </w:tcPr>
          <w:p w14:paraId="2598F66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nil"/>
              <w:bottom w:val="single" w:sz="4" w:space="0" w:color="auto"/>
              <w:right w:val="single" w:sz="4" w:space="0" w:color="auto"/>
            </w:tcBorders>
            <w:shd w:val="clear" w:color="auto" w:fill="auto"/>
            <w:vAlign w:val="center"/>
            <w:hideMark/>
          </w:tcPr>
          <w:p w14:paraId="7830F57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80" w:type="dxa"/>
            <w:tcBorders>
              <w:top w:val="nil"/>
              <w:left w:val="nil"/>
              <w:bottom w:val="single" w:sz="4" w:space="0" w:color="auto"/>
              <w:right w:val="single" w:sz="4" w:space="0" w:color="auto"/>
            </w:tcBorders>
            <w:shd w:val="clear" w:color="auto" w:fill="auto"/>
            <w:vAlign w:val="center"/>
            <w:hideMark/>
          </w:tcPr>
          <w:p w14:paraId="0945338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088282FA" w14:textId="77777777" w:rsidTr="00F56356">
        <w:trPr>
          <w:trHeight w:val="570"/>
        </w:trPr>
        <w:tc>
          <w:tcPr>
            <w:tcW w:w="380" w:type="dxa"/>
            <w:tcBorders>
              <w:top w:val="nil"/>
              <w:left w:val="nil"/>
              <w:bottom w:val="nil"/>
              <w:right w:val="nil"/>
            </w:tcBorders>
            <w:shd w:val="clear" w:color="auto" w:fill="auto"/>
            <w:noWrap/>
            <w:vAlign w:val="bottom"/>
            <w:hideMark/>
          </w:tcPr>
          <w:p w14:paraId="5AD67E9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71C374D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66645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w:t>
            </w:r>
          </w:p>
        </w:tc>
        <w:tc>
          <w:tcPr>
            <w:tcW w:w="1130" w:type="dxa"/>
            <w:tcBorders>
              <w:top w:val="nil"/>
              <w:left w:val="nil"/>
              <w:bottom w:val="single" w:sz="4" w:space="0" w:color="auto"/>
              <w:right w:val="single" w:sz="4" w:space="0" w:color="auto"/>
            </w:tcBorders>
            <w:shd w:val="clear" w:color="auto" w:fill="auto"/>
            <w:noWrap/>
            <w:vAlign w:val="center"/>
            <w:hideMark/>
          </w:tcPr>
          <w:p w14:paraId="5D23A6A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180" w:type="dxa"/>
            <w:tcBorders>
              <w:top w:val="nil"/>
              <w:left w:val="nil"/>
              <w:bottom w:val="single" w:sz="4" w:space="0" w:color="auto"/>
              <w:right w:val="single" w:sz="4" w:space="0" w:color="auto"/>
            </w:tcBorders>
            <w:shd w:val="clear" w:color="auto" w:fill="auto"/>
            <w:vAlign w:val="center"/>
            <w:hideMark/>
          </w:tcPr>
          <w:p w14:paraId="3BBE5C0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w:t>
            </w:r>
          </w:p>
        </w:tc>
        <w:tc>
          <w:tcPr>
            <w:tcW w:w="1280" w:type="dxa"/>
            <w:tcBorders>
              <w:top w:val="nil"/>
              <w:left w:val="nil"/>
              <w:bottom w:val="single" w:sz="4" w:space="0" w:color="auto"/>
              <w:right w:val="single" w:sz="4" w:space="0" w:color="auto"/>
            </w:tcBorders>
            <w:shd w:val="clear" w:color="auto" w:fill="auto"/>
            <w:vAlign w:val="center"/>
            <w:hideMark/>
          </w:tcPr>
          <w:p w14:paraId="10DCFA7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r>
      <w:tr w:rsidR="00F56356" w:rsidRPr="00F56356" w14:paraId="3F6F2AE0" w14:textId="77777777" w:rsidTr="00F56356">
        <w:trPr>
          <w:trHeight w:val="1380"/>
        </w:trPr>
        <w:tc>
          <w:tcPr>
            <w:tcW w:w="380" w:type="dxa"/>
            <w:tcBorders>
              <w:top w:val="nil"/>
              <w:left w:val="nil"/>
              <w:bottom w:val="nil"/>
              <w:right w:val="nil"/>
            </w:tcBorders>
            <w:shd w:val="clear" w:color="auto" w:fill="auto"/>
            <w:noWrap/>
            <w:vAlign w:val="bottom"/>
            <w:hideMark/>
          </w:tcPr>
          <w:p w14:paraId="11E7641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941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4F6E9AB"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Il Fondo, istituito dalla legge di bilancio 2021 (art. 1 della legge 30 dicembre 2020, n. 178, che al comma 605), prevede l’erogazione di contributi a favore delle regioni e delle province autonome di Trento e di Bolzano per l’organizzazione di gare sportive atletiche, ciclistiche e automobilistiche di rilievo internazionale che si svolgano nel territorio di almeno due regioni. La sentenza della corte costituzionale 123/2022 ha dichiarato illegittima la norma nel momento in cui non prevede che il decreto attuativo sia adottato previa intesa con la Regioni e Province interessate. Ad oggi, le Regioni non hanno ancora formulato l’intesa prescritta. </w:t>
            </w:r>
          </w:p>
        </w:tc>
      </w:tr>
    </w:tbl>
    <w:p w14:paraId="26CCA0A1" w14:textId="77777777" w:rsidR="00F56356" w:rsidRPr="00F56356" w:rsidRDefault="00F56356" w:rsidP="00F56356">
      <w:pPr>
        <w:spacing w:after="0" w:line="360" w:lineRule="auto"/>
        <w:ind w:right="284"/>
        <w:jc w:val="both"/>
        <w:rPr>
          <w:rFonts w:eastAsia="Times New Roman"/>
          <w:sz w:val="14"/>
          <w:szCs w:val="12"/>
          <w:lang w:eastAsia="it-IT"/>
        </w:rPr>
      </w:pPr>
    </w:p>
    <w:p w14:paraId="133AFE62" w14:textId="77777777" w:rsidR="00F56356" w:rsidRPr="00F56356" w:rsidRDefault="00F56356" w:rsidP="00F56356">
      <w:pPr>
        <w:spacing w:after="0" w:line="360" w:lineRule="auto"/>
        <w:ind w:right="284"/>
        <w:jc w:val="both"/>
        <w:rPr>
          <w:rFonts w:eastAsia="Times New Roman"/>
          <w:sz w:val="4"/>
          <w:szCs w:val="12"/>
          <w:lang w:eastAsia="it-IT"/>
        </w:rPr>
      </w:pPr>
    </w:p>
    <w:p w14:paraId="593DAA6D" w14:textId="77777777" w:rsidR="00F56356" w:rsidRPr="00F56356" w:rsidRDefault="00F56356" w:rsidP="00F56356">
      <w:pPr>
        <w:spacing w:after="0" w:line="360" w:lineRule="auto"/>
        <w:ind w:right="284"/>
        <w:jc w:val="both"/>
        <w:rPr>
          <w:rFonts w:eastAsia="Times New Roman"/>
          <w:sz w:val="4"/>
          <w:szCs w:val="12"/>
          <w:lang w:eastAsia="it-IT"/>
        </w:rPr>
      </w:pPr>
    </w:p>
    <w:p w14:paraId="2DBFF39C" w14:textId="77777777" w:rsidR="00F56356" w:rsidRPr="00F56356" w:rsidRDefault="00F56356" w:rsidP="00F56356">
      <w:pPr>
        <w:spacing w:after="0" w:line="360" w:lineRule="auto"/>
        <w:ind w:right="284"/>
        <w:jc w:val="both"/>
        <w:rPr>
          <w:rFonts w:eastAsia="Times New Roman"/>
          <w:sz w:val="4"/>
          <w:szCs w:val="12"/>
          <w:lang w:eastAsia="it-IT"/>
        </w:rPr>
      </w:pPr>
    </w:p>
    <w:p w14:paraId="37F1839C" w14:textId="77777777" w:rsidR="00F56356" w:rsidRPr="00F56356" w:rsidRDefault="00F56356" w:rsidP="00F56356">
      <w:pPr>
        <w:spacing w:after="0" w:line="360" w:lineRule="auto"/>
        <w:ind w:right="284"/>
        <w:jc w:val="both"/>
        <w:rPr>
          <w:rFonts w:eastAsia="Times New Roman"/>
          <w:sz w:val="4"/>
          <w:szCs w:val="12"/>
          <w:lang w:eastAsia="it-IT"/>
        </w:rPr>
      </w:pPr>
    </w:p>
    <w:p w14:paraId="4752CCA4" w14:textId="77777777" w:rsidR="00F56356" w:rsidRPr="00F56356" w:rsidRDefault="00F56356" w:rsidP="00F56356">
      <w:pPr>
        <w:spacing w:after="0" w:line="360" w:lineRule="auto"/>
        <w:ind w:right="284"/>
        <w:jc w:val="both"/>
        <w:rPr>
          <w:rFonts w:eastAsia="Times New Roman"/>
          <w:sz w:val="4"/>
          <w:szCs w:val="12"/>
          <w:lang w:eastAsia="it-IT"/>
        </w:rPr>
      </w:pPr>
    </w:p>
    <w:p w14:paraId="4E8188AB" w14:textId="77777777" w:rsidR="00F56356" w:rsidRPr="00F56356" w:rsidRDefault="00F56356" w:rsidP="00F56356">
      <w:pPr>
        <w:spacing w:after="0" w:line="360" w:lineRule="auto"/>
        <w:ind w:right="284"/>
        <w:jc w:val="both"/>
        <w:rPr>
          <w:rFonts w:eastAsia="Times New Roman"/>
          <w:sz w:val="4"/>
          <w:szCs w:val="12"/>
          <w:lang w:eastAsia="it-IT"/>
        </w:rPr>
      </w:pPr>
    </w:p>
    <w:p w14:paraId="5A64E0D6" w14:textId="77777777" w:rsidR="00F56356" w:rsidRPr="00F56356" w:rsidRDefault="00F56356" w:rsidP="00F56356">
      <w:pPr>
        <w:spacing w:after="0" w:line="360" w:lineRule="auto"/>
        <w:ind w:right="284"/>
        <w:jc w:val="both"/>
        <w:rPr>
          <w:rFonts w:eastAsia="Times New Roman"/>
          <w:sz w:val="4"/>
          <w:szCs w:val="12"/>
          <w:lang w:eastAsia="it-IT"/>
        </w:rPr>
      </w:pPr>
    </w:p>
    <w:p w14:paraId="6B124DFA" w14:textId="77777777" w:rsidR="00F56356" w:rsidRPr="00F56356" w:rsidRDefault="00F56356" w:rsidP="00F56356">
      <w:pPr>
        <w:spacing w:after="0" w:line="360" w:lineRule="auto"/>
        <w:ind w:right="284"/>
        <w:jc w:val="both"/>
        <w:rPr>
          <w:rFonts w:eastAsia="Times New Roman"/>
          <w:sz w:val="4"/>
          <w:szCs w:val="12"/>
          <w:lang w:eastAsia="it-IT"/>
        </w:rPr>
      </w:pPr>
    </w:p>
    <w:p w14:paraId="384660AA" w14:textId="77777777" w:rsidR="00F56356" w:rsidRPr="00F56356" w:rsidRDefault="00F56356" w:rsidP="00F56356">
      <w:pPr>
        <w:spacing w:after="0" w:line="360" w:lineRule="auto"/>
        <w:ind w:right="284"/>
        <w:jc w:val="both"/>
        <w:rPr>
          <w:rFonts w:eastAsia="Times New Roman"/>
          <w:sz w:val="4"/>
          <w:szCs w:val="12"/>
          <w:lang w:eastAsia="it-IT"/>
        </w:rPr>
      </w:pPr>
    </w:p>
    <w:p w14:paraId="7EF72282" w14:textId="77777777" w:rsidR="00F56356" w:rsidRPr="00F56356" w:rsidRDefault="00F56356" w:rsidP="00F56356">
      <w:pPr>
        <w:spacing w:after="0" w:line="360" w:lineRule="auto"/>
        <w:ind w:right="284"/>
        <w:jc w:val="both"/>
        <w:rPr>
          <w:rFonts w:eastAsia="Times New Roman"/>
          <w:sz w:val="4"/>
          <w:szCs w:val="12"/>
          <w:lang w:eastAsia="it-IT"/>
        </w:rPr>
      </w:pPr>
    </w:p>
    <w:p w14:paraId="69F3E3BD" w14:textId="77777777" w:rsidR="00F56356" w:rsidRPr="00F56356" w:rsidRDefault="00F56356" w:rsidP="00F56356">
      <w:pPr>
        <w:spacing w:after="0" w:line="360" w:lineRule="auto"/>
        <w:ind w:right="284"/>
        <w:jc w:val="both"/>
        <w:rPr>
          <w:rFonts w:eastAsia="Times New Roman"/>
          <w:sz w:val="4"/>
          <w:szCs w:val="12"/>
          <w:lang w:eastAsia="it-IT"/>
        </w:rPr>
      </w:pPr>
    </w:p>
    <w:p w14:paraId="4C74B615" w14:textId="77777777" w:rsidR="00F56356" w:rsidRPr="00F56356" w:rsidRDefault="00F56356" w:rsidP="00F56356">
      <w:pPr>
        <w:spacing w:after="0" w:line="360" w:lineRule="auto"/>
        <w:ind w:right="284"/>
        <w:jc w:val="both"/>
        <w:rPr>
          <w:rFonts w:eastAsia="Times New Roman"/>
          <w:sz w:val="4"/>
          <w:szCs w:val="12"/>
          <w:lang w:eastAsia="it-IT"/>
        </w:rPr>
      </w:pPr>
    </w:p>
    <w:p w14:paraId="347A171A" w14:textId="77777777" w:rsidR="00F56356" w:rsidRPr="00F56356" w:rsidRDefault="00F56356" w:rsidP="00F56356">
      <w:pPr>
        <w:spacing w:after="0" w:line="360" w:lineRule="auto"/>
        <w:ind w:right="284"/>
        <w:jc w:val="both"/>
        <w:rPr>
          <w:rFonts w:eastAsia="Times New Roman"/>
          <w:sz w:val="4"/>
          <w:szCs w:val="12"/>
          <w:lang w:eastAsia="it-IT"/>
        </w:rPr>
      </w:pPr>
    </w:p>
    <w:p w14:paraId="4AD50142" w14:textId="77777777" w:rsidR="00F56356" w:rsidRPr="00F56356" w:rsidRDefault="00F56356" w:rsidP="00F56356">
      <w:pPr>
        <w:spacing w:after="0" w:line="360" w:lineRule="auto"/>
        <w:ind w:right="284"/>
        <w:jc w:val="both"/>
        <w:rPr>
          <w:rFonts w:eastAsia="Times New Roman"/>
          <w:sz w:val="4"/>
          <w:szCs w:val="12"/>
          <w:lang w:eastAsia="it-IT"/>
        </w:rPr>
      </w:pPr>
    </w:p>
    <w:p w14:paraId="689E1F62" w14:textId="77777777" w:rsidR="00F56356" w:rsidRPr="00F56356" w:rsidRDefault="00F56356" w:rsidP="00F56356">
      <w:pPr>
        <w:spacing w:after="0" w:line="360" w:lineRule="auto"/>
        <w:ind w:right="284"/>
        <w:jc w:val="both"/>
        <w:rPr>
          <w:rFonts w:eastAsia="Times New Roman"/>
          <w:sz w:val="4"/>
          <w:szCs w:val="12"/>
          <w:lang w:eastAsia="it-IT"/>
        </w:rPr>
      </w:pPr>
    </w:p>
    <w:p w14:paraId="1526EDB6" w14:textId="77777777" w:rsidR="00F56356" w:rsidRPr="00F56356" w:rsidRDefault="00F56356" w:rsidP="00F56356">
      <w:pPr>
        <w:spacing w:after="0" w:line="360" w:lineRule="auto"/>
        <w:ind w:right="284"/>
        <w:jc w:val="both"/>
        <w:rPr>
          <w:rFonts w:eastAsia="Times New Roman"/>
          <w:sz w:val="4"/>
          <w:szCs w:val="12"/>
          <w:lang w:eastAsia="it-IT"/>
        </w:rPr>
      </w:pPr>
    </w:p>
    <w:tbl>
      <w:tblPr>
        <w:tblW w:w="9780" w:type="dxa"/>
        <w:tblCellMar>
          <w:left w:w="70" w:type="dxa"/>
          <w:right w:w="70" w:type="dxa"/>
        </w:tblCellMar>
        <w:tblLook w:val="04A0" w:firstRow="1" w:lastRow="0" w:firstColumn="1" w:lastColumn="0" w:noHBand="0" w:noVBand="1"/>
      </w:tblPr>
      <w:tblGrid>
        <w:gridCol w:w="380"/>
        <w:gridCol w:w="2720"/>
        <w:gridCol w:w="720"/>
        <w:gridCol w:w="1240"/>
        <w:gridCol w:w="1175"/>
        <w:gridCol w:w="1175"/>
        <w:gridCol w:w="1180"/>
        <w:gridCol w:w="1280"/>
      </w:tblGrid>
      <w:tr w:rsidR="00F56356" w:rsidRPr="00F56356" w14:paraId="15259BD7" w14:textId="77777777" w:rsidTr="00F56356">
        <w:trPr>
          <w:trHeight w:val="420"/>
        </w:trPr>
        <w:tc>
          <w:tcPr>
            <w:tcW w:w="380" w:type="dxa"/>
            <w:tcBorders>
              <w:top w:val="nil"/>
              <w:left w:val="nil"/>
              <w:bottom w:val="nil"/>
              <w:right w:val="nil"/>
            </w:tcBorders>
            <w:shd w:val="clear" w:color="auto" w:fill="auto"/>
            <w:noWrap/>
            <w:vAlign w:val="bottom"/>
            <w:hideMark/>
          </w:tcPr>
          <w:p w14:paraId="117A234E"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9260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0FE5BB89" w14:textId="77777777" w:rsidTr="00F56356">
        <w:trPr>
          <w:trHeight w:val="585"/>
        </w:trPr>
        <w:tc>
          <w:tcPr>
            <w:tcW w:w="380" w:type="dxa"/>
            <w:tcBorders>
              <w:top w:val="nil"/>
              <w:left w:val="nil"/>
              <w:bottom w:val="nil"/>
              <w:right w:val="nil"/>
            </w:tcBorders>
            <w:shd w:val="clear" w:color="auto" w:fill="auto"/>
            <w:vAlign w:val="center"/>
            <w:hideMark/>
          </w:tcPr>
          <w:p w14:paraId="5ED835C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2794401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7D6B13D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30 - Giovani e sport</w:t>
            </w:r>
          </w:p>
        </w:tc>
      </w:tr>
      <w:tr w:rsidR="00F56356" w:rsidRPr="00F56356" w14:paraId="3F5B7B4B" w14:textId="77777777" w:rsidTr="00F56356">
        <w:trPr>
          <w:trHeight w:val="585"/>
        </w:trPr>
        <w:tc>
          <w:tcPr>
            <w:tcW w:w="380" w:type="dxa"/>
            <w:tcBorders>
              <w:top w:val="nil"/>
              <w:left w:val="nil"/>
              <w:bottom w:val="nil"/>
              <w:right w:val="nil"/>
            </w:tcBorders>
            <w:shd w:val="clear" w:color="auto" w:fill="auto"/>
            <w:noWrap/>
            <w:vAlign w:val="center"/>
            <w:hideMark/>
          </w:tcPr>
          <w:p w14:paraId="7B583DB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344E2F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04C2C71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30.1 - Attività ricreative e sport</w:t>
            </w:r>
          </w:p>
        </w:tc>
      </w:tr>
      <w:tr w:rsidR="00F56356" w:rsidRPr="00F56356" w14:paraId="2B2D77E9" w14:textId="77777777" w:rsidTr="00F56356">
        <w:trPr>
          <w:trHeight w:val="585"/>
        </w:trPr>
        <w:tc>
          <w:tcPr>
            <w:tcW w:w="380" w:type="dxa"/>
            <w:tcBorders>
              <w:top w:val="nil"/>
              <w:left w:val="nil"/>
              <w:bottom w:val="nil"/>
              <w:right w:val="nil"/>
            </w:tcBorders>
            <w:shd w:val="clear" w:color="auto" w:fill="auto"/>
            <w:noWrap/>
            <w:vAlign w:val="center"/>
            <w:hideMark/>
          </w:tcPr>
          <w:p w14:paraId="3395CBD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14BA05B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F794A8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17 - Sport</w:t>
            </w:r>
          </w:p>
        </w:tc>
      </w:tr>
      <w:tr w:rsidR="00F56356" w:rsidRPr="00F56356" w14:paraId="0A877C9F" w14:textId="77777777" w:rsidTr="00F56356">
        <w:trPr>
          <w:trHeight w:val="690"/>
        </w:trPr>
        <w:tc>
          <w:tcPr>
            <w:tcW w:w="380" w:type="dxa"/>
            <w:tcBorders>
              <w:top w:val="nil"/>
              <w:left w:val="nil"/>
              <w:bottom w:val="nil"/>
              <w:right w:val="nil"/>
            </w:tcBorders>
            <w:shd w:val="clear" w:color="auto" w:fill="auto"/>
            <w:noWrap/>
            <w:vAlign w:val="center"/>
            <w:hideMark/>
          </w:tcPr>
          <w:p w14:paraId="0A5DEF1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50A9860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12881B2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Sostegno allo sviluppo di eventi sportivi di rilevanza nazionale e internazionale</w:t>
            </w:r>
          </w:p>
        </w:tc>
      </w:tr>
      <w:tr w:rsidR="00F56356" w:rsidRPr="00F56356" w14:paraId="1914786C" w14:textId="77777777" w:rsidTr="00F56356">
        <w:trPr>
          <w:trHeight w:val="777"/>
        </w:trPr>
        <w:tc>
          <w:tcPr>
            <w:tcW w:w="380" w:type="dxa"/>
            <w:tcBorders>
              <w:top w:val="nil"/>
              <w:left w:val="nil"/>
              <w:bottom w:val="nil"/>
              <w:right w:val="nil"/>
            </w:tcBorders>
            <w:shd w:val="clear" w:color="auto" w:fill="auto"/>
            <w:noWrap/>
            <w:vAlign w:val="center"/>
            <w:hideMark/>
          </w:tcPr>
          <w:p w14:paraId="0AC4892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0CD4E4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4F415987"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roofErr w:type="gramStart"/>
            <w:r w:rsidRPr="00F56356">
              <w:rPr>
                <w:rFonts w:ascii="Times New Roman" w:eastAsia="Times New Roman" w:hAnsi="Times New Roman" w:cs="Times New Roman"/>
                <w:color w:val="000000"/>
                <w:sz w:val="18"/>
                <w:szCs w:val="18"/>
                <w:lang w:eastAsia="it-IT"/>
              </w:rPr>
              <w:t>Contributo  per</w:t>
            </w:r>
            <w:proofErr w:type="gramEnd"/>
            <w:r w:rsidRPr="00F56356">
              <w:rPr>
                <w:rFonts w:ascii="Times New Roman" w:eastAsia="Times New Roman" w:hAnsi="Times New Roman" w:cs="Times New Roman"/>
                <w:color w:val="000000"/>
                <w:sz w:val="18"/>
                <w:szCs w:val="18"/>
                <w:lang w:eastAsia="it-IT"/>
              </w:rPr>
              <w:t xml:space="preserve"> l’organizzazione delle ATP </w:t>
            </w:r>
            <w:proofErr w:type="spellStart"/>
            <w:r w:rsidRPr="00F56356">
              <w:rPr>
                <w:rFonts w:ascii="Times New Roman" w:eastAsia="Times New Roman" w:hAnsi="Times New Roman" w:cs="Times New Roman"/>
                <w:color w:val="000000"/>
                <w:sz w:val="18"/>
                <w:szCs w:val="18"/>
                <w:lang w:eastAsia="it-IT"/>
              </w:rPr>
              <w:t>Finals</w:t>
            </w:r>
            <w:proofErr w:type="spellEnd"/>
            <w:r w:rsidRPr="00F56356">
              <w:rPr>
                <w:rFonts w:ascii="Times New Roman" w:eastAsia="Times New Roman" w:hAnsi="Times New Roman" w:cs="Times New Roman"/>
                <w:color w:val="000000"/>
                <w:sz w:val="18"/>
                <w:szCs w:val="18"/>
                <w:lang w:eastAsia="it-IT"/>
              </w:rPr>
              <w:t xml:space="preserve"> che si svolgeranno nella città di Torino dal 2021 al 2025 .</w:t>
            </w:r>
          </w:p>
        </w:tc>
      </w:tr>
      <w:tr w:rsidR="00F56356" w:rsidRPr="00F56356" w14:paraId="33BBE3CB" w14:textId="77777777" w:rsidTr="00F56356">
        <w:trPr>
          <w:trHeight w:val="406"/>
        </w:trPr>
        <w:tc>
          <w:tcPr>
            <w:tcW w:w="380" w:type="dxa"/>
            <w:tcBorders>
              <w:top w:val="nil"/>
              <w:left w:val="nil"/>
              <w:bottom w:val="nil"/>
              <w:right w:val="nil"/>
            </w:tcBorders>
            <w:shd w:val="clear" w:color="auto" w:fill="auto"/>
            <w:noWrap/>
            <w:vAlign w:val="center"/>
            <w:hideMark/>
          </w:tcPr>
          <w:p w14:paraId="415C7BAF"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401C81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80" w:type="dxa"/>
            <w:gridSpan w:val="6"/>
            <w:tcBorders>
              <w:top w:val="single" w:sz="4" w:space="0" w:color="auto"/>
              <w:left w:val="nil"/>
              <w:bottom w:val="single" w:sz="4" w:space="0" w:color="auto"/>
              <w:right w:val="single" w:sz="4" w:space="0" w:color="auto"/>
            </w:tcBorders>
            <w:shd w:val="clear" w:color="auto" w:fill="auto"/>
            <w:vAlign w:val="center"/>
            <w:hideMark/>
          </w:tcPr>
          <w:p w14:paraId="2366A45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11303057" w14:textId="77777777" w:rsidTr="00F56356">
        <w:trPr>
          <w:trHeight w:val="341"/>
        </w:trPr>
        <w:tc>
          <w:tcPr>
            <w:tcW w:w="380" w:type="dxa"/>
            <w:tcBorders>
              <w:top w:val="nil"/>
              <w:left w:val="nil"/>
              <w:bottom w:val="nil"/>
              <w:right w:val="nil"/>
            </w:tcBorders>
            <w:shd w:val="clear" w:color="auto" w:fill="auto"/>
            <w:noWrap/>
            <w:vAlign w:val="center"/>
            <w:hideMark/>
          </w:tcPr>
          <w:p w14:paraId="4A1EA7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4FC9D4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auto"/>
            </w:tcBorders>
            <w:shd w:val="clear" w:color="auto" w:fill="auto"/>
            <w:vAlign w:val="center"/>
            <w:hideMark/>
          </w:tcPr>
          <w:p w14:paraId="3A2AA60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7BDB2BA0" w14:textId="77777777" w:rsidTr="00F56356">
        <w:trPr>
          <w:trHeight w:val="690"/>
        </w:trPr>
        <w:tc>
          <w:tcPr>
            <w:tcW w:w="380" w:type="dxa"/>
            <w:tcBorders>
              <w:top w:val="nil"/>
              <w:left w:val="nil"/>
              <w:bottom w:val="nil"/>
              <w:right w:val="nil"/>
            </w:tcBorders>
            <w:shd w:val="clear" w:color="auto" w:fill="auto"/>
            <w:noWrap/>
            <w:vAlign w:val="bottom"/>
            <w:hideMark/>
          </w:tcPr>
          <w:p w14:paraId="00BB2C4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279DB1B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67B7E69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Cap. 429</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151E4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6378AF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BD13A3E" w14:textId="77777777" w:rsidTr="00F56356">
        <w:trPr>
          <w:trHeight w:val="1425"/>
        </w:trPr>
        <w:tc>
          <w:tcPr>
            <w:tcW w:w="380" w:type="dxa"/>
            <w:tcBorders>
              <w:top w:val="nil"/>
              <w:left w:val="nil"/>
              <w:bottom w:val="nil"/>
              <w:right w:val="nil"/>
            </w:tcBorders>
            <w:shd w:val="clear" w:color="auto" w:fill="auto"/>
            <w:noWrap/>
            <w:vAlign w:val="bottom"/>
            <w:hideMark/>
          </w:tcPr>
          <w:p w14:paraId="222589A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151F385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69C240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5C2E33A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380148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2)</w:t>
            </w:r>
          </w:p>
        </w:tc>
        <w:tc>
          <w:tcPr>
            <w:tcW w:w="1120" w:type="dxa"/>
            <w:tcBorders>
              <w:top w:val="nil"/>
              <w:left w:val="nil"/>
              <w:bottom w:val="single" w:sz="4" w:space="0" w:color="auto"/>
              <w:right w:val="single" w:sz="4" w:space="0" w:color="auto"/>
            </w:tcBorders>
            <w:shd w:val="clear" w:color="auto" w:fill="auto"/>
            <w:vAlign w:val="center"/>
            <w:hideMark/>
          </w:tcPr>
          <w:p w14:paraId="13A1A71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3B92E70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4)</w:t>
            </w:r>
          </w:p>
        </w:tc>
        <w:tc>
          <w:tcPr>
            <w:tcW w:w="1280" w:type="dxa"/>
            <w:tcBorders>
              <w:top w:val="nil"/>
              <w:left w:val="nil"/>
              <w:bottom w:val="single" w:sz="4" w:space="0" w:color="auto"/>
              <w:right w:val="single" w:sz="4" w:space="0" w:color="auto"/>
            </w:tcBorders>
            <w:shd w:val="clear" w:color="auto" w:fill="auto"/>
            <w:vAlign w:val="center"/>
            <w:hideMark/>
          </w:tcPr>
          <w:p w14:paraId="0DB6E08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2DD5F913" w14:textId="77777777" w:rsidTr="00F56356">
        <w:trPr>
          <w:trHeight w:val="720"/>
        </w:trPr>
        <w:tc>
          <w:tcPr>
            <w:tcW w:w="380" w:type="dxa"/>
            <w:tcBorders>
              <w:top w:val="nil"/>
              <w:left w:val="nil"/>
              <w:bottom w:val="nil"/>
              <w:right w:val="nil"/>
            </w:tcBorders>
            <w:shd w:val="clear" w:color="auto" w:fill="auto"/>
            <w:noWrap/>
            <w:vAlign w:val="bottom"/>
            <w:hideMark/>
          </w:tcPr>
          <w:p w14:paraId="64B43F2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71E6B05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3A074A1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4B29B4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14.422.454,00</w:t>
            </w:r>
          </w:p>
        </w:tc>
        <w:tc>
          <w:tcPr>
            <w:tcW w:w="1140" w:type="dxa"/>
            <w:tcBorders>
              <w:top w:val="nil"/>
              <w:left w:val="nil"/>
              <w:bottom w:val="single" w:sz="4" w:space="0" w:color="auto"/>
              <w:right w:val="single" w:sz="4" w:space="0" w:color="auto"/>
            </w:tcBorders>
            <w:shd w:val="clear" w:color="auto" w:fill="auto"/>
            <w:noWrap/>
            <w:vAlign w:val="center"/>
            <w:hideMark/>
          </w:tcPr>
          <w:p w14:paraId="12FC498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14.422.454,00</w:t>
            </w:r>
          </w:p>
        </w:tc>
        <w:tc>
          <w:tcPr>
            <w:tcW w:w="1120" w:type="dxa"/>
            <w:tcBorders>
              <w:top w:val="nil"/>
              <w:left w:val="nil"/>
              <w:bottom w:val="single" w:sz="4" w:space="0" w:color="auto"/>
              <w:right w:val="single" w:sz="4" w:space="0" w:color="auto"/>
            </w:tcBorders>
            <w:shd w:val="clear" w:color="auto" w:fill="auto"/>
            <w:noWrap/>
            <w:vAlign w:val="center"/>
            <w:hideMark/>
          </w:tcPr>
          <w:p w14:paraId="739DFCE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14.422.454,00</w:t>
            </w:r>
          </w:p>
        </w:tc>
        <w:tc>
          <w:tcPr>
            <w:tcW w:w="1180" w:type="dxa"/>
            <w:tcBorders>
              <w:top w:val="nil"/>
              <w:left w:val="nil"/>
              <w:bottom w:val="single" w:sz="4" w:space="0" w:color="auto"/>
              <w:right w:val="single" w:sz="4" w:space="0" w:color="auto"/>
            </w:tcBorders>
            <w:shd w:val="clear" w:color="auto" w:fill="auto"/>
            <w:noWrap/>
            <w:vAlign w:val="center"/>
            <w:hideMark/>
          </w:tcPr>
          <w:p w14:paraId="0EFD59CF"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286B0CC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14.422.454,00</w:t>
            </w:r>
          </w:p>
        </w:tc>
      </w:tr>
      <w:tr w:rsidR="00F56356" w:rsidRPr="00F56356" w14:paraId="4A3D34A0" w14:textId="77777777" w:rsidTr="00F56356">
        <w:trPr>
          <w:trHeight w:val="405"/>
        </w:trPr>
        <w:tc>
          <w:tcPr>
            <w:tcW w:w="380" w:type="dxa"/>
            <w:tcBorders>
              <w:top w:val="nil"/>
              <w:left w:val="nil"/>
              <w:bottom w:val="nil"/>
              <w:right w:val="nil"/>
            </w:tcBorders>
            <w:shd w:val="clear" w:color="auto" w:fill="auto"/>
            <w:noWrap/>
            <w:vAlign w:val="bottom"/>
            <w:hideMark/>
          </w:tcPr>
          <w:p w14:paraId="04C10C0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nil"/>
              <w:right w:val="nil"/>
            </w:tcBorders>
            <w:shd w:val="clear" w:color="auto" w:fill="auto"/>
            <w:noWrap/>
            <w:vAlign w:val="center"/>
            <w:hideMark/>
          </w:tcPr>
          <w:p w14:paraId="7CF6E58B"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20" w:type="dxa"/>
            <w:tcBorders>
              <w:top w:val="nil"/>
              <w:left w:val="nil"/>
              <w:bottom w:val="nil"/>
              <w:right w:val="nil"/>
            </w:tcBorders>
            <w:shd w:val="clear" w:color="auto" w:fill="auto"/>
            <w:noWrap/>
            <w:vAlign w:val="bottom"/>
            <w:hideMark/>
          </w:tcPr>
          <w:p w14:paraId="26D0FB8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3A4D875D"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4B4ECC28"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nil"/>
            </w:tcBorders>
            <w:shd w:val="clear" w:color="auto" w:fill="auto"/>
            <w:noWrap/>
            <w:vAlign w:val="bottom"/>
            <w:hideMark/>
          </w:tcPr>
          <w:p w14:paraId="28FAFE6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3FFEE0D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80" w:type="dxa"/>
            <w:tcBorders>
              <w:top w:val="nil"/>
              <w:left w:val="nil"/>
              <w:bottom w:val="nil"/>
              <w:right w:val="single" w:sz="4" w:space="0" w:color="auto"/>
            </w:tcBorders>
            <w:shd w:val="clear" w:color="auto" w:fill="auto"/>
            <w:noWrap/>
            <w:vAlign w:val="bottom"/>
            <w:hideMark/>
          </w:tcPr>
          <w:p w14:paraId="3004FBD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2919AA39" w14:textId="77777777" w:rsidTr="00F56356">
        <w:trPr>
          <w:trHeight w:val="190"/>
        </w:trPr>
        <w:tc>
          <w:tcPr>
            <w:tcW w:w="380" w:type="dxa"/>
            <w:tcBorders>
              <w:top w:val="nil"/>
              <w:left w:val="nil"/>
              <w:bottom w:val="nil"/>
              <w:right w:val="nil"/>
            </w:tcBorders>
            <w:shd w:val="clear" w:color="auto" w:fill="auto"/>
            <w:noWrap/>
            <w:vAlign w:val="bottom"/>
            <w:hideMark/>
          </w:tcPr>
          <w:p w14:paraId="2918C4B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363EFA6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52216C4" w14:textId="77777777" w:rsidTr="00F56356">
        <w:trPr>
          <w:trHeight w:val="540"/>
        </w:trPr>
        <w:tc>
          <w:tcPr>
            <w:tcW w:w="380" w:type="dxa"/>
            <w:tcBorders>
              <w:top w:val="nil"/>
              <w:left w:val="nil"/>
              <w:bottom w:val="nil"/>
              <w:right w:val="nil"/>
            </w:tcBorders>
            <w:shd w:val="clear" w:color="auto" w:fill="auto"/>
            <w:noWrap/>
            <w:vAlign w:val="bottom"/>
            <w:hideMark/>
          </w:tcPr>
          <w:p w14:paraId="58A40DE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28B5E51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2D5E7865" w14:textId="77777777" w:rsidTr="00F56356">
        <w:trPr>
          <w:trHeight w:val="300"/>
        </w:trPr>
        <w:tc>
          <w:tcPr>
            <w:tcW w:w="380" w:type="dxa"/>
            <w:tcBorders>
              <w:top w:val="nil"/>
              <w:left w:val="nil"/>
              <w:bottom w:val="nil"/>
              <w:right w:val="nil"/>
            </w:tcBorders>
            <w:shd w:val="clear" w:color="auto" w:fill="auto"/>
            <w:noWrap/>
            <w:vAlign w:val="bottom"/>
            <w:hideMark/>
          </w:tcPr>
          <w:p w14:paraId="67D0499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3CA552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3915CEFC" w14:textId="77777777" w:rsidTr="00F56356">
        <w:trPr>
          <w:trHeight w:val="555"/>
        </w:trPr>
        <w:tc>
          <w:tcPr>
            <w:tcW w:w="380" w:type="dxa"/>
            <w:tcBorders>
              <w:top w:val="nil"/>
              <w:left w:val="nil"/>
              <w:bottom w:val="nil"/>
              <w:right w:val="nil"/>
            </w:tcBorders>
            <w:shd w:val="clear" w:color="auto" w:fill="auto"/>
            <w:noWrap/>
            <w:vAlign w:val="bottom"/>
            <w:hideMark/>
          </w:tcPr>
          <w:p w14:paraId="1C3D991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74F3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38FCF63" w14:textId="77777777" w:rsidTr="00F56356">
        <w:trPr>
          <w:trHeight w:val="840"/>
        </w:trPr>
        <w:tc>
          <w:tcPr>
            <w:tcW w:w="380" w:type="dxa"/>
            <w:tcBorders>
              <w:top w:val="nil"/>
              <w:left w:val="nil"/>
              <w:bottom w:val="nil"/>
              <w:right w:val="nil"/>
            </w:tcBorders>
            <w:shd w:val="clear" w:color="auto" w:fill="auto"/>
            <w:noWrap/>
            <w:vAlign w:val="center"/>
            <w:hideMark/>
          </w:tcPr>
          <w:p w14:paraId="14B27EA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EB0B23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7BB2C07F"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Tempestività dei pagamenti misurata in termini di percentuale dei contributi erogati entro il termine massimo di 30 gg. dalla richiesta del soggetto beneficiario.</w:t>
            </w:r>
          </w:p>
        </w:tc>
      </w:tr>
      <w:tr w:rsidR="00F56356" w:rsidRPr="00F56356" w14:paraId="430D439E" w14:textId="77777777" w:rsidTr="00F56356">
        <w:trPr>
          <w:trHeight w:val="660"/>
        </w:trPr>
        <w:tc>
          <w:tcPr>
            <w:tcW w:w="380" w:type="dxa"/>
            <w:tcBorders>
              <w:top w:val="nil"/>
              <w:left w:val="nil"/>
              <w:bottom w:val="nil"/>
              <w:right w:val="nil"/>
            </w:tcBorders>
            <w:shd w:val="clear" w:color="auto" w:fill="auto"/>
            <w:noWrap/>
            <w:vAlign w:val="center"/>
            <w:hideMark/>
          </w:tcPr>
          <w:p w14:paraId="0F13B733"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267D5C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6480FA4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SICOGE, sistema di posta elettronica, </w:t>
            </w:r>
            <w:proofErr w:type="spellStart"/>
            <w:r w:rsidRPr="00F56356">
              <w:rPr>
                <w:rFonts w:ascii="Times New Roman" w:eastAsia="Times New Roman" w:hAnsi="Times New Roman" w:cs="Times New Roman"/>
                <w:color w:val="000000"/>
                <w:sz w:val="18"/>
                <w:szCs w:val="18"/>
                <w:lang w:eastAsia="it-IT"/>
              </w:rPr>
              <w:t>pec</w:t>
            </w:r>
            <w:proofErr w:type="spellEnd"/>
          </w:p>
        </w:tc>
      </w:tr>
      <w:tr w:rsidR="00F56356" w:rsidRPr="00F56356" w14:paraId="5A2EA87C" w14:textId="77777777" w:rsidTr="00F56356">
        <w:trPr>
          <w:trHeight w:val="1725"/>
        </w:trPr>
        <w:tc>
          <w:tcPr>
            <w:tcW w:w="380" w:type="dxa"/>
            <w:tcBorders>
              <w:top w:val="nil"/>
              <w:left w:val="nil"/>
              <w:bottom w:val="nil"/>
              <w:right w:val="nil"/>
            </w:tcBorders>
            <w:shd w:val="clear" w:color="auto" w:fill="auto"/>
            <w:noWrap/>
            <w:vAlign w:val="center"/>
            <w:hideMark/>
          </w:tcPr>
          <w:p w14:paraId="6EE7D11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E4E927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00" w:type="dxa"/>
            <w:gridSpan w:val="3"/>
            <w:tcBorders>
              <w:top w:val="single" w:sz="4" w:space="0" w:color="auto"/>
              <w:left w:val="nil"/>
              <w:bottom w:val="single" w:sz="4" w:space="0" w:color="auto"/>
              <w:right w:val="single" w:sz="4" w:space="0" w:color="000000"/>
            </w:tcBorders>
            <w:shd w:val="clear" w:color="auto" w:fill="auto"/>
            <w:vAlign w:val="center"/>
            <w:hideMark/>
          </w:tcPr>
          <w:p w14:paraId="3755B0FA" w14:textId="77777777" w:rsidR="00F56356" w:rsidRPr="00F56356" w:rsidRDefault="00F56356" w:rsidP="00F56356">
            <w:pPr>
              <w:spacing w:after="0" w:line="240" w:lineRule="auto"/>
              <w:jc w:val="both"/>
              <w:rPr>
                <w:rFonts w:ascii="Times New Roman" w:eastAsia="Times New Roman" w:hAnsi="Times New Roman" w:cs="Times New Roman"/>
                <w:sz w:val="18"/>
                <w:szCs w:val="18"/>
                <w:lang w:eastAsia="it-IT"/>
              </w:rPr>
            </w:pPr>
            <w:r w:rsidRPr="00F56356">
              <w:rPr>
                <w:rFonts w:ascii="Times New Roman" w:eastAsia="Times New Roman" w:hAnsi="Times New Roman" w:cs="Times New Roman"/>
                <w:sz w:val="18"/>
                <w:szCs w:val="18"/>
                <w:lang w:eastAsia="it-IT"/>
              </w:rPr>
              <w:t>N. trasferimenti effettuati entro il termine massimo di 30 gg. dalla richiesta dell’Ente/n. totale di richieste pervenute</w:t>
            </w:r>
          </w:p>
        </w:tc>
        <w:tc>
          <w:tcPr>
            <w:tcW w:w="1120" w:type="dxa"/>
            <w:tcBorders>
              <w:top w:val="nil"/>
              <w:left w:val="nil"/>
              <w:bottom w:val="single" w:sz="4" w:space="0" w:color="auto"/>
              <w:right w:val="single" w:sz="4" w:space="0" w:color="auto"/>
            </w:tcBorders>
            <w:shd w:val="clear" w:color="auto" w:fill="auto"/>
            <w:vAlign w:val="center"/>
            <w:hideMark/>
          </w:tcPr>
          <w:p w14:paraId="6D73472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nil"/>
              <w:bottom w:val="single" w:sz="4" w:space="0" w:color="auto"/>
              <w:right w:val="single" w:sz="4" w:space="0" w:color="auto"/>
            </w:tcBorders>
            <w:shd w:val="clear" w:color="auto" w:fill="auto"/>
            <w:vAlign w:val="center"/>
            <w:hideMark/>
          </w:tcPr>
          <w:p w14:paraId="7A7E79D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80" w:type="dxa"/>
            <w:tcBorders>
              <w:top w:val="nil"/>
              <w:left w:val="nil"/>
              <w:bottom w:val="single" w:sz="4" w:space="0" w:color="auto"/>
              <w:right w:val="single" w:sz="4" w:space="0" w:color="auto"/>
            </w:tcBorders>
            <w:shd w:val="clear" w:color="auto" w:fill="auto"/>
            <w:vAlign w:val="center"/>
            <w:hideMark/>
          </w:tcPr>
          <w:p w14:paraId="6114132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0810D7D" w14:textId="77777777" w:rsidTr="00F56356">
        <w:trPr>
          <w:trHeight w:val="570"/>
        </w:trPr>
        <w:tc>
          <w:tcPr>
            <w:tcW w:w="380" w:type="dxa"/>
            <w:tcBorders>
              <w:top w:val="nil"/>
              <w:left w:val="nil"/>
              <w:bottom w:val="nil"/>
              <w:right w:val="nil"/>
            </w:tcBorders>
            <w:shd w:val="clear" w:color="auto" w:fill="auto"/>
            <w:noWrap/>
            <w:vAlign w:val="bottom"/>
            <w:hideMark/>
          </w:tcPr>
          <w:p w14:paraId="4B02928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3CBC646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651DC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w:t>
            </w:r>
          </w:p>
        </w:tc>
        <w:tc>
          <w:tcPr>
            <w:tcW w:w="1120" w:type="dxa"/>
            <w:tcBorders>
              <w:top w:val="nil"/>
              <w:left w:val="nil"/>
              <w:bottom w:val="single" w:sz="4" w:space="0" w:color="auto"/>
              <w:right w:val="single" w:sz="4" w:space="0" w:color="auto"/>
            </w:tcBorders>
            <w:shd w:val="clear" w:color="auto" w:fill="auto"/>
            <w:noWrap/>
            <w:vAlign w:val="center"/>
            <w:hideMark/>
          </w:tcPr>
          <w:p w14:paraId="1C3380D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180" w:type="dxa"/>
            <w:tcBorders>
              <w:top w:val="nil"/>
              <w:left w:val="nil"/>
              <w:bottom w:val="single" w:sz="4" w:space="0" w:color="auto"/>
              <w:right w:val="single" w:sz="4" w:space="0" w:color="auto"/>
            </w:tcBorders>
            <w:shd w:val="clear" w:color="auto" w:fill="auto"/>
            <w:vAlign w:val="center"/>
            <w:hideMark/>
          </w:tcPr>
          <w:p w14:paraId="7EE3222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280" w:type="dxa"/>
            <w:tcBorders>
              <w:top w:val="nil"/>
              <w:left w:val="nil"/>
              <w:bottom w:val="single" w:sz="4" w:space="0" w:color="auto"/>
              <w:right w:val="single" w:sz="4" w:space="0" w:color="auto"/>
            </w:tcBorders>
            <w:shd w:val="clear" w:color="auto" w:fill="auto"/>
            <w:vAlign w:val="center"/>
            <w:hideMark/>
          </w:tcPr>
          <w:p w14:paraId="6AA329A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w:t>
            </w:r>
          </w:p>
        </w:tc>
      </w:tr>
    </w:tbl>
    <w:p w14:paraId="41EF1B86" w14:textId="77777777" w:rsidR="00F56356" w:rsidRPr="00F56356" w:rsidRDefault="00F56356" w:rsidP="00F56356">
      <w:pPr>
        <w:spacing w:after="0" w:line="360" w:lineRule="auto"/>
        <w:ind w:right="284"/>
        <w:jc w:val="both"/>
        <w:rPr>
          <w:rFonts w:eastAsia="Times New Roman"/>
          <w:sz w:val="4"/>
          <w:szCs w:val="12"/>
          <w:lang w:eastAsia="it-IT"/>
        </w:rPr>
      </w:pPr>
    </w:p>
    <w:p w14:paraId="0CFFB67B" w14:textId="77777777" w:rsidR="00F56356" w:rsidRPr="00F56356" w:rsidRDefault="00F56356" w:rsidP="00F56356">
      <w:pPr>
        <w:spacing w:after="0" w:line="360" w:lineRule="auto"/>
        <w:ind w:right="284"/>
        <w:jc w:val="both"/>
        <w:rPr>
          <w:rFonts w:eastAsia="Times New Roman"/>
          <w:sz w:val="4"/>
          <w:szCs w:val="12"/>
          <w:lang w:eastAsia="it-IT"/>
        </w:rPr>
      </w:pPr>
    </w:p>
    <w:p w14:paraId="49083525" w14:textId="77777777" w:rsidR="00F56356" w:rsidRPr="00F56356" w:rsidRDefault="00F56356" w:rsidP="00F56356">
      <w:pPr>
        <w:spacing w:after="0" w:line="360" w:lineRule="auto"/>
        <w:ind w:right="284"/>
        <w:jc w:val="both"/>
        <w:rPr>
          <w:rFonts w:eastAsia="Times New Roman"/>
          <w:sz w:val="4"/>
          <w:szCs w:val="12"/>
          <w:lang w:eastAsia="it-IT"/>
        </w:rPr>
      </w:pPr>
    </w:p>
    <w:p w14:paraId="5AEBA993" w14:textId="77777777" w:rsidR="00F56356" w:rsidRPr="00F56356" w:rsidRDefault="00F56356" w:rsidP="00F56356">
      <w:pPr>
        <w:spacing w:after="0" w:line="360" w:lineRule="auto"/>
        <w:ind w:right="284"/>
        <w:jc w:val="both"/>
        <w:rPr>
          <w:rFonts w:eastAsia="Times New Roman"/>
          <w:sz w:val="4"/>
          <w:szCs w:val="12"/>
          <w:lang w:eastAsia="it-IT"/>
        </w:rPr>
      </w:pPr>
    </w:p>
    <w:p w14:paraId="1DD56424" w14:textId="77777777" w:rsidR="00F56356" w:rsidRPr="00F56356" w:rsidRDefault="00F56356" w:rsidP="00F56356">
      <w:pPr>
        <w:spacing w:after="0" w:line="360" w:lineRule="auto"/>
        <w:ind w:right="284"/>
        <w:jc w:val="both"/>
        <w:rPr>
          <w:rFonts w:eastAsia="Times New Roman"/>
          <w:sz w:val="4"/>
          <w:szCs w:val="12"/>
          <w:lang w:eastAsia="it-IT"/>
        </w:rPr>
      </w:pPr>
    </w:p>
    <w:p w14:paraId="1E6F7699" w14:textId="77777777" w:rsidR="00F56356" w:rsidRPr="00F56356" w:rsidRDefault="00F56356" w:rsidP="00F56356">
      <w:pPr>
        <w:spacing w:after="0" w:line="360" w:lineRule="auto"/>
        <w:ind w:right="284"/>
        <w:jc w:val="both"/>
        <w:rPr>
          <w:rFonts w:eastAsia="Times New Roman"/>
          <w:sz w:val="18"/>
          <w:szCs w:val="12"/>
          <w:lang w:eastAsia="it-IT"/>
        </w:rPr>
      </w:pPr>
    </w:p>
    <w:p w14:paraId="352583EE" w14:textId="77777777" w:rsidR="00F56356" w:rsidRPr="00F56356" w:rsidRDefault="00F56356" w:rsidP="00F56356">
      <w:pPr>
        <w:spacing w:after="0" w:line="360" w:lineRule="auto"/>
        <w:ind w:right="284"/>
        <w:jc w:val="both"/>
        <w:rPr>
          <w:rFonts w:eastAsia="Times New Roman"/>
          <w:sz w:val="18"/>
          <w:szCs w:val="12"/>
          <w:lang w:eastAsia="it-IT"/>
        </w:rPr>
      </w:pPr>
    </w:p>
    <w:tbl>
      <w:tblPr>
        <w:tblW w:w="9780" w:type="dxa"/>
        <w:tblCellMar>
          <w:left w:w="70" w:type="dxa"/>
          <w:right w:w="70" w:type="dxa"/>
        </w:tblCellMar>
        <w:tblLook w:val="04A0" w:firstRow="1" w:lastRow="0" w:firstColumn="1" w:lastColumn="0" w:noHBand="0" w:noVBand="1"/>
      </w:tblPr>
      <w:tblGrid>
        <w:gridCol w:w="380"/>
        <w:gridCol w:w="2720"/>
        <w:gridCol w:w="720"/>
        <w:gridCol w:w="1240"/>
        <w:gridCol w:w="1140"/>
        <w:gridCol w:w="1130"/>
        <w:gridCol w:w="1180"/>
        <w:gridCol w:w="1280"/>
      </w:tblGrid>
      <w:tr w:rsidR="00F56356" w:rsidRPr="00F56356" w14:paraId="6EE9CC38" w14:textId="77777777" w:rsidTr="00F56356">
        <w:trPr>
          <w:trHeight w:val="420"/>
        </w:trPr>
        <w:tc>
          <w:tcPr>
            <w:tcW w:w="380" w:type="dxa"/>
            <w:tcBorders>
              <w:top w:val="nil"/>
              <w:left w:val="nil"/>
              <w:bottom w:val="nil"/>
              <w:right w:val="nil"/>
            </w:tcBorders>
            <w:shd w:val="clear" w:color="auto" w:fill="auto"/>
            <w:noWrap/>
            <w:vAlign w:val="bottom"/>
            <w:hideMark/>
          </w:tcPr>
          <w:p w14:paraId="7B430BB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5458B"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2F82A529" w14:textId="77777777" w:rsidTr="00F56356">
        <w:trPr>
          <w:trHeight w:val="585"/>
        </w:trPr>
        <w:tc>
          <w:tcPr>
            <w:tcW w:w="380" w:type="dxa"/>
            <w:tcBorders>
              <w:top w:val="nil"/>
              <w:left w:val="nil"/>
              <w:bottom w:val="nil"/>
              <w:right w:val="nil"/>
            </w:tcBorders>
            <w:shd w:val="clear" w:color="auto" w:fill="auto"/>
            <w:vAlign w:val="center"/>
            <w:hideMark/>
          </w:tcPr>
          <w:p w14:paraId="1A4C81A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04176AB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1166CAE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30 - Giovani e sport</w:t>
            </w:r>
          </w:p>
        </w:tc>
      </w:tr>
      <w:tr w:rsidR="00F56356" w:rsidRPr="00F56356" w14:paraId="2BF68F0C" w14:textId="77777777" w:rsidTr="00F56356">
        <w:trPr>
          <w:trHeight w:val="585"/>
        </w:trPr>
        <w:tc>
          <w:tcPr>
            <w:tcW w:w="380" w:type="dxa"/>
            <w:tcBorders>
              <w:top w:val="nil"/>
              <w:left w:val="nil"/>
              <w:bottom w:val="nil"/>
              <w:right w:val="nil"/>
            </w:tcBorders>
            <w:shd w:val="clear" w:color="auto" w:fill="auto"/>
            <w:noWrap/>
            <w:vAlign w:val="center"/>
            <w:hideMark/>
          </w:tcPr>
          <w:p w14:paraId="4206D3E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1AFD60F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057D1E0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30.1 - Attività ricreative e sport</w:t>
            </w:r>
          </w:p>
        </w:tc>
      </w:tr>
      <w:tr w:rsidR="00F56356" w:rsidRPr="00F56356" w14:paraId="1AC5415C" w14:textId="77777777" w:rsidTr="00F56356">
        <w:trPr>
          <w:trHeight w:val="585"/>
        </w:trPr>
        <w:tc>
          <w:tcPr>
            <w:tcW w:w="380" w:type="dxa"/>
            <w:tcBorders>
              <w:top w:val="nil"/>
              <w:left w:val="nil"/>
              <w:bottom w:val="nil"/>
              <w:right w:val="nil"/>
            </w:tcBorders>
            <w:shd w:val="clear" w:color="auto" w:fill="auto"/>
            <w:noWrap/>
            <w:vAlign w:val="center"/>
            <w:hideMark/>
          </w:tcPr>
          <w:p w14:paraId="2CDA8D4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576AFFC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EE2B84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17 - Sport</w:t>
            </w:r>
          </w:p>
        </w:tc>
      </w:tr>
      <w:tr w:rsidR="00F56356" w:rsidRPr="00F56356" w14:paraId="22E914D1" w14:textId="77777777" w:rsidTr="00F56356">
        <w:trPr>
          <w:trHeight w:val="690"/>
        </w:trPr>
        <w:tc>
          <w:tcPr>
            <w:tcW w:w="380" w:type="dxa"/>
            <w:tcBorders>
              <w:top w:val="nil"/>
              <w:left w:val="nil"/>
              <w:bottom w:val="nil"/>
              <w:right w:val="nil"/>
            </w:tcBorders>
            <w:shd w:val="clear" w:color="auto" w:fill="auto"/>
            <w:noWrap/>
            <w:vAlign w:val="center"/>
            <w:hideMark/>
          </w:tcPr>
          <w:p w14:paraId="1C6922A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0863AF1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734115A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Finanziare la realizzazione di progetti volti all’inclusione sociale attraverso lo Sport. </w:t>
            </w:r>
          </w:p>
        </w:tc>
      </w:tr>
      <w:tr w:rsidR="00F56356" w:rsidRPr="00F56356" w14:paraId="38039F8E" w14:textId="77777777" w:rsidTr="00F56356">
        <w:trPr>
          <w:trHeight w:val="777"/>
        </w:trPr>
        <w:tc>
          <w:tcPr>
            <w:tcW w:w="380" w:type="dxa"/>
            <w:tcBorders>
              <w:top w:val="nil"/>
              <w:left w:val="nil"/>
              <w:bottom w:val="nil"/>
              <w:right w:val="nil"/>
            </w:tcBorders>
            <w:shd w:val="clear" w:color="auto" w:fill="auto"/>
            <w:noWrap/>
            <w:vAlign w:val="center"/>
            <w:hideMark/>
          </w:tcPr>
          <w:p w14:paraId="62D06BB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70C14AD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4261ABAB"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Erogazione di finanziamenti a Associazioni e Società sportive dilettantistiche che realizzino progetti volti all’inclusione sociale attraverso la pratica sportiva.</w:t>
            </w:r>
          </w:p>
        </w:tc>
      </w:tr>
      <w:tr w:rsidR="00F56356" w:rsidRPr="00F56356" w14:paraId="3EDC11E0" w14:textId="77777777" w:rsidTr="00F56356">
        <w:trPr>
          <w:trHeight w:val="338"/>
        </w:trPr>
        <w:tc>
          <w:tcPr>
            <w:tcW w:w="380" w:type="dxa"/>
            <w:tcBorders>
              <w:top w:val="nil"/>
              <w:left w:val="nil"/>
              <w:bottom w:val="nil"/>
              <w:right w:val="nil"/>
            </w:tcBorders>
            <w:shd w:val="clear" w:color="auto" w:fill="auto"/>
            <w:noWrap/>
            <w:vAlign w:val="center"/>
            <w:hideMark/>
          </w:tcPr>
          <w:p w14:paraId="7E0CDBA8"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4E53AA6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80" w:type="dxa"/>
            <w:gridSpan w:val="6"/>
            <w:tcBorders>
              <w:top w:val="single" w:sz="4" w:space="0" w:color="auto"/>
              <w:left w:val="nil"/>
              <w:bottom w:val="single" w:sz="4" w:space="0" w:color="auto"/>
              <w:right w:val="single" w:sz="4" w:space="0" w:color="auto"/>
            </w:tcBorders>
            <w:shd w:val="clear" w:color="auto" w:fill="auto"/>
            <w:vAlign w:val="center"/>
            <w:hideMark/>
          </w:tcPr>
          <w:p w14:paraId="7ABCFA5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5138C840" w14:textId="77777777" w:rsidTr="00F56356">
        <w:trPr>
          <w:trHeight w:val="332"/>
        </w:trPr>
        <w:tc>
          <w:tcPr>
            <w:tcW w:w="380" w:type="dxa"/>
            <w:tcBorders>
              <w:top w:val="nil"/>
              <w:left w:val="nil"/>
              <w:bottom w:val="nil"/>
              <w:right w:val="nil"/>
            </w:tcBorders>
            <w:shd w:val="clear" w:color="auto" w:fill="auto"/>
            <w:noWrap/>
            <w:vAlign w:val="center"/>
            <w:hideMark/>
          </w:tcPr>
          <w:p w14:paraId="1BA6A26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2B1361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auto"/>
            </w:tcBorders>
            <w:shd w:val="clear" w:color="auto" w:fill="auto"/>
            <w:vAlign w:val="center"/>
            <w:hideMark/>
          </w:tcPr>
          <w:p w14:paraId="4373EC3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1838F031" w14:textId="77777777" w:rsidTr="00F56356">
        <w:trPr>
          <w:trHeight w:val="690"/>
        </w:trPr>
        <w:tc>
          <w:tcPr>
            <w:tcW w:w="380" w:type="dxa"/>
            <w:tcBorders>
              <w:top w:val="nil"/>
              <w:left w:val="nil"/>
              <w:bottom w:val="nil"/>
              <w:right w:val="nil"/>
            </w:tcBorders>
            <w:shd w:val="clear" w:color="auto" w:fill="auto"/>
            <w:noWrap/>
            <w:vAlign w:val="bottom"/>
            <w:hideMark/>
          </w:tcPr>
          <w:p w14:paraId="0A671EC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3114CF3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065DAAA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Cap. 433</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67807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B7FB84"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28D7AFF" w14:textId="77777777" w:rsidTr="00F56356">
        <w:trPr>
          <w:trHeight w:val="1425"/>
        </w:trPr>
        <w:tc>
          <w:tcPr>
            <w:tcW w:w="380" w:type="dxa"/>
            <w:tcBorders>
              <w:top w:val="nil"/>
              <w:left w:val="nil"/>
              <w:bottom w:val="nil"/>
              <w:right w:val="nil"/>
            </w:tcBorders>
            <w:shd w:val="clear" w:color="auto" w:fill="auto"/>
            <w:noWrap/>
            <w:vAlign w:val="bottom"/>
            <w:hideMark/>
          </w:tcPr>
          <w:p w14:paraId="5B63373B"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084AAB7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33A02C8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22D8F10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7A3D6B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2)</w:t>
            </w:r>
          </w:p>
        </w:tc>
        <w:tc>
          <w:tcPr>
            <w:tcW w:w="1120" w:type="dxa"/>
            <w:tcBorders>
              <w:top w:val="nil"/>
              <w:left w:val="nil"/>
              <w:bottom w:val="single" w:sz="4" w:space="0" w:color="auto"/>
              <w:right w:val="single" w:sz="4" w:space="0" w:color="auto"/>
            </w:tcBorders>
            <w:shd w:val="clear" w:color="auto" w:fill="auto"/>
            <w:vAlign w:val="center"/>
            <w:hideMark/>
          </w:tcPr>
          <w:p w14:paraId="6371DCC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222FF9D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4)</w:t>
            </w:r>
          </w:p>
        </w:tc>
        <w:tc>
          <w:tcPr>
            <w:tcW w:w="1280" w:type="dxa"/>
            <w:tcBorders>
              <w:top w:val="nil"/>
              <w:left w:val="nil"/>
              <w:bottom w:val="single" w:sz="4" w:space="0" w:color="auto"/>
              <w:right w:val="single" w:sz="4" w:space="0" w:color="auto"/>
            </w:tcBorders>
            <w:shd w:val="clear" w:color="auto" w:fill="auto"/>
            <w:vAlign w:val="center"/>
            <w:hideMark/>
          </w:tcPr>
          <w:p w14:paraId="2590796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6792C23" w14:textId="77777777" w:rsidTr="00F56356">
        <w:trPr>
          <w:trHeight w:val="720"/>
        </w:trPr>
        <w:tc>
          <w:tcPr>
            <w:tcW w:w="380" w:type="dxa"/>
            <w:tcBorders>
              <w:top w:val="nil"/>
              <w:left w:val="nil"/>
              <w:bottom w:val="nil"/>
              <w:right w:val="nil"/>
            </w:tcBorders>
            <w:shd w:val="clear" w:color="auto" w:fill="auto"/>
            <w:noWrap/>
            <w:vAlign w:val="bottom"/>
            <w:hideMark/>
          </w:tcPr>
          <w:p w14:paraId="78B44CA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37EE39A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4925928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41742CD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432.309,00</w:t>
            </w:r>
          </w:p>
        </w:tc>
        <w:tc>
          <w:tcPr>
            <w:tcW w:w="1140" w:type="dxa"/>
            <w:tcBorders>
              <w:top w:val="nil"/>
              <w:left w:val="nil"/>
              <w:bottom w:val="single" w:sz="4" w:space="0" w:color="auto"/>
              <w:right w:val="single" w:sz="4" w:space="0" w:color="auto"/>
            </w:tcBorders>
            <w:shd w:val="clear" w:color="auto" w:fill="auto"/>
            <w:noWrap/>
            <w:vAlign w:val="center"/>
            <w:hideMark/>
          </w:tcPr>
          <w:p w14:paraId="20E963D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679.633,00</w:t>
            </w:r>
          </w:p>
        </w:tc>
        <w:tc>
          <w:tcPr>
            <w:tcW w:w="1120" w:type="dxa"/>
            <w:tcBorders>
              <w:top w:val="nil"/>
              <w:left w:val="nil"/>
              <w:bottom w:val="single" w:sz="4" w:space="0" w:color="auto"/>
              <w:right w:val="single" w:sz="4" w:space="0" w:color="auto"/>
            </w:tcBorders>
            <w:shd w:val="clear" w:color="auto" w:fill="auto"/>
            <w:noWrap/>
            <w:vAlign w:val="center"/>
            <w:hideMark/>
          </w:tcPr>
          <w:p w14:paraId="34A6FA6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276.459,23</w:t>
            </w:r>
          </w:p>
        </w:tc>
        <w:tc>
          <w:tcPr>
            <w:tcW w:w="1180" w:type="dxa"/>
            <w:tcBorders>
              <w:top w:val="nil"/>
              <w:left w:val="nil"/>
              <w:bottom w:val="single" w:sz="4" w:space="0" w:color="auto"/>
              <w:right w:val="single" w:sz="4" w:space="0" w:color="auto"/>
            </w:tcBorders>
            <w:shd w:val="clear" w:color="auto" w:fill="auto"/>
            <w:noWrap/>
            <w:vAlign w:val="center"/>
            <w:hideMark/>
          </w:tcPr>
          <w:p w14:paraId="04E03096"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382.957,06</w:t>
            </w:r>
          </w:p>
        </w:tc>
        <w:tc>
          <w:tcPr>
            <w:tcW w:w="1280" w:type="dxa"/>
            <w:tcBorders>
              <w:top w:val="nil"/>
              <w:left w:val="nil"/>
              <w:bottom w:val="single" w:sz="4" w:space="0" w:color="auto"/>
              <w:right w:val="single" w:sz="4" w:space="0" w:color="auto"/>
            </w:tcBorders>
            <w:shd w:val="clear" w:color="auto" w:fill="auto"/>
            <w:noWrap/>
            <w:vAlign w:val="center"/>
            <w:hideMark/>
          </w:tcPr>
          <w:p w14:paraId="27B499B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659.416,29</w:t>
            </w:r>
          </w:p>
        </w:tc>
      </w:tr>
      <w:tr w:rsidR="00F56356" w:rsidRPr="00F56356" w14:paraId="38E5F918" w14:textId="77777777" w:rsidTr="00F56356">
        <w:trPr>
          <w:trHeight w:val="405"/>
        </w:trPr>
        <w:tc>
          <w:tcPr>
            <w:tcW w:w="380" w:type="dxa"/>
            <w:tcBorders>
              <w:top w:val="nil"/>
              <w:left w:val="nil"/>
              <w:bottom w:val="nil"/>
              <w:right w:val="nil"/>
            </w:tcBorders>
            <w:shd w:val="clear" w:color="auto" w:fill="auto"/>
            <w:noWrap/>
            <w:vAlign w:val="bottom"/>
            <w:hideMark/>
          </w:tcPr>
          <w:p w14:paraId="019F18D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nil"/>
              <w:right w:val="nil"/>
            </w:tcBorders>
            <w:shd w:val="clear" w:color="auto" w:fill="auto"/>
            <w:noWrap/>
            <w:vAlign w:val="center"/>
            <w:hideMark/>
          </w:tcPr>
          <w:p w14:paraId="4F8835E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20" w:type="dxa"/>
            <w:tcBorders>
              <w:top w:val="nil"/>
              <w:left w:val="nil"/>
              <w:bottom w:val="nil"/>
              <w:right w:val="nil"/>
            </w:tcBorders>
            <w:shd w:val="clear" w:color="auto" w:fill="auto"/>
            <w:noWrap/>
            <w:vAlign w:val="bottom"/>
            <w:hideMark/>
          </w:tcPr>
          <w:p w14:paraId="37881A23"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B5F796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18C0F8E0"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nil"/>
            </w:tcBorders>
            <w:shd w:val="clear" w:color="auto" w:fill="auto"/>
            <w:noWrap/>
            <w:vAlign w:val="bottom"/>
            <w:hideMark/>
          </w:tcPr>
          <w:p w14:paraId="3E18737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B1301C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80" w:type="dxa"/>
            <w:tcBorders>
              <w:top w:val="nil"/>
              <w:left w:val="nil"/>
              <w:bottom w:val="nil"/>
              <w:right w:val="single" w:sz="4" w:space="0" w:color="auto"/>
            </w:tcBorders>
            <w:shd w:val="clear" w:color="auto" w:fill="auto"/>
            <w:noWrap/>
            <w:vAlign w:val="bottom"/>
            <w:hideMark/>
          </w:tcPr>
          <w:p w14:paraId="3339510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2F61E82F" w14:textId="77777777" w:rsidTr="00F56356">
        <w:trPr>
          <w:trHeight w:val="416"/>
        </w:trPr>
        <w:tc>
          <w:tcPr>
            <w:tcW w:w="380" w:type="dxa"/>
            <w:tcBorders>
              <w:top w:val="nil"/>
              <w:left w:val="nil"/>
              <w:bottom w:val="nil"/>
              <w:right w:val="nil"/>
            </w:tcBorders>
            <w:shd w:val="clear" w:color="auto" w:fill="auto"/>
            <w:noWrap/>
            <w:vAlign w:val="bottom"/>
            <w:hideMark/>
          </w:tcPr>
          <w:p w14:paraId="6991E41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1CE8F09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6F4E52B1" w14:textId="77777777" w:rsidTr="00F56356">
        <w:trPr>
          <w:trHeight w:val="278"/>
        </w:trPr>
        <w:tc>
          <w:tcPr>
            <w:tcW w:w="380" w:type="dxa"/>
            <w:tcBorders>
              <w:top w:val="nil"/>
              <w:left w:val="nil"/>
              <w:bottom w:val="nil"/>
              <w:right w:val="nil"/>
            </w:tcBorders>
            <w:shd w:val="clear" w:color="auto" w:fill="auto"/>
            <w:noWrap/>
            <w:vAlign w:val="bottom"/>
            <w:hideMark/>
          </w:tcPr>
          <w:p w14:paraId="5A15101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7516307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5F36A287" w14:textId="77777777" w:rsidTr="00F56356">
        <w:trPr>
          <w:trHeight w:val="437"/>
        </w:trPr>
        <w:tc>
          <w:tcPr>
            <w:tcW w:w="380" w:type="dxa"/>
            <w:tcBorders>
              <w:top w:val="nil"/>
              <w:left w:val="nil"/>
              <w:bottom w:val="nil"/>
              <w:right w:val="nil"/>
            </w:tcBorders>
            <w:shd w:val="clear" w:color="auto" w:fill="auto"/>
            <w:noWrap/>
            <w:vAlign w:val="bottom"/>
            <w:hideMark/>
          </w:tcPr>
          <w:p w14:paraId="2AC74E1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3B0C3AC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4986B2CB" w14:textId="77777777" w:rsidTr="00F56356">
        <w:trPr>
          <w:trHeight w:val="555"/>
        </w:trPr>
        <w:tc>
          <w:tcPr>
            <w:tcW w:w="380" w:type="dxa"/>
            <w:tcBorders>
              <w:top w:val="nil"/>
              <w:left w:val="nil"/>
              <w:bottom w:val="nil"/>
              <w:right w:val="nil"/>
            </w:tcBorders>
            <w:shd w:val="clear" w:color="auto" w:fill="auto"/>
            <w:noWrap/>
            <w:vAlign w:val="bottom"/>
            <w:hideMark/>
          </w:tcPr>
          <w:p w14:paraId="4E05F98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25368"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156B9240" w14:textId="77777777" w:rsidTr="00F56356">
        <w:trPr>
          <w:trHeight w:val="840"/>
        </w:trPr>
        <w:tc>
          <w:tcPr>
            <w:tcW w:w="380" w:type="dxa"/>
            <w:tcBorders>
              <w:top w:val="nil"/>
              <w:left w:val="nil"/>
              <w:bottom w:val="nil"/>
              <w:right w:val="nil"/>
            </w:tcBorders>
            <w:shd w:val="clear" w:color="auto" w:fill="auto"/>
            <w:noWrap/>
            <w:vAlign w:val="center"/>
            <w:hideMark/>
          </w:tcPr>
          <w:p w14:paraId="4F85F2C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0C0B99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5C9D30F2"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Capacità di erogazione dei contributi dovuti, ossia relativi a richieste di contributo erogabili previa verifica regolarità amministrativa ai sensi della normativa vigente, nei limiti delle disponibilità di bilancio. </w:t>
            </w:r>
          </w:p>
        </w:tc>
      </w:tr>
      <w:tr w:rsidR="00F56356" w:rsidRPr="00F56356" w14:paraId="217E2A68" w14:textId="77777777" w:rsidTr="00F56356">
        <w:trPr>
          <w:trHeight w:val="660"/>
        </w:trPr>
        <w:tc>
          <w:tcPr>
            <w:tcW w:w="380" w:type="dxa"/>
            <w:tcBorders>
              <w:top w:val="nil"/>
              <w:left w:val="nil"/>
              <w:bottom w:val="nil"/>
              <w:right w:val="nil"/>
            </w:tcBorders>
            <w:shd w:val="clear" w:color="auto" w:fill="auto"/>
            <w:noWrap/>
            <w:vAlign w:val="center"/>
            <w:hideMark/>
          </w:tcPr>
          <w:p w14:paraId="5AD66F06"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6F6E27D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6FFB948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SICOGE, sistema di posta elettronica, </w:t>
            </w:r>
            <w:proofErr w:type="spellStart"/>
            <w:r w:rsidRPr="00F56356">
              <w:rPr>
                <w:rFonts w:ascii="Times New Roman" w:eastAsia="Times New Roman" w:hAnsi="Times New Roman" w:cs="Times New Roman"/>
                <w:color w:val="000000"/>
                <w:sz w:val="18"/>
                <w:szCs w:val="18"/>
                <w:lang w:eastAsia="it-IT"/>
              </w:rPr>
              <w:t>pec</w:t>
            </w:r>
            <w:proofErr w:type="spellEnd"/>
            <w:r w:rsidRPr="00F56356">
              <w:rPr>
                <w:rFonts w:ascii="Times New Roman" w:eastAsia="Times New Roman" w:hAnsi="Times New Roman" w:cs="Times New Roman"/>
                <w:color w:val="000000"/>
                <w:sz w:val="18"/>
                <w:szCs w:val="18"/>
                <w:lang w:eastAsia="it-IT"/>
              </w:rPr>
              <w:t xml:space="preserve"> </w:t>
            </w:r>
          </w:p>
        </w:tc>
      </w:tr>
      <w:tr w:rsidR="00F56356" w:rsidRPr="00F56356" w14:paraId="0C6CD993" w14:textId="77777777" w:rsidTr="00F56356">
        <w:trPr>
          <w:trHeight w:val="1444"/>
        </w:trPr>
        <w:tc>
          <w:tcPr>
            <w:tcW w:w="380" w:type="dxa"/>
            <w:tcBorders>
              <w:top w:val="nil"/>
              <w:left w:val="nil"/>
              <w:bottom w:val="nil"/>
              <w:right w:val="nil"/>
            </w:tcBorders>
            <w:shd w:val="clear" w:color="auto" w:fill="auto"/>
            <w:noWrap/>
            <w:vAlign w:val="center"/>
            <w:hideMark/>
          </w:tcPr>
          <w:p w14:paraId="002D9B2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70A5993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00" w:type="dxa"/>
            <w:gridSpan w:val="3"/>
            <w:tcBorders>
              <w:top w:val="single" w:sz="4" w:space="0" w:color="auto"/>
              <w:left w:val="nil"/>
              <w:bottom w:val="single" w:sz="4" w:space="0" w:color="auto"/>
              <w:right w:val="single" w:sz="4" w:space="0" w:color="000000"/>
            </w:tcBorders>
            <w:shd w:val="clear" w:color="auto" w:fill="auto"/>
            <w:vAlign w:val="center"/>
            <w:hideMark/>
          </w:tcPr>
          <w:p w14:paraId="1BF44E85" w14:textId="77777777" w:rsidR="00F56356" w:rsidRPr="00F56356" w:rsidRDefault="00F56356" w:rsidP="00F56356">
            <w:pPr>
              <w:spacing w:after="0" w:line="240" w:lineRule="auto"/>
              <w:jc w:val="both"/>
              <w:rPr>
                <w:rFonts w:ascii="Times New Roman" w:eastAsia="Times New Roman" w:hAnsi="Times New Roman" w:cs="Times New Roman"/>
                <w:sz w:val="18"/>
                <w:szCs w:val="18"/>
                <w:lang w:eastAsia="it-IT"/>
              </w:rPr>
            </w:pPr>
            <w:r w:rsidRPr="00F56356">
              <w:rPr>
                <w:rFonts w:ascii="Times New Roman" w:eastAsia="Times New Roman" w:hAnsi="Times New Roman" w:cs="Times New Roman"/>
                <w:sz w:val="18"/>
                <w:szCs w:val="18"/>
                <w:lang w:eastAsia="it-IT"/>
              </w:rPr>
              <w:t>n. richieste di contributi evase (erogazione delle somme richieste) / n. richieste di contributi erogabili previa verifica regolarità amministrativa ai sensi della normativa vigente</w:t>
            </w:r>
          </w:p>
        </w:tc>
        <w:tc>
          <w:tcPr>
            <w:tcW w:w="1120" w:type="dxa"/>
            <w:tcBorders>
              <w:top w:val="nil"/>
              <w:left w:val="nil"/>
              <w:bottom w:val="single" w:sz="4" w:space="0" w:color="auto"/>
              <w:right w:val="single" w:sz="4" w:space="0" w:color="auto"/>
            </w:tcBorders>
            <w:shd w:val="clear" w:color="auto" w:fill="auto"/>
            <w:vAlign w:val="center"/>
            <w:hideMark/>
          </w:tcPr>
          <w:p w14:paraId="0674FD5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nil"/>
              <w:bottom w:val="single" w:sz="4" w:space="0" w:color="auto"/>
              <w:right w:val="single" w:sz="4" w:space="0" w:color="auto"/>
            </w:tcBorders>
            <w:shd w:val="clear" w:color="auto" w:fill="auto"/>
            <w:vAlign w:val="center"/>
            <w:hideMark/>
          </w:tcPr>
          <w:p w14:paraId="5127AED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80" w:type="dxa"/>
            <w:tcBorders>
              <w:top w:val="nil"/>
              <w:left w:val="nil"/>
              <w:bottom w:val="single" w:sz="4" w:space="0" w:color="auto"/>
              <w:right w:val="single" w:sz="4" w:space="0" w:color="auto"/>
            </w:tcBorders>
            <w:shd w:val="clear" w:color="auto" w:fill="auto"/>
            <w:vAlign w:val="center"/>
            <w:hideMark/>
          </w:tcPr>
          <w:p w14:paraId="7A6B962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125BD8DE" w14:textId="77777777" w:rsidTr="00F56356">
        <w:trPr>
          <w:trHeight w:val="570"/>
        </w:trPr>
        <w:tc>
          <w:tcPr>
            <w:tcW w:w="380" w:type="dxa"/>
            <w:tcBorders>
              <w:top w:val="nil"/>
              <w:left w:val="nil"/>
              <w:bottom w:val="nil"/>
              <w:right w:val="nil"/>
            </w:tcBorders>
            <w:shd w:val="clear" w:color="auto" w:fill="auto"/>
            <w:noWrap/>
            <w:vAlign w:val="bottom"/>
            <w:hideMark/>
          </w:tcPr>
          <w:p w14:paraId="46E389E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222D86C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78A4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w:t>
            </w:r>
          </w:p>
        </w:tc>
        <w:tc>
          <w:tcPr>
            <w:tcW w:w="1120" w:type="dxa"/>
            <w:tcBorders>
              <w:top w:val="nil"/>
              <w:left w:val="nil"/>
              <w:bottom w:val="single" w:sz="4" w:space="0" w:color="auto"/>
              <w:right w:val="single" w:sz="4" w:space="0" w:color="auto"/>
            </w:tcBorders>
            <w:shd w:val="clear" w:color="auto" w:fill="auto"/>
            <w:noWrap/>
            <w:vAlign w:val="center"/>
            <w:hideMark/>
          </w:tcPr>
          <w:p w14:paraId="1BA0C2C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180" w:type="dxa"/>
            <w:tcBorders>
              <w:top w:val="nil"/>
              <w:left w:val="nil"/>
              <w:bottom w:val="single" w:sz="4" w:space="0" w:color="auto"/>
              <w:right w:val="single" w:sz="4" w:space="0" w:color="auto"/>
            </w:tcBorders>
            <w:shd w:val="clear" w:color="auto" w:fill="auto"/>
            <w:vAlign w:val="center"/>
            <w:hideMark/>
          </w:tcPr>
          <w:p w14:paraId="015CFEE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280" w:type="dxa"/>
            <w:tcBorders>
              <w:top w:val="nil"/>
              <w:left w:val="nil"/>
              <w:bottom w:val="single" w:sz="4" w:space="0" w:color="auto"/>
              <w:right w:val="single" w:sz="4" w:space="0" w:color="auto"/>
            </w:tcBorders>
            <w:shd w:val="clear" w:color="auto" w:fill="auto"/>
            <w:vAlign w:val="center"/>
            <w:hideMark/>
          </w:tcPr>
          <w:p w14:paraId="67AA7BC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w:t>
            </w:r>
          </w:p>
        </w:tc>
      </w:tr>
    </w:tbl>
    <w:p w14:paraId="689B6B7A" w14:textId="77777777" w:rsidR="00F56356" w:rsidRPr="00F56356" w:rsidRDefault="00F56356" w:rsidP="00F56356">
      <w:pPr>
        <w:spacing w:after="0" w:line="360" w:lineRule="auto"/>
        <w:ind w:right="284"/>
        <w:jc w:val="both"/>
        <w:rPr>
          <w:rFonts w:eastAsia="Times New Roman"/>
          <w:sz w:val="18"/>
          <w:szCs w:val="12"/>
          <w:lang w:eastAsia="it-IT"/>
        </w:rPr>
      </w:pPr>
    </w:p>
    <w:p w14:paraId="0A638FF3" w14:textId="5321B1B2" w:rsidR="00F56356" w:rsidRDefault="00F56356" w:rsidP="00F56356">
      <w:pPr>
        <w:spacing w:after="0" w:line="360" w:lineRule="auto"/>
        <w:ind w:right="284"/>
        <w:jc w:val="both"/>
        <w:rPr>
          <w:rFonts w:eastAsia="Times New Roman"/>
          <w:sz w:val="18"/>
          <w:szCs w:val="12"/>
          <w:lang w:eastAsia="it-IT"/>
        </w:rPr>
      </w:pPr>
    </w:p>
    <w:p w14:paraId="4EAAE75C" w14:textId="0D7A8B44" w:rsidR="0043213C" w:rsidRDefault="0043213C" w:rsidP="00F56356">
      <w:pPr>
        <w:spacing w:after="0" w:line="360" w:lineRule="auto"/>
        <w:ind w:right="284"/>
        <w:jc w:val="both"/>
        <w:rPr>
          <w:rFonts w:eastAsia="Times New Roman"/>
          <w:sz w:val="4"/>
          <w:szCs w:val="12"/>
          <w:lang w:eastAsia="it-IT"/>
        </w:rPr>
      </w:pPr>
    </w:p>
    <w:p w14:paraId="313D7730" w14:textId="1E122ADB" w:rsidR="0043213C" w:rsidRDefault="0043213C" w:rsidP="00F56356">
      <w:pPr>
        <w:spacing w:after="0" w:line="360" w:lineRule="auto"/>
        <w:ind w:right="284"/>
        <w:jc w:val="both"/>
        <w:rPr>
          <w:rFonts w:eastAsia="Times New Roman"/>
          <w:sz w:val="4"/>
          <w:szCs w:val="12"/>
          <w:lang w:eastAsia="it-IT"/>
        </w:rPr>
      </w:pPr>
    </w:p>
    <w:p w14:paraId="3A02D2CC" w14:textId="195DC1A4" w:rsidR="0043213C" w:rsidRDefault="0043213C" w:rsidP="00F56356">
      <w:pPr>
        <w:spacing w:after="0" w:line="360" w:lineRule="auto"/>
        <w:ind w:right="284"/>
        <w:jc w:val="both"/>
        <w:rPr>
          <w:rFonts w:eastAsia="Times New Roman"/>
          <w:sz w:val="4"/>
          <w:szCs w:val="12"/>
          <w:lang w:eastAsia="it-IT"/>
        </w:rPr>
      </w:pPr>
    </w:p>
    <w:p w14:paraId="3CDA68C6" w14:textId="77777777" w:rsidR="0043213C" w:rsidRPr="00F56356" w:rsidRDefault="0043213C" w:rsidP="00F56356">
      <w:pPr>
        <w:spacing w:after="0" w:line="360" w:lineRule="auto"/>
        <w:ind w:right="284"/>
        <w:jc w:val="both"/>
        <w:rPr>
          <w:rFonts w:eastAsia="Times New Roman"/>
          <w:sz w:val="4"/>
          <w:szCs w:val="12"/>
          <w:lang w:eastAsia="it-IT"/>
        </w:rPr>
      </w:pPr>
    </w:p>
    <w:p w14:paraId="28960E82" w14:textId="77777777" w:rsidR="00F56356" w:rsidRPr="00F56356" w:rsidRDefault="00F56356" w:rsidP="00F56356">
      <w:pPr>
        <w:spacing w:after="0" w:line="360" w:lineRule="auto"/>
        <w:ind w:right="284"/>
        <w:jc w:val="both"/>
        <w:rPr>
          <w:rFonts w:eastAsia="Times New Roman"/>
          <w:sz w:val="4"/>
          <w:szCs w:val="12"/>
          <w:lang w:eastAsia="it-IT"/>
        </w:rPr>
      </w:pPr>
    </w:p>
    <w:p w14:paraId="1FB751AB" w14:textId="77777777" w:rsidR="00F56356" w:rsidRPr="00F56356" w:rsidRDefault="00F56356" w:rsidP="00F56356">
      <w:pPr>
        <w:spacing w:after="0" w:line="360" w:lineRule="auto"/>
        <w:ind w:right="284"/>
        <w:jc w:val="both"/>
        <w:rPr>
          <w:rFonts w:eastAsia="Times New Roman"/>
          <w:sz w:val="4"/>
          <w:szCs w:val="12"/>
          <w:lang w:eastAsia="it-IT"/>
        </w:rPr>
      </w:pPr>
    </w:p>
    <w:p w14:paraId="56C4C8B0" w14:textId="77777777" w:rsidR="00F56356" w:rsidRPr="00F56356" w:rsidRDefault="00F56356" w:rsidP="00F56356">
      <w:pPr>
        <w:spacing w:after="0" w:line="360" w:lineRule="auto"/>
        <w:ind w:right="284"/>
        <w:jc w:val="both"/>
        <w:rPr>
          <w:rFonts w:eastAsia="Times New Roman"/>
          <w:sz w:val="4"/>
          <w:szCs w:val="12"/>
          <w:lang w:eastAsia="it-IT"/>
        </w:rPr>
      </w:pPr>
    </w:p>
    <w:tbl>
      <w:tblPr>
        <w:tblW w:w="9780" w:type="dxa"/>
        <w:tblCellMar>
          <w:left w:w="70" w:type="dxa"/>
          <w:right w:w="70" w:type="dxa"/>
        </w:tblCellMar>
        <w:tblLook w:val="04A0" w:firstRow="1" w:lastRow="0" w:firstColumn="1" w:lastColumn="0" w:noHBand="0" w:noVBand="1"/>
      </w:tblPr>
      <w:tblGrid>
        <w:gridCol w:w="380"/>
        <w:gridCol w:w="2720"/>
        <w:gridCol w:w="720"/>
        <w:gridCol w:w="1240"/>
        <w:gridCol w:w="1140"/>
        <w:gridCol w:w="1130"/>
        <w:gridCol w:w="1180"/>
        <w:gridCol w:w="1280"/>
      </w:tblGrid>
      <w:tr w:rsidR="00F56356" w:rsidRPr="00F56356" w14:paraId="0CC95C7E" w14:textId="77777777" w:rsidTr="00F56356">
        <w:trPr>
          <w:trHeight w:val="420"/>
        </w:trPr>
        <w:tc>
          <w:tcPr>
            <w:tcW w:w="380" w:type="dxa"/>
            <w:tcBorders>
              <w:top w:val="nil"/>
              <w:left w:val="nil"/>
              <w:bottom w:val="nil"/>
              <w:right w:val="nil"/>
            </w:tcBorders>
            <w:shd w:val="clear" w:color="auto" w:fill="auto"/>
            <w:noWrap/>
            <w:vAlign w:val="bottom"/>
            <w:hideMark/>
          </w:tcPr>
          <w:p w14:paraId="5653F149"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94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C6631"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27A024BA" w14:textId="77777777" w:rsidTr="00F56356">
        <w:trPr>
          <w:trHeight w:val="600"/>
        </w:trPr>
        <w:tc>
          <w:tcPr>
            <w:tcW w:w="380" w:type="dxa"/>
            <w:tcBorders>
              <w:top w:val="nil"/>
              <w:left w:val="nil"/>
              <w:bottom w:val="nil"/>
              <w:right w:val="nil"/>
            </w:tcBorders>
            <w:shd w:val="clear" w:color="auto" w:fill="auto"/>
            <w:vAlign w:val="center"/>
            <w:hideMark/>
          </w:tcPr>
          <w:p w14:paraId="23EDF676"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7B14D88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69C437D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 Organi costituzionali, a rilevanza costituzionale e Presidenza del Consiglio dei ministri</w:t>
            </w:r>
          </w:p>
        </w:tc>
      </w:tr>
      <w:tr w:rsidR="00F56356" w:rsidRPr="00F56356" w14:paraId="6CA89A18" w14:textId="77777777" w:rsidTr="00F56356">
        <w:trPr>
          <w:trHeight w:val="600"/>
        </w:trPr>
        <w:tc>
          <w:tcPr>
            <w:tcW w:w="380" w:type="dxa"/>
            <w:tcBorders>
              <w:top w:val="nil"/>
              <w:left w:val="nil"/>
              <w:bottom w:val="nil"/>
              <w:right w:val="nil"/>
            </w:tcBorders>
            <w:shd w:val="clear" w:color="auto" w:fill="auto"/>
            <w:noWrap/>
            <w:vAlign w:val="center"/>
            <w:hideMark/>
          </w:tcPr>
          <w:p w14:paraId="45ADCEA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7DEE49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7CF5617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1.3 - Presidenza del Consiglio dei ministri</w:t>
            </w:r>
          </w:p>
        </w:tc>
      </w:tr>
      <w:tr w:rsidR="00F56356" w:rsidRPr="00F56356" w14:paraId="26B2A3CF" w14:textId="77777777" w:rsidTr="00F56356">
        <w:trPr>
          <w:trHeight w:val="600"/>
        </w:trPr>
        <w:tc>
          <w:tcPr>
            <w:tcW w:w="380" w:type="dxa"/>
            <w:tcBorders>
              <w:top w:val="nil"/>
              <w:left w:val="nil"/>
              <w:bottom w:val="nil"/>
              <w:right w:val="nil"/>
            </w:tcBorders>
            <w:shd w:val="clear" w:color="auto" w:fill="auto"/>
            <w:noWrap/>
            <w:vAlign w:val="center"/>
            <w:hideMark/>
          </w:tcPr>
          <w:p w14:paraId="1B2C8DC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17478C9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668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EE873E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17 - Sport</w:t>
            </w:r>
          </w:p>
        </w:tc>
      </w:tr>
      <w:tr w:rsidR="00F56356" w:rsidRPr="00F56356" w14:paraId="34DED200" w14:textId="77777777" w:rsidTr="00F56356">
        <w:trPr>
          <w:trHeight w:val="600"/>
        </w:trPr>
        <w:tc>
          <w:tcPr>
            <w:tcW w:w="380" w:type="dxa"/>
            <w:tcBorders>
              <w:top w:val="nil"/>
              <w:left w:val="nil"/>
              <w:bottom w:val="nil"/>
              <w:right w:val="nil"/>
            </w:tcBorders>
            <w:shd w:val="clear" w:color="auto" w:fill="auto"/>
            <w:noWrap/>
            <w:vAlign w:val="center"/>
            <w:hideMark/>
          </w:tcPr>
          <w:p w14:paraId="2E42F59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59D4A74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4E23221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Somme da trasferire all’ACI</w:t>
            </w:r>
          </w:p>
        </w:tc>
      </w:tr>
      <w:tr w:rsidR="00F56356" w:rsidRPr="00F56356" w14:paraId="02BA9687" w14:textId="77777777" w:rsidTr="00F56356">
        <w:trPr>
          <w:trHeight w:val="600"/>
        </w:trPr>
        <w:tc>
          <w:tcPr>
            <w:tcW w:w="380" w:type="dxa"/>
            <w:tcBorders>
              <w:top w:val="nil"/>
              <w:left w:val="nil"/>
              <w:bottom w:val="nil"/>
              <w:right w:val="nil"/>
            </w:tcBorders>
            <w:shd w:val="clear" w:color="auto" w:fill="auto"/>
            <w:noWrap/>
            <w:vAlign w:val="center"/>
            <w:hideMark/>
          </w:tcPr>
          <w:p w14:paraId="632B0C1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057B89C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6F614C5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Fondi da trasferire all’ACI per il pagamento degli emolumenti spettanti a n. 2 unità di personale dirigenziale. </w:t>
            </w:r>
          </w:p>
        </w:tc>
      </w:tr>
      <w:tr w:rsidR="00F56356" w:rsidRPr="00F56356" w14:paraId="3B5F1EEB" w14:textId="77777777" w:rsidTr="00F56356">
        <w:trPr>
          <w:trHeight w:val="480"/>
        </w:trPr>
        <w:tc>
          <w:tcPr>
            <w:tcW w:w="380" w:type="dxa"/>
            <w:tcBorders>
              <w:top w:val="nil"/>
              <w:left w:val="nil"/>
              <w:bottom w:val="nil"/>
              <w:right w:val="nil"/>
            </w:tcBorders>
            <w:shd w:val="clear" w:color="auto" w:fill="auto"/>
            <w:noWrap/>
            <w:vAlign w:val="center"/>
            <w:hideMark/>
          </w:tcPr>
          <w:p w14:paraId="4B2D62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27220D9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668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6FC82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w:t>
            </w:r>
          </w:p>
        </w:tc>
      </w:tr>
      <w:tr w:rsidR="00F56356" w:rsidRPr="00F56356" w14:paraId="0AF57E0E" w14:textId="77777777" w:rsidTr="00F56356">
        <w:trPr>
          <w:trHeight w:val="480"/>
        </w:trPr>
        <w:tc>
          <w:tcPr>
            <w:tcW w:w="380" w:type="dxa"/>
            <w:tcBorders>
              <w:top w:val="nil"/>
              <w:left w:val="nil"/>
              <w:bottom w:val="nil"/>
              <w:right w:val="nil"/>
            </w:tcBorders>
            <w:shd w:val="clear" w:color="auto" w:fill="auto"/>
            <w:noWrap/>
            <w:vAlign w:val="center"/>
            <w:hideMark/>
          </w:tcPr>
          <w:p w14:paraId="4B31FC8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57B1BB1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auto"/>
            </w:tcBorders>
            <w:shd w:val="clear" w:color="auto" w:fill="auto"/>
            <w:noWrap/>
            <w:vAlign w:val="center"/>
            <w:hideMark/>
          </w:tcPr>
          <w:p w14:paraId="5863E28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 </w:t>
            </w:r>
          </w:p>
        </w:tc>
      </w:tr>
      <w:tr w:rsidR="00F56356" w:rsidRPr="00F56356" w14:paraId="1013CFCD" w14:textId="77777777" w:rsidTr="00F56356">
        <w:trPr>
          <w:trHeight w:val="585"/>
        </w:trPr>
        <w:tc>
          <w:tcPr>
            <w:tcW w:w="380" w:type="dxa"/>
            <w:tcBorders>
              <w:top w:val="nil"/>
              <w:left w:val="nil"/>
              <w:bottom w:val="nil"/>
              <w:right w:val="nil"/>
            </w:tcBorders>
            <w:shd w:val="clear" w:color="auto" w:fill="auto"/>
            <w:noWrap/>
            <w:vAlign w:val="bottom"/>
            <w:hideMark/>
          </w:tcPr>
          <w:p w14:paraId="06F196F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14:paraId="7D3A085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365F577D"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Cap. 814</w:t>
            </w:r>
          </w:p>
        </w:tc>
        <w:tc>
          <w:tcPr>
            <w:tcW w:w="23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AC146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5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E968909"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0F3AA9AD" w14:textId="77777777" w:rsidTr="00F56356">
        <w:trPr>
          <w:trHeight w:val="1305"/>
        </w:trPr>
        <w:tc>
          <w:tcPr>
            <w:tcW w:w="380" w:type="dxa"/>
            <w:tcBorders>
              <w:top w:val="nil"/>
              <w:left w:val="nil"/>
              <w:bottom w:val="nil"/>
              <w:right w:val="nil"/>
            </w:tcBorders>
            <w:shd w:val="clear" w:color="auto" w:fill="auto"/>
            <w:noWrap/>
            <w:vAlign w:val="bottom"/>
            <w:hideMark/>
          </w:tcPr>
          <w:p w14:paraId="6317B86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200AF5F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5F8B637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174B34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1)</w:t>
            </w:r>
          </w:p>
        </w:tc>
        <w:tc>
          <w:tcPr>
            <w:tcW w:w="1140" w:type="dxa"/>
            <w:tcBorders>
              <w:top w:val="nil"/>
              <w:left w:val="nil"/>
              <w:bottom w:val="single" w:sz="4" w:space="0" w:color="auto"/>
              <w:right w:val="single" w:sz="4" w:space="0" w:color="auto"/>
            </w:tcBorders>
            <w:shd w:val="clear" w:color="auto" w:fill="auto"/>
            <w:vAlign w:val="center"/>
            <w:hideMark/>
          </w:tcPr>
          <w:p w14:paraId="750EE18A"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2)</w:t>
            </w:r>
          </w:p>
        </w:tc>
        <w:tc>
          <w:tcPr>
            <w:tcW w:w="1120" w:type="dxa"/>
            <w:tcBorders>
              <w:top w:val="nil"/>
              <w:left w:val="nil"/>
              <w:bottom w:val="single" w:sz="4" w:space="0" w:color="auto"/>
              <w:right w:val="single" w:sz="4" w:space="0" w:color="auto"/>
            </w:tcBorders>
            <w:shd w:val="clear" w:color="auto" w:fill="auto"/>
            <w:vAlign w:val="center"/>
            <w:hideMark/>
          </w:tcPr>
          <w:p w14:paraId="56EF6C29"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Pagamento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w:t>
            </w:r>
          </w:p>
        </w:tc>
        <w:tc>
          <w:tcPr>
            <w:tcW w:w="1180" w:type="dxa"/>
            <w:tcBorders>
              <w:top w:val="nil"/>
              <w:left w:val="nil"/>
              <w:bottom w:val="single" w:sz="4" w:space="0" w:color="auto"/>
              <w:right w:val="single" w:sz="4" w:space="0" w:color="auto"/>
            </w:tcBorders>
            <w:shd w:val="clear" w:color="auto" w:fill="auto"/>
            <w:vAlign w:val="center"/>
            <w:hideMark/>
          </w:tcPr>
          <w:p w14:paraId="3A153E0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4)</w:t>
            </w:r>
          </w:p>
        </w:tc>
        <w:tc>
          <w:tcPr>
            <w:tcW w:w="1280" w:type="dxa"/>
            <w:tcBorders>
              <w:top w:val="nil"/>
              <w:left w:val="nil"/>
              <w:bottom w:val="single" w:sz="4" w:space="0" w:color="auto"/>
              <w:right w:val="single" w:sz="4" w:space="0" w:color="auto"/>
            </w:tcBorders>
            <w:shd w:val="clear" w:color="auto" w:fill="auto"/>
            <w:vAlign w:val="center"/>
            <w:hideMark/>
          </w:tcPr>
          <w:p w14:paraId="5BF98A4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59097E7B" w14:textId="77777777" w:rsidTr="00F56356">
        <w:trPr>
          <w:trHeight w:val="720"/>
        </w:trPr>
        <w:tc>
          <w:tcPr>
            <w:tcW w:w="380" w:type="dxa"/>
            <w:tcBorders>
              <w:top w:val="nil"/>
              <w:left w:val="nil"/>
              <w:bottom w:val="nil"/>
              <w:right w:val="nil"/>
            </w:tcBorders>
            <w:shd w:val="clear" w:color="auto" w:fill="auto"/>
            <w:noWrap/>
            <w:vAlign w:val="bottom"/>
            <w:hideMark/>
          </w:tcPr>
          <w:p w14:paraId="588C0A3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vMerge/>
            <w:tcBorders>
              <w:top w:val="nil"/>
              <w:left w:val="single" w:sz="4" w:space="0" w:color="auto"/>
              <w:bottom w:val="single" w:sz="4" w:space="0" w:color="auto"/>
              <w:right w:val="single" w:sz="4" w:space="0" w:color="auto"/>
            </w:tcBorders>
            <w:vAlign w:val="center"/>
            <w:hideMark/>
          </w:tcPr>
          <w:p w14:paraId="0F6FEA6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720" w:type="dxa"/>
            <w:vMerge/>
            <w:tcBorders>
              <w:top w:val="nil"/>
              <w:left w:val="single" w:sz="4" w:space="0" w:color="auto"/>
              <w:bottom w:val="single" w:sz="4" w:space="0" w:color="auto"/>
              <w:right w:val="single" w:sz="4" w:space="0" w:color="auto"/>
            </w:tcBorders>
            <w:vAlign w:val="center"/>
            <w:hideMark/>
          </w:tcPr>
          <w:p w14:paraId="5380E4E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12DB8B6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242.791,00</w:t>
            </w:r>
          </w:p>
        </w:tc>
        <w:tc>
          <w:tcPr>
            <w:tcW w:w="1140" w:type="dxa"/>
            <w:tcBorders>
              <w:top w:val="nil"/>
              <w:left w:val="nil"/>
              <w:bottom w:val="single" w:sz="4" w:space="0" w:color="auto"/>
              <w:right w:val="single" w:sz="4" w:space="0" w:color="auto"/>
            </w:tcBorders>
            <w:shd w:val="clear" w:color="auto" w:fill="auto"/>
            <w:noWrap/>
            <w:vAlign w:val="center"/>
            <w:hideMark/>
          </w:tcPr>
          <w:p w14:paraId="0B7FBB7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242.791,00</w:t>
            </w:r>
          </w:p>
        </w:tc>
        <w:tc>
          <w:tcPr>
            <w:tcW w:w="1120" w:type="dxa"/>
            <w:tcBorders>
              <w:top w:val="nil"/>
              <w:left w:val="nil"/>
              <w:bottom w:val="single" w:sz="4" w:space="0" w:color="auto"/>
              <w:right w:val="single" w:sz="4" w:space="0" w:color="auto"/>
            </w:tcBorders>
            <w:shd w:val="clear" w:color="auto" w:fill="auto"/>
            <w:noWrap/>
            <w:vAlign w:val="center"/>
            <w:hideMark/>
          </w:tcPr>
          <w:p w14:paraId="3E46D3C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242.791,00</w:t>
            </w:r>
          </w:p>
        </w:tc>
        <w:tc>
          <w:tcPr>
            <w:tcW w:w="1180" w:type="dxa"/>
            <w:tcBorders>
              <w:top w:val="nil"/>
              <w:left w:val="nil"/>
              <w:bottom w:val="single" w:sz="4" w:space="0" w:color="auto"/>
              <w:right w:val="single" w:sz="4" w:space="0" w:color="auto"/>
            </w:tcBorders>
            <w:shd w:val="clear" w:color="auto" w:fill="auto"/>
            <w:noWrap/>
            <w:vAlign w:val="center"/>
            <w:hideMark/>
          </w:tcPr>
          <w:p w14:paraId="3E36C764"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568C223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242.791,00</w:t>
            </w:r>
          </w:p>
        </w:tc>
      </w:tr>
      <w:tr w:rsidR="00F56356" w:rsidRPr="00F56356" w14:paraId="72EF948E" w14:textId="77777777" w:rsidTr="00F56356">
        <w:trPr>
          <w:trHeight w:val="405"/>
        </w:trPr>
        <w:tc>
          <w:tcPr>
            <w:tcW w:w="380" w:type="dxa"/>
            <w:tcBorders>
              <w:top w:val="nil"/>
              <w:left w:val="nil"/>
              <w:bottom w:val="nil"/>
              <w:right w:val="nil"/>
            </w:tcBorders>
            <w:shd w:val="clear" w:color="auto" w:fill="auto"/>
            <w:noWrap/>
            <w:vAlign w:val="bottom"/>
            <w:hideMark/>
          </w:tcPr>
          <w:p w14:paraId="5C46211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nil"/>
              <w:right w:val="nil"/>
            </w:tcBorders>
            <w:shd w:val="clear" w:color="auto" w:fill="auto"/>
            <w:noWrap/>
            <w:vAlign w:val="center"/>
            <w:hideMark/>
          </w:tcPr>
          <w:p w14:paraId="0970DC4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720" w:type="dxa"/>
            <w:tcBorders>
              <w:top w:val="nil"/>
              <w:left w:val="nil"/>
              <w:bottom w:val="nil"/>
              <w:right w:val="nil"/>
            </w:tcBorders>
            <w:shd w:val="clear" w:color="auto" w:fill="auto"/>
            <w:noWrap/>
            <w:vAlign w:val="bottom"/>
            <w:hideMark/>
          </w:tcPr>
          <w:p w14:paraId="49BF76F8"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5143E681"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40" w:type="dxa"/>
            <w:tcBorders>
              <w:top w:val="nil"/>
              <w:left w:val="nil"/>
              <w:bottom w:val="nil"/>
              <w:right w:val="nil"/>
            </w:tcBorders>
            <w:shd w:val="clear" w:color="auto" w:fill="auto"/>
            <w:noWrap/>
            <w:vAlign w:val="bottom"/>
            <w:hideMark/>
          </w:tcPr>
          <w:p w14:paraId="34EEB79C"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20" w:type="dxa"/>
            <w:tcBorders>
              <w:top w:val="nil"/>
              <w:left w:val="nil"/>
              <w:bottom w:val="nil"/>
              <w:right w:val="nil"/>
            </w:tcBorders>
            <w:shd w:val="clear" w:color="auto" w:fill="auto"/>
            <w:noWrap/>
            <w:vAlign w:val="bottom"/>
            <w:hideMark/>
          </w:tcPr>
          <w:p w14:paraId="45069FD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2A2F79A3"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280" w:type="dxa"/>
            <w:tcBorders>
              <w:top w:val="nil"/>
              <w:left w:val="nil"/>
              <w:bottom w:val="nil"/>
              <w:right w:val="single" w:sz="4" w:space="0" w:color="auto"/>
            </w:tcBorders>
            <w:shd w:val="clear" w:color="auto" w:fill="auto"/>
            <w:noWrap/>
            <w:vAlign w:val="bottom"/>
            <w:hideMark/>
          </w:tcPr>
          <w:p w14:paraId="7A5A3D5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w:t>
            </w:r>
          </w:p>
        </w:tc>
      </w:tr>
      <w:tr w:rsidR="00F56356" w:rsidRPr="00F56356" w14:paraId="09E08F3E" w14:textId="77777777" w:rsidTr="00F56356">
        <w:trPr>
          <w:trHeight w:val="480"/>
        </w:trPr>
        <w:tc>
          <w:tcPr>
            <w:tcW w:w="380" w:type="dxa"/>
            <w:tcBorders>
              <w:top w:val="nil"/>
              <w:left w:val="nil"/>
              <w:bottom w:val="nil"/>
              <w:right w:val="nil"/>
            </w:tcBorders>
            <w:shd w:val="clear" w:color="auto" w:fill="auto"/>
            <w:noWrap/>
            <w:vAlign w:val="bottom"/>
            <w:hideMark/>
          </w:tcPr>
          <w:p w14:paraId="6C23121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18798B4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4F3D52BA" w14:textId="77777777" w:rsidTr="00F56356">
        <w:trPr>
          <w:trHeight w:val="540"/>
        </w:trPr>
        <w:tc>
          <w:tcPr>
            <w:tcW w:w="380" w:type="dxa"/>
            <w:tcBorders>
              <w:top w:val="nil"/>
              <w:left w:val="nil"/>
              <w:bottom w:val="nil"/>
              <w:right w:val="nil"/>
            </w:tcBorders>
            <w:shd w:val="clear" w:color="auto" w:fill="auto"/>
            <w:noWrap/>
            <w:vAlign w:val="bottom"/>
            <w:hideMark/>
          </w:tcPr>
          <w:p w14:paraId="06E3E15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nil"/>
              <w:right w:val="single" w:sz="4" w:space="0" w:color="000000"/>
            </w:tcBorders>
            <w:shd w:val="clear" w:color="auto" w:fill="auto"/>
            <w:vAlign w:val="center"/>
            <w:hideMark/>
          </w:tcPr>
          <w:p w14:paraId="6F4899B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55E172B5" w14:textId="77777777" w:rsidTr="00F56356">
        <w:trPr>
          <w:trHeight w:val="540"/>
        </w:trPr>
        <w:tc>
          <w:tcPr>
            <w:tcW w:w="380" w:type="dxa"/>
            <w:tcBorders>
              <w:top w:val="nil"/>
              <w:left w:val="nil"/>
              <w:bottom w:val="nil"/>
              <w:right w:val="nil"/>
            </w:tcBorders>
            <w:shd w:val="clear" w:color="auto" w:fill="auto"/>
            <w:noWrap/>
            <w:vAlign w:val="bottom"/>
            <w:hideMark/>
          </w:tcPr>
          <w:p w14:paraId="7E9B763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nil"/>
              <w:left w:val="single" w:sz="4" w:space="0" w:color="auto"/>
              <w:bottom w:val="single" w:sz="4" w:space="0" w:color="auto"/>
              <w:right w:val="single" w:sz="4" w:space="0" w:color="000000"/>
            </w:tcBorders>
            <w:shd w:val="clear" w:color="auto" w:fill="auto"/>
            <w:vAlign w:val="center"/>
            <w:hideMark/>
          </w:tcPr>
          <w:p w14:paraId="2D133B9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 impegni rimasti da pagare in c/competenza al termine dell’esercizio.</w:t>
            </w:r>
          </w:p>
        </w:tc>
      </w:tr>
      <w:tr w:rsidR="00F56356" w:rsidRPr="00F56356" w14:paraId="027E5A16" w14:textId="77777777" w:rsidTr="00F56356">
        <w:trPr>
          <w:trHeight w:val="330"/>
        </w:trPr>
        <w:tc>
          <w:tcPr>
            <w:tcW w:w="380" w:type="dxa"/>
            <w:tcBorders>
              <w:top w:val="nil"/>
              <w:left w:val="nil"/>
              <w:bottom w:val="nil"/>
              <w:right w:val="nil"/>
            </w:tcBorders>
            <w:shd w:val="clear" w:color="auto" w:fill="auto"/>
            <w:noWrap/>
            <w:vAlign w:val="bottom"/>
            <w:hideMark/>
          </w:tcPr>
          <w:p w14:paraId="44FA70B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4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29942"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DCC156A" w14:textId="77777777" w:rsidTr="00F56356">
        <w:trPr>
          <w:trHeight w:val="945"/>
        </w:trPr>
        <w:tc>
          <w:tcPr>
            <w:tcW w:w="380" w:type="dxa"/>
            <w:tcBorders>
              <w:top w:val="nil"/>
              <w:left w:val="nil"/>
              <w:bottom w:val="nil"/>
              <w:right w:val="nil"/>
            </w:tcBorders>
            <w:shd w:val="clear" w:color="auto" w:fill="auto"/>
            <w:noWrap/>
            <w:vAlign w:val="center"/>
            <w:hideMark/>
          </w:tcPr>
          <w:p w14:paraId="4452C10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5C4FF5E"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61859C5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Tempestività dei pagamenti misurata in termini di percentuale dei trasferimenti effettuati entro il termine massimo di 30 gg. dalla </w:t>
            </w:r>
            <w:proofErr w:type="gramStart"/>
            <w:r w:rsidRPr="00F56356">
              <w:rPr>
                <w:rFonts w:ascii="Times New Roman" w:eastAsia="Times New Roman" w:hAnsi="Times New Roman" w:cs="Times New Roman"/>
                <w:color w:val="000000"/>
                <w:sz w:val="18"/>
                <w:szCs w:val="18"/>
                <w:lang w:eastAsia="it-IT"/>
              </w:rPr>
              <w:t>richiesta  dell’ENTE</w:t>
            </w:r>
            <w:proofErr w:type="gramEnd"/>
            <w:r w:rsidRPr="00F56356">
              <w:rPr>
                <w:rFonts w:ascii="Times New Roman" w:eastAsia="Times New Roman" w:hAnsi="Times New Roman" w:cs="Times New Roman"/>
                <w:color w:val="000000"/>
                <w:sz w:val="18"/>
                <w:szCs w:val="18"/>
                <w:lang w:eastAsia="it-IT"/>
              </w:rPr>
              <w:t>.</w:t>
            </w:r>
          </w:p>
        </w:tc>
      </w:tr>
      <w:tr w:rsidR="00F56356" w:rsidRPr="00F56356" w14:paraId="3CDE6067" w14:textId="77777777" w:rsidTr="00F56356">
        <w:trPr>
          <w:trHeight w:val="480"/>
        </w:trPr>
        <w:tc>
          <w:tcPr>
            <w:tcW w:w="380" w:type="dxa"/>
            <w:tcBorders>
              <w:top w:val="nil"/>
              <w:left w:val="nil"/>
              <w:bottom w:val="nil"/>
              <w:right w:val="nil"/>
            </w:tcBorders>
            <w:shd w:val="clear" w:color="auto" w:fill="auto"/>
            <w:noWrap/>
            <w:vAlign w:val="center"/>
            <w:hideMark/>
          </w:tcPr>
          <w:p w14:paraId="795E72D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768EBE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6680" w:type="dxa"/>
            <w:gridSpan w:val="6"/>
            <w:tcBorders>
              <w:top w:val="single" w:sz="4" w:space="0" w:color="auto"/>
              <w:left w:val="nil"/>
              <w:bottom w:val="single" w:sz="4" w:space="0" w:color="auto"/>
              <w:right w:val="single" w:sz="4" w:space="0" w:color="000000"/>
            </w:tcBorders>
            <w:shd w:val="clear" w:color="auto" w:fill="auto"/>
            <w:vAlign w:val="center"/>
            <w:hideMark/>
          </w:tcPr>
          <w:p w14:paraId="4F2E437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SICOGE, sistema di posta elettronica, </w:t>
            </w:r>
            <w:proofErr w:type="spellStart"/>
            <w:r w:rsidRPr="00F56356">
              <w:rPr>
                <w:rFonts w:ascii="Times New Roman" w:eastAsia="Times New Roman" w:hAnsi="Times New Roman" w:cs="Times New Roman"/>
                <w:color w:val="000000"/>
                <w:sz w:val="18"/>
                <w:szCs w:val="18"/>
                <w:lang w:eastAsia="it-IT"/>
              </w:rPr>
              <w:t>pec</w:t>
            </w:r>
            <w:proofErr w:type="spellEnd"/>
            <w:r w:rsidRPr="00F56356">
              <w:rPr>
                <w:rFonts w:ascii="Times New Roman" w:eastAsia="Times New Roman" w:hAnsi="Times New Roman" w:cs="Times New Roman"/>
                <w:color w:val="000000"/>
                <w:sz w:val="18"/>
                <w:szCs w:val="18"/>
                <w:lang w:eastAsia="it-IT"/>
              </w:rPr>
              <w:t xml:space="preserve"> </w:t>
            </w:r>
          </w:p>
        </w:tc>
      </w:tr>
      <w:tr w:rsidR="00F56356" w:rsidRPr="00F56356" w14:paraId="4DB8BDE7" w14:textId="77777777" w:rsidTr="00F56356">
        <w:trPr>
          <w:trHeight w:val="1320"/>
        </w:trPr>
        <w:tc>
          <w:tcPr>
            <w:tcW w:w="380" w:type="dxa"/>
            <w:tcBorders>
              <w:top w:val="nil"/>
              <w:left w:val="nil"/>
              <w:bottom w:val="nil"/>
              <w:right w:val="nil"/>
            </w:tcBorders>
            <w:shd w:val="clear" w:color="auto" w:fill="auto"/>
            <w:noWrap/>
            <w:vAlign w:val="center"/>
            <w:hideMark/>
          </w:tcPr>
          <w:p w14:paraId="3A25302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noWrap/>
            <w:vAlign w:val="center"/>
            <w:hideMark/>
          </w:tcPr>
          <w:p w14:paraId="3FB50EC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00" w:type="dxa"/>
            <w:gridSpan w:val="3"/>
            <w:tcBorders>
              <w:top w:val="single" w:sz="4" w:space="0" w:color="auto"/>
              <w:left w:val="nil"/>
              <w:bottom w:val="single" w:sz="4" w:space="0" w:color="auto"/>
              <w:right w:val="single" w:sz="4" w:space="0" w:color="000000"/>
            </w:tcBorders>
            <w:shd w:val="clear" w:color="auto" w:fill="auto"/>
            <w:vAlign w:val="center"/>
            <w:hideMark/>
          </w:tcPr>
          <w:p w14:paraId="2003B9A3" w14:textId="77777777" w:rsidR="00F56356" w:rsidRPr="00F56356" w:rsidRDefault="00F56356" w:rsidP="00F56356">
            <w:pPr>
              <w:spacing w:after="0" w:line="240" w:lineRule="auto"/>
              <w:jc w:val="both"/>
              <w:rPr>
                <w:rFonts w:ascii="Times New Roman" w:eastAsia="Times New Roman" w:hAnsi="Times New Roman" w:cs="Times New Roman"/>
                <w:sz w:val="18"/>
                <w:szCs w:val="18"/>
                <w:lang w:eastAsia="it-IT"/>
              </w:rPr>
            </w:pPr>
            <w:r w:rsidRPr="00F56356">
              <w:rPr>
                <w:rFonts w:ascii="Times New Roman" w:eastAsia="Times New Roman" w:hAnsi="Times New Roman" w:cs="Times New Roman"/>
                <w:sz w:val="18"/>
                <w:szCs w:val="18"/>
                <w:lang w:eastAsia="it-IT"/>
              </w:rPr>
              <w:t>N trasferimenti effettuati entro il termine massimo di 30 gg. dalla richiesta dell’Ente/n. totale di richieste pervenute</w:t>
            </w:r>
          </w:p>
        </w:tc>
        <w:tc>
          <w:tcPr>
            <w:tcW w:w="1120" w:type="dxa"/>
            <w:tcBorders>
              <w:top w:val="nil"/>
              <w:left w:val="nil"/>
              <w:bottom w:val="single" w:sz="4" w:space="0" w:color="auto"/>
              <w:right w:val="single" w:sz="4" w:space="0" w:color="auto"/>
            </w:tcBorders>
            <w:shd w:val="clear" w:color="auto" w:fill="auto"/>
            <w:vAlign w:val="center"/>
            <w:hideMark/>
          </w:tcPr>
          <w:p w14:paraId="49F56C8B"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180" w:type="dxa"/>
            <w:tcBorders>
              <w:top w:val="nil"/>
              <w:left w:val="nil"/>
              <w:bottom w:val="single" w:sz="4" w:space="0" w:color="auto"/>
              <w:right w:val="single" w:sz="4" w:space="0" w:color="auto"/>
            </w:tcBorders>
            <w:shd w:val="clear" w:color="auto" w:fill="auto"/>
            <w:vAlign w:val="center"/>
            <w:hideMark/>
          </w:tcPr>
          <w:p w14:paraId="6751F18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280" w:type="dxa"/>
            <w:tcBorders>
              <w:top w:val="nil"/>
              <w:left w:val="nil"/>
              <w:bottom w:val="single" w:sz="4" w:space="0" w:color="auto"/>
              <w:right w:val="single" w:sz="4" w:space="0" w:color="auto"/>
            </w:tcBorders>
            <w:shd w:val="clear" w:color="auto" w:fill="auto"/>
            <w:vAlign w:val="center"/>
            <w:hideMark/>
          </w:tcPr>
          <w:p w14:paraId="4DABAA8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3BE889B" w14:textId="77777777" w:rsidTr="00F56356">
        <w:trPr>
          <w:trHeight w:val="570"/>
        </w:trPr>
        <w:tc>
          <w:tcPr>
            <w:tcW w:w="380" w:type="dxa"/>
            <w:tcBorders>
              <w:top w:val="nil"/>
              <w:left w:val="nil"/>
              <w:bottom w:val="nil"/>
              <w:right w:val="nil"/>
            </w:tcBorders>
            <w:shd w:val="clear" w:color="auto" w:fill="auto"/>
            <w:noWrap/>
            <w:vAlign w:val="bottom"/>
            <w:hideMark/>
          </w:tcPr>
          <w:p w14:paraId="435A12B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720" w:type="dxa"/>
            <w:tcBorders>
              <w:top w:val="nil"/>
              <w:left w:val="single" w:sz="4" w:space="0" w:color="auto"/>
              <w:bottom w:val="single" w:sz="4" w:space="0" w:color="auto"/>
              <w:right w:val="single" w:sz="4" w:space="0" w:color="auto"/>
            </w:tcBorders>
            <w:shd w:val="clear" w:color="auto" w:fill="auto"/>
            <w:vAlign w:val="center"/>
            <w:hideMark/>
          </w:tcPr>
          <w:p w14:paraId="718DFC5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w:t>
            </w:r>
            <w:proofErr w:type="gramStart"/>
            <w:r w:rsidRPr="00F56356">
              <w:rPr>
                <w:rFonts w:ascii="Times New Roman" w:eastAsia="Times New Roman" w:hAnsi="Times New Roman" w:cs="Times New Roman"/>
                <w:color w:val="000000"/>
                <w:sz w:val="18"/>
                <w:szCs w:val="18"/>
                <w:lang w:eastAsia="it-IT"/>
              </w:rPr>
              <w:t>MISURA  (</w:t>
            </w:r>
            <w:proofErr w:type="gramEnd"/>
            <w:r w:rsidRPr="00F56356">
              <w:rPr>
                <w:rFonts w:ascii="Times New Roman" w:eastAsia="Times New Roman" w:hAnsi="Times New Roman" w:cs="Times New Roman"/>
                <w:color w:val="000000"/>
                <w:sz w:val="18"/>
                <w:szCs w:val="18"/>
                <w:lang w:eastAsia="it-IT"/>
              </w:rPr>
              <w:t>valore in)</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1625A3"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w:t>
            </w:r>
          </w:p>
        </w:tc>
        <w:tc>
          <w:tcPr>
            <w:tcW w:w="1120" w:type="dxa"/>
            <w:tcBorders>
              <w:top w:val="nil"/>
              <w:left w:val="nil"/>
              <w:bottom w:val="single" w:sz="4" w:space="0" w:color="auto"/>
              <w:right w:val="single" w:sz="4" w:space="0" w:color="auto"/>
            </w:tcBorders>
            <w:shd w:val="clear" w:color="auto" w:fill="auto"/>
            <w:noWrap/>
            <w:vAlign w:val="center"/>
            <w:hideMark/>
          </w:tcPr>
          <w:p w14:paraId="3FAED99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180" w:type="dxa"/>
            <w:tcBorders>
              <w:top w:val="nil"/>
              <w:left w:val="nil"/>
              <w:bottom w:val="single" w:sz="4" w:space="0" w:color="auto"/>
              <w:right w:val="single" w:sz="4" w:space="0" w:color="auto"/>
            </w:tcBorders>
            <w:shd w:val="clear" w:color="auto" w:fill="auto"/>
            <w:vAlign w:val="center"/>
            <w:hideMark/>
          </w:tcPr>
          <w:p w14:paraId="31DF88E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w:t>
            </w:r>
          </w:p>
        </w:tc>
        <w:tc>
          <w:tcPr>
            <w:tcW w:w="1280" w:type="dxa"/>
            <w:tcBorders>
              <w:top w:val="nil"/>
              <w:left w:val="nil"/>
              <w:bottom w:val="single" w:sz="4" w:space="0" w:color="auto"/>
              <w:right w:val="single" w:sz="4" w:space="0" w:color="auto"/>
            </w:tcBorders>
            <w:shd w:val="clear" w:color="auto" w:fill="auto"/>
            <w:vAlign w:val="center"/>
            <w:hideMark/>
          </w:tcPr>
          <w:p w14:paraId="679394C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0</w:t>
            </w:r>
          </w:p>
        </w:tc>
      </w:tr>
    </w:tbl>
    <w:p w14:paraId="5F8B69A4" w14:textId="77777777" w:rsidR="00F56356" w:rsidRPr="00F56356" w:rsidRDefault="00F56356" w:rsidP="00F56356">
      <w:pPr>
        <w:spacing w:after="0" w:line="360" w:lineRule="auto"/>
        <w:ind w:right="284"/>
        <w:jc w:val="both"/>
        <w:rPr>
          <w:rFonts w:eastAsia="Times New Roman"/>
          <w:sz w:val="4"/>
          <w:szCs w:val="12"/>
          <w:lang w:eastAsia="it-IT"/>
        </w:rPr>
      </w:pPr>
    </w:p>
    <w:p w14:paraId="02608F6D" w14:textId="77777777" w:rsidR="00F56356" w:rsidRPr="00F56356" w:rsidRDefault="00F56356" w:rsidP="00F56356">
      <w:pPr>
        <w:spacing w:after="0" w:line="360" w:lineRule="auto"/>
        <w:ind w:right="284"/>
        <w:jc w:val="both"/>
        <w:rPr>
          <w:rFonts w:eastAsia="Times New Roman"/>
          <w:sz w:val="4"/>
          <w:szCs w:val="12"/>
          <w:lang w:eastAsia="it-IT"/>
        </w:rPr>
      </w:pPr>
    </w:p>
    <w:p w14:paraId="4D6AE9B7" w14:textId="77777777" w:rsidR="00F56356" w:rsidRPr="00F56356" w:rsidRDefault="00F56356" w:rsidP="00F56356">
      <w:pPr>
        <w:spacing w:after="0" w:line="360" w:lineRule="auto"/>
        <w:ind w:right="284"/>
        <w:jc w:val="both"/>
        <w:rPr>
          <w:rFonts w:eastAsia="Times New Roman"/>
          <w:sz w:val="4"/>
          <w:szCs w:val="12"/>
          <w:lang w:eastAsia="it-IT"/>
        </w:rPr>
      </w:pPr>
    </w:p>
    <w:p w14:paraId="1994F644" w14:textId="77777777" w:rsidR="00F56356" w:rsidRPr="00F56356" w:rsidRDefault="00F56356" w:rsidP="00F56356">
      <w:pPr>
        <w:spacing w:after="0" w:line="360" w:lineRule="auto"/>
        <w:ind w:right="284"/>
        <w:jc w:val="both"/>
        <w:rPr>
          <w:rFonts w:eastAsia="Times New Roman"/>
          <w:sz w:val="4"/>
          <w:szCs w:val="12"/>
          <w:lang w:eastAsia="it-IT"/>
        </w:rPr>
      </w:pPr>
    </w:p>
    <w:p w14:paraId="02B83E96" w14:textId="77777777" w:rsidR="00F56356" w:rsidRPr="00F56356" w:rsidRDefault="00F56356" w:rsidP="00F56356">
      <w:pPr>
        <w:spacing w:after="0" w:line="360" w:lineRule="auto"/>
        <w:ind w:right="284"/>
        <w:jc w:val="both"/>
        <w:rPr>
          <w:rFonts w:eastAsia="Times New Roman"/>
          <w:sz w:val="4"/>
          <w:szCs w:val="12"/>
          <w:lang w:eastAsia="it-IT"/>
        </w:rPr>
      </w:pPr>
    </w:p>
    <w:p w14:paraId="7145B696" w14:textId="77777777" w:rsidR="00F56356" w:rsidRPr="00F56356" w:rsidRDefault="00F56356" w:rsidP="00F56356">
      <w:pPr>
        <w:spacing w:after="0" w:line="360" w:lineRule="auto"/>
        <w:ind w:right="284"/>
        <w:jc w:val="both"/>
        <w:rPr>
          <w:rFonts w:eastAsia="Times New Roman"/>
          <w:sz w:val="4"/>
          <w:szCs w:val="12"/>
          <w:lang w:eastAsia="it-IT"/>
        </w:rPr>
      </w:pPr>
    </w:p>
    <w:p w14:paraId="1A7A9E3F" w14:textId="0A588824" w:rsidR="00F56356" w:rsidRPr="00F56356" w:rsidRDefault="00F56356" w:rsidP="00F56356">
      <w:pPr>
        <w:spacing w:after="0" w:line="360" w:lineRule="auto"/>
        <w:ind w:right="284"/>
        <w:jc w:val="both"/>
        <w:rPr>
          <w:rFonts w:eastAsia="Times New Roman"/>
          <w:sz w:val="4"/>
          <w:szCs w:val="12"/>
          <w:lang w:eastAsia="it-IT"/>
        </w:rPr>
      </w:pPr>
    </w:p>
    <w:p w14:paraId="6D1583C4" w14:textId="335BD4A8" w:rsidR="00F56356" w:rsidRPr="00F56356" w:rsidRDefault="00F56356" w:rsidP="00F56356">
      <w:pPr>
        <w:spacing w:after="0" w:line="360" w:lineRule="auto"/>
        <w:ind w:right="284"/>
        <w:jc w:val="both"/>
        <w:rPr>
          <w:rFonts w:eastAsia="Times New Roman"/>
          <w:sz w:val="4"/>
          <w:szCs w:val="12"/>
          <w:lang w:eastAsia="it-IT"/>
        </w:rPr>
      </w:pPr>
    </w:p>
    <w:p w14:paraId="6D6CEED6" w14:textId="6DCF05F5" w:rsidR="00F56356" w:rsidRPr="00F56356" w:rsidRDefault="00F56356" w:rsidP="00F56356">
      <w:pPr>
        <w:spacing w:after="0" w:line="360" w:lineRule="auto"/>
        <w:ind w:right="284"/>
        <w:jc w:val="both"/>
        <w:rPr>
          <w:rFonts w:eastAsia="Times New Roman"/>
          <w:sz w:val="4"/>
          <w:szCs w:val="12"/>
          <w:lang w:eastAsia="it-IT"/>
        </w:rPr>
      </w:pPr>
    </w:p>
    <w:p w14:paraId="071372AB" w14:textId="4E944093" w:rsidR="00F56356" w:rsidRPr="00F56356" w:rsidRDefault="00F56356" w:rsidP="00F56356">
      <w:pPr>
        <w:spacing w:after="0" w:line="360" w:lineRule="auto"/>
        <w:ind w:right="284"/>
        <w:jc w:val="both"/>
        <w:rPr>
          <w:rFonts w:eastAsia="Times New Roman"/>
          <w:sz w:val="4"/>
          <w:szCs w:val="12"/>
          <w:lang w:eastAsia="it-IT"/>
        </w:rPr>
      </w:pPr>
    </w:p>
    <w:p w14:paraId="1022C565" w14:textId="3AB935FE" w:rsidR="00F56356" w:rsidRDefault="00F56356" w:rsidP="00F56356">
      <w:pPr>
        <w:spacing w:after="0" w:line="360" w:lineRule="auto"/>
        <w:ind w:right="284"/>
        <w:jc w:val="both"/>
        <w:rPr>
          <w:rFonts w:eastAsia="Times New Roman"/>
          <w:sz w:val="4"/>
          <w:szCs w:val="12"/>
          <w:lang w:eastAsia="it-IT"/>
        </w:rPr>
      </w:pPr>
    </w:p>
    <w:p w14:paraId="6E5912C2" w14:textId="6A31933C" w:rsidR="0043213C" w:rsidRDefault="0043213C" w:rsidP="00F56356">
      <w:pPr>
        <w:spacing w:after="0" w:line="360" w:lineRule="auto"/>
        <w:ind w:right="284"/>
        <w:jc w:val="both"/>
        <w:rPr>
          <w:rFonts w:eastAsia="Times New Roman"/>
          <w:sz w:val="4"/>
          <w:szCs w:val="12"/>
          <w:lang w:eastAsia="it-IT"/>
        </w:rPr>
      </w:pPr>
    </w:p>
    <w:p w14:paraId="0AEA6142" w14:textId="5CA1C923" w:rsidR="0043213C" w:rsidRDefault="0043213C" w:rsidP="00F56356">
      <w:pPr>
        <w:spacing w:after="0" w:line="360" w:lineRule="auto"/>
        <w:ind w:right="284"/>
        <w:jc w:val="both"/>
        <w:rPr>
          <w:rFonts w:eastAsia="Times New Roman"/>
          <w:sz w:val="4"/>
          <w:szCs w:val="12"/>
          <w:lang w:eastAsia="it-IT"/>
        </w:rPr>
      </w:pPr>
    </w:p>
    <w:p w14:paraId="45AE2B57" w14:textId="45C18A76" w:rsidR="0043213C" w:rsidRDefault="0043213C" w:rsidP="00F56356">
      <w:pPr>
        <w:spacing w:after="0" w:line="360" w:lineRule="auto"/>
        <w:ind w:right="284"/>
        <w:jc w:val="both"/>
        <w:rPr>
          <w:rFonts w:eastAsia="Times New Roman"/>
          <w:sz w:val="4"/>
          <w:szCs w:val="12"/>
          <w:lang w:eastAsia="it-IT"/>
        </w:rPr>
      </w:pPr>
    </w:p>
    <w:p w14:paraId="2CE9B340" w14:textId="1C8E64AF" w:rsidR="0043213C" w:rsidRDefault="0043213C" w:rsidP="00F56356">
      <w:pPr>
        <w:spacing w:after="0" w:line="360" w:lineRule="auto"/>
        <w:ind w:right="284"/>
        <w:jc w:val="both"/>
        <w:rPr>
          <w:rFonts w:eastAsia="Times New Roman"/>
          <w:sz w:val="4"/>
          <w:szCs w:val="12"/>
          <w:lang w:eastAsia="it-IT"/>
        </w:rPr>
      </w:pPr>
    </w:p>
    <w:p w14:paraId="1DB95D86" w14:textId="6B45B040" w:rsidR="0043213C" w:rsidRDefault="0043213C" w:rsidP="00F56356">
      <w:pPr>
        <w:spacing w:after="0" w:line="360" w:lineRule="auto"/>
        <w:ind w:right="284"/>
        <w:jc w:val="both"/>
        <w:rPr>
          <w:rFonts w:eastAsia="Times New Roman"/>
          <w:sz w:val="4"/>
          <w:szCs w:val="12"/>
          <w:lang w:eastAsia="it-IT"/>
        </w:rPr>
      </w:pPr>
    </w:p>
    <w:p w14:paraId="6B876788" w14:textId="449BB5FB" w:rsidR="0043213C" w:rsidRDefault="0043213C" w:rsidP="00F56356">
      <w:pPr>
        <w:spacing w:after="0" w:line="360" w:lineRule="auto"/>
        <w:ind w:right="284"/>
        <w:jc w:val="both"/>
        <w:rPr>
          <w:rFonts w:eastAsia="Times New Roman"/>
          <w:sz w:val="4"/>
          <w:szCs w:val="12"/>
          <w:lang w:eastAsia="it-IT"/>
        </w:rPr>
      </w:pPr>
    </w:p>
    <w:p w14:paraId="24A1357A" w14:textId="578D543F" w:rsidR="0043213C" w:rsidRDefault="0043213C" w:rsidP="00F56356">
      <w:pPr>
        <w:spacing w:after="0" w:line="360" w:lineRule="auto"/>
        <w:ind w:right="284"/>
        <w:jc w:val="both"/>
        <w:rPr>
          <w:rFonts w:eastAsia="Times New Roman"/>
          <w:sz w:val="4"/>
          <w:szCs w:val="12"/>
          <w:lang w:eastAsia="it-IT"/>
        </w:rPr>
      </w:pPr>
    </w:p>
    <w:p w14:paraId="63E5E74D" w14:textId="222010DF" w:rsidR="0043213C" w:rsidRDefault="0043213C" w:rsidP="00F56356">
      <w:pPr>
        <w:spacing w:after="0" w:line="360" w:lineRule="auto"/>
        <w:ind w:right="284"/>
        <w:jc w:val="both"/>
        <w:rPr>
          <w:rFonts w:eastAsia="Times New Roman"/>
          <w:sz w:val="4"/>
          <w:szCs w:val="12"/>
          <w:lang w:eastAsia="it-IT"/>
        </w:rPr>
      </w:pPr>
    </w:p>
    <w:p w14:paraId="43340292" w14:textId="3D53606C" w:rsidR="00517D58" w:rsidRDefault="00517D58" w:rsidP="00F56356">
      <w:pPr>
        <w:spacing w:after="0" w:line="360" w:lineRule="auto"/>
        <w:ind w:right="284"/>
        <w:jc w:val="both"/>
        <w:rPr>
          <w:rFonts w:eastAsia="Times New Roman"/>
          <w:sz w:val="4"/>
          <w:szCs w:val="12"/>
          <w:lang w:eastAsia="it-IT"/>
        </w:rPr>
      </w:pPr>
    </w:p>
    <w:p w14:paraId="42A6F0B7" w14:textId="196D8263" w:rsidR="00517D58" w:rsidRDefault="00517D58" w:rsidP="00F56356">
      <w:pPr>
        <w:spacing w:after="0" w:line="360" w:lineRule="auto"/>
        <w:ind w:right="284"/>
        <w:jc w:val="both"/>
        <w:rPr>
          <w:rFonts w:eastAsia="Times New Roman"/>
          <w:sz w:val="4"/>
          <w:szCs w:val="12"/>
          <w:lang w:eastAsia="it-IT"/>
        </w:rPr>
      </w:pPr>
    </w:p>
    <w:p w14:paraId="64DD2386" w14:textId="77777777" w:rsidR="0043213C" w:rsidRPr="00F56356" w:rsidRDefault="0043213C" w:rsidP="00F56356">
      <w:pPr>
        <w:spacing w:after="0" w:line="360" w:lineRule="auto"/>
        <w:ind w:right="284"/>
        <w:jc w:val="both"/>
        <w:rPr>
          <w:rFonts w:eastAsia="Times New Roman"/>
          <w:sz w:val="4"/>
          <w:szCs w:val="12"/>
          <w:lang w:eastAsia="it-IT"/>
        </w:rPr>
      </w:pPr>
    </w:p>
    <w:p w14:paraId="20FB5ACE" w14:textId="0ACBFA4E" w:rsidR="00F56356" w:rsidRPr="00F56356" w:rsidRDefault="00F56356" w:rsidP="00F56356">
      <w:pPr>
        <w:spacing w:after="0" w:line="360" w:lineRule="auto"/>
        <w:ind w:right="284"/>
        <w:jc w:val="both"/>
        <w:rPr>
          <w:rFonts w:eastAsia="Times New Roman"/>
          <w:szCs w:val="12"/>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48352" behindDoc="1" locked="0" layoutInCell="1" allowOverlap="1" wp14:anchorId="5E7E0E1A" wp14:editId="24EFEE63">
            <wp:simplePos x="0" y="0"/>
            <wp:positionH relativeFrom="margin">
              <wp:align>right</wp:align>
            </wp:positionH>
            <wp:positionV relativeFrom="paragraph">
              <wp:posOffset>3175</wp:posOffset>
            </wp:positionV>
            <wp:extent cx="5838825" cy="8724265"/>
            <wp:effectExtent l="0" t="0" r="9525" b="635"/>
            <wp:wrapTight wrapText="bothSides">
              <wp:wrapPolygon edited="0">
                <wp:start x="0" y="0"/>
                <wp:lineTo x="0" y="21554"/>
                <wp:lineTo x="21565" y="21554"/>
                <wp:lineTo x="21565" y="0"/>
                <wp:lineTo x="0" y="0"/>
              </wp:wrapPolygon>
            </wp:wrapTight>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38825" cy="8724265"/>
                    </a:xfrm>
                    <a:prstGeom prst="rect">
                      <a:avLst/>
                    </a:prstGeom>
                    <a:noFill/>
                    <a:ln>
                      <a:noFill/>
                    </a:ln>
                  </pic:spPr>
                </pic:pic>
              </a:graphicData>
            </a:graphic>
            <wp14:sizeRelH relativeFrom="margin">
              <wp14:pctWidth>0</wp14:pctWidth>
            </wp14:sizeRelH>
          </wp:anchor>
        </w:drawing>
      </w:r>
    </w:p>
    <w:p w14:paraId="65D763A1" w14:textId="1E2FFDB2" w:rsidR="00F56356" w:rsidRPr="00F56356" w:rsidRDefault="00F56356" w:rsidP="00F56356">
      <w:pPr>
        <w:spacing w:after="0" w:line="360" w:lineRule="auto"/>
        <w:ind w:right="284"/>
        <w:jc w:val="both"/>
        <w:rPr>
          <w:rFonts w:eastAsia="Times New Roman"/>
          <w:sz w:val="4"/>
          <w:szCs w:val="12"/>
          <w:lang w:eastAsia="it-IT"/>
        </w:rPr>
      </w:pPr>
    </w:p>
    <w:p w14:paraId="13160CAE" w14:textId="77777777" w:rsidR="00F56356" w:rsidRPr="00F56356" w:rsidRDefault="00F56356" w:rsidP="00F56356">
      <w:pPr>
        <w:spacing w:after="0" w:line="360" w:lineRule="auto"/>
        <w:ind w:right="284"/>
        <w:jc w:val="both"/>
        <w:rPr>
          <w:rFonts w:eastAsia="Times New Roman"/>
          <w:sz w:val="4"/>
          <w:szCs w:val="12"/>
          <w:lang w:eastAsia="it-IT"/>
        </w:rPr>
      </w:pPr>
    </w:p>
    <w:p w14:paraId="4FF125FC" w14:textId="77777777" w:rsidR="00F56356" w:rsidRPr="00F56356" w:rsidRDefault="00F56356" w:rsidP="00F56356">
      <w:pPr>
        <w:spacing w:after="0" w:line="360" w:lineRule="auto"/>
        <w:ind w:right="284"/>
        <w:jc w:val="both"/>
        <w:rPr>
          <w:rFonts w:eastAsia="Times New Roman"/>
          <w:sz w:val="4"/>
          <w:szCs w:val="12"/>
          <w:lang w:eastAsia="it-IT"/>
        </w:rPr>
      </w:pPr>
    </w:p>
    <w:p w14:paraId="714B05EB" w14:textId="77777777" w:rsidR="00F56356" w:rsidRPr="00F56356" w:rsidRDefault="00F56356" w:rsidP="00F56356">
      <w:pPr>
        <w:spacing w:after="0" w:line="360" w:lineRule="auto"/>
        <w:ind w:right="284"/>
        <w:jc w:val="both"/>
        <w:rPr>
          <w:rFonts w:eastAsia="Times New Roman"/>
          <w:sz w:val="4"/>
          <w:szCs w:val="12"/>
          <w:lang w:eastAsia="it-IT"/>
        </w:rPr>
      </w:pPr>
    </w:p>
    <w:p w14:paraId="662EEC40" w14:textId="77777777" w:rsidR="00F56356" w:rsidRPr="00F56356" w:rsidRDefault="00F56356" w:rsidP="00F56356">
      <w:pPr>
        <w:spacing w:after="0" w:line="360" w:lineRule="auto"/>
        <w:ind w:right="284"/>
        <w:jc w:val="both"/>
        <w:rPr>
          <w:rFonts w:eastAsia="Times New Roman"/>
          <w:sz w:val="4"/>
          <w:szCs w:val="12"/>
          <w:lang w:eastAsia="it-IT"/>
        </w:rPr>
      </w:pPr>
    </w:p>
    <w:p w14:paraId="312A3209" w14:textId="77777777" w:rsidR="00F56356" w:rsidRPr="00F56356" w:rsidRDefault="00F56356" w:rsidP="00F56356">
      <w:pPr>
        <w:spacing w:after="0" w:line="360" w:lineRule="auto"/>
        <w:ind w:right="284"/>
        <w:jc w:val="both"/>
        <w:rPr>
          <w:rFonts w:eastAsia="Times New Roman"/>
          <w:sz w:val="4"/>
          <w:szCs w:val="12"/>
          <w:lang w:eastAsia="it-IT"/>
        </w:rPr>
      </w:pPr>
    </w:p>
    <w:p w14:paraId="3ACE547E" w14:textId="73791F08" w:rsidR="00F56356" w:rsidRPr="00F56356" w:rsidRDefault="00F56356" w:rsidP="00F56356">
      <w:pPr>
        <w:spacing w:after="0" w:line="360" w:lineRule="auto"/>
        <w:ind w:right="284"/>
        <w:jc w:val="both"/>
        <w:rPr>
          <w:rFonts w:eastAsia="Times New Roman"/>
          <w:sz w:val="4"/>
          <w:szCs w:val="12"/>
          <w:lang w:eastAsia="it-IT"/>
        </w:rPr>
      </w:pPr>
    </w:p>
    <w:p w14:paraId="188C3BB8" w14:textId="77777777" w:rsidR="00F56356" w:rsidRPr="00F56356" w:rsidRDefault="00F56356" w:rsidP="00F56356">
      <w:pPr>
        <w:spacing w:after="0" w:line="360" w:lineRule="auto"/>
        <w:ind w:right="284"/>
        <w:jc w:val="both"/>
        <w:rPr>
          <w:rFonts w:eastAsia="Times New Roman"/>
          <w:sz w:val="4"/>
          <w:szCs w:val="12"/>
          <w:lang w:eastAsia="it-IT"/>
        </w:rPr>
      </w:pPr>
    </w:p>
    <w:p w14:paraId="56DBC26E" w14:textId="7709ED6F" w:rsidR="00F56356" w:rsidRPr="00F56356" w:rsidRDefault="00F56356" w:rsidP="00F56356">
      <w:pPr>
        <w:spacing w:after="0" w:line="360" w:lineRule="auto"/>
        <w:ind w:right="284"/>
        <w:jc w:val="both"/>
        <w:rPr>
          <w:rFonts w:eastAsia="Times New Roman"/>
          <w:sz w:val="4"/>
          <w:szCs w:val="12"/>
          <w:lang w:eastAsia="it-IT"/>
        </w:rPr>
      </w:pPr>
    </w:p>
    <w:p w14:paraId="47BEE5D4" w14:textId="1705F41E" w:rsidR="00F56356" w:rsidRPr="00F56356" w:rsidRDefault="00F56356" w:rsidP="00F56356">
      <w:pPr>
        <w:spacing w:after="0" w:line="360" w:lineRule="auto"/>
        <w:ind w:right="284"/>
        <w:jc w:val="both"/>
        <w:rPr>
          <w:rFonts w:eastAsia="Times New Roman"/>
          <w:sz w:val="4"/>
          <w:szCs w:val="12"/>
          <w:lang w:eastAsia="it-IT"/>
        </w:rPr>
      </w:pPr>
    </w:p>
    <w:p w14:paraId="0183D720" w14:textId="1503E43F" w:rsidR="00F56356" w:rsidRPr="00F56356" w:rsidRDefault="00F56356" w:rsidP="00F56356">
      <w:pPr>
        <w:spacing w:after="0" w:line="360" w:lineRule="auto"/>
        <w:ind w:right="284"/>
        <w:jc w:val="both"/>
        <w:rPr>
          <w:rFonts w:eastAsia="Times New Roman"/>
          <w:sz w:val="4"/>
          <w:szCs w:val="12"/>
          <w:lang w:eastAsia="it-IT"/>
        </w:rPr>
      </w:pPr>
    </w:p>
    <w:p w14:paraId="39E0A9B0" w14:textId="1D62E4D4" w:rsidR="00F56356" w:rsidRPr="00F56356" w:rsidRDefault="00F56356" w:rsidP="00F56356">
      <w:pPr>
        <w:spacing w:after="0" w:line="360" w:lineRule="auto"/>
        <w:ind w:right="284"/>
        <w:jc w:val="both"/>
        <w:rPr>
          <w:rFonts w:eastAsia="Times New Roman"/>
          <w:sz w:val="4"/>
          <w:szCs w:val="12"/>
          <w:lang w:eastAsia="it-IT"/>
        </w:rPr>
      </w:pPr>
    </w:p>
    <w:p w14:paraId="49512E0B" w14:textId="77777777" w:rsidR="00C25F3C" w:rsidRDefault="00C25F3C" w:rsidP="00F56356">
      <w:pPr>
        <w:spacing w:after="0" w:line="360" w:lineRule="auto"/>
        <w:ind w:right="284"/>
        <w:jc w:val="both"/>
        <w:rPr>
          <w:rFonts w:eastAsia="Times New Roman"/>
          <w:sz w:val="4"/>
          <w:szCs w:val="12"/>
          <w:lang w:eastAsia="it-IT"/>
        </w:rPr>
      </w:pPr>
    </w:p>
    <w:p w14:paraId="67ADA808" w14:textId="77777777" w:rsidR="00C25F3C" w:rsidRDefault="00C25F3C" w:rsidP="00F56356">
      <w:pPr>
        <w:spacing w:after="0" w:line="360" w:lineRule="auto"/>
        <w:ind w:right="284"/>
        <w:jc w:val="both"/>
        <w:rPr>
          <w:rFonts w:eastAsia="Times New Roman"/>
          <w:sz w:val="4"/>
          <w:szCs w:val="12"/>
          <w:lang w:eastAsia="it-IT"/>
        </w:rPr>
      </w:pPr>
    </w:p>
    <w:p w14:paraId="7F26B319" w14:textId="77777777" w:rsidR="00C25F3C" w:rsidRDefault="00C25F3C" w:rsidP="00F56356">
      <w:pPr>
        <w:spacing w:after="0" w:line="360" w:lineRule="auto"/>
        <w:ind w:right="284"/>
        <w:jc w:val="both"/>
        <w:rPr>
          <w:rFonts w:eastAsia="Times New Roman"/>
          <w:sz w:val="4"/>
          <w:szCs w:val="12"/>
          <w:lang w:eastAsia="it-IT"/>
        </w:rPr>
      </w:pPr>
    </w:p>
    <w:p w14:paraId="623BA2D1" w14:textId="77777777" w:rsidR="00C25F3C" w:rsidRDefault="00C25F3C" w:rsidP="00F56356">
      <w:pPr>
        <w:spacing w:after="0" w:line="360" w:lineRule="auto"/>
        <w:ind w:right="284"/>
        <w:jc w:val="both"/>
        <w:rPr>
          <w:rFonts w:eastAsia="Times New Roman"/>
          <w:sz w:val="4"/>
          <w:szCs w:val="12"/>
          <w:lang w:eastAsia="it-IT"/>
        </w:rPr>
      </w:pPr>
    </w:p>
    <w:p w14:paraId="0E012202" w14:textId="77777777" w:rsidR="00C25F3C" w:rsidRDefault="00C25F3C" w:rsidP="00F56356">
      <w:pPr>
        <w:spacing w:after="0" w:line="360" w:lineRule="auto"/>
        <w:ind w:right="284"/>
        <w:jc w:val="both"/>
        <w:rPr>
          <w:rFonts w:eastAsia="Times New Roman"/>
          <w:sz w:val="4"/>
          <w:szCs w:val="12"/>
          <w:lang w:eastAsia="it-IT"/>
        </w:rPr>
      </w:pPr>
    </w:p>
    <w:p w14:paraId="7ADA8E37" w14:textId="2E43BC5C" w:rsidR="00F56356" w:rsidRPr="00F56356" w:rsidRDefault="00F56356" w:rsidP="00F56356">
      <w:pPr>
        <w:spacing w:after="0" w:line="360" w:lineRule="auto"/>
        <w:ind w:right="284"/>
        <w:jc w:val="both"/>
        <w:rPr>
          <w:rFonts w:eastAsia="Times New Roman"/>
          <w:sz w:val="4"/>
          <w:szCs w:val="12"/>
          <w:lang w:eastAsia="it-IT"/>
        </w:rPr>
      </w:pPr>
    </w:p>
    <w:p w14:paraId="2D8ED203" w14:textId="1E1A3EF1" w:rsidR="00F56356" w:rsidRPr="00F56356" w:rsidRDefault="00F56356" w:rsidP="00F56356">
      <w:pPr>
        <w:spacing w:after="0" w:line="360" w:lineRule="auto"/>
        <w:ind w:right="284"/>
        <w:jc w:val="both"/>
        <w:rPr>
          <w:rFonts w:eastAsia="Times New Roman"/>
          <w:sz w:val="32"/>
          <w:szCs w:val="12"/>
          <w:lang w:eastAsia="it-IT"/>
        </w:rPr>
      </w:pPr>
    </w:p>
    <w:p w14:paraId="5B1B84A5" w14:textId="65D2FCE1" w:rsidR="00F56356" w:rsidRPr="00F56356" w:rsidRDefault="00F56356" w:rsidP="00F56356">
      <w:pPr>
        <w:spacing w:after="0" w:line="360" w:lineRule="auto"/>
        <w:ind w:right="284"/>
        <w:jc w:val="both"/>
        <w:rPr>
          <w:rFonts w:eastAsia="Times New Roman"/>
          <w:sz w:val="2"/>
          <w:szCs w:val="12"/>
          <w:lang w:eastAsia="it-IT"/>
        </w:rPr>
      </w:pPr>
    </w:p>
    <w:p w14:paraId="49BC99B0" w14:textId="45EA7745"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6360D66B" w14:textId="51DB0CE4"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44F122BF" w14:textId="71CECD9A" w:rsidR="00517D58" w:rsidRDefault="00517D58" w:rsidP="00F56356">
      <w:pPr>
        <w:spacing w:after="0" w:line="360" w:lineRule="auto"/>
        <w:rPr>
          <w:rFonts w:ascii="Times New Roman" w:eastAsia="Times New Roman" w:hAnsi="Times New Roman" w:cs="Times New Roman"/>
          <w:sz w:val="24"/>
          <w:szCs w:val="24"/>
          <w:lang w:eastAsia="it-IT"/>
        </w:rPr>
      </w:pPr>
    </w:p>
    <w:p w14:paraId="25B29372" w14:textId="4ECF31B0" w:rsidR="00517D58" w:rsidRDefault="00517D58" w:rsidP="00F56356">
      <w:pPr>
        <w:spacing w:after="0" w:line="360" w:lineRule="auto"/>
        <w:rPr>
          <w:rFonts w:ascii="Times New Roman" w:eastAsia="Times New Roman" w:hAnsi="Times New Roman" w:cs="Times New Roman"/>
          <w:sz w:val="24"/>
          <w:szCs w:val="24"/>
          <w:lang w:eastAsia="it-IT"/>
        </w:rPr>
      </w:pPr>
    </w:p>
    <w:p w14:paraId="7DB20C65" w14:textId="32926844" w:rsidR="00517D58" w:rsidRDefault="00517D58" w:rsidP="00F56356">
      <w:pPr>
        <w:spacing w:after="0" w:line="360" w:lineRule="auto"/>
        <w:rPr>
          <w:rFonts w:ascii="Times New Roman" w:eastAsia="Times New Roman" w:hAnsi="Times New Roman" w:cs="Times New Roman"/>
          <w:sz w:val="24"/>
          <w:szCs w:val="24"/>
          <w:lang w:eastAsia="it-IT"/>
        </w:rPr>
      </w:pPr>
    </w:p>
    <w:p w14:paraId="35B6CFFF" w14:textId="41563491" w:rsidR="00517D58" w:rsidRDefault="00517D58" w:rsidP="00F56356">
      <w:pPr>
        <w:spacing w:after="0" w:line="360" w:lineRule="auto"/>
        <w:rPr>
          <w:rFonts w:ascii="Times New Roman" w:eastAsia="Times New Roman" w:hAnsi="Times New Roman" w:cs="Times New Roman"/>
          <w:sz w:val="24"/>
          <w:szCs w:val="24"/>
          <w:lang w:eastAsia="it-IT"/>
        </w:rPr>
      </w:pPr>
    </w:p>
    <w:p w14:paraId="232B6ABB" w14:textId="53AA496C" w:rsidR="00517D58" w:rsidRDefault="00517D58" w:rsidP="00F56356">
      <w:pPr>
        <w:spacing w:after="0" w:line="360" w:lineRule="auto"/>
        <w:rPr>
          <w:rFonts w:ascii="Times New Roman" w:eastAsia="Times New Roman" w:hAnsi="Times New Roman" w:cs="Times New Roman"/>
          <w:sz w:val="24"/>
          <w:szCs w:val="24"/>
          <w:lang w:eastAsia="it-IT"/>
        </w:rPr>
      </w:pPr>
    </w:p>
    <w:p w14:paraId="46CF84A2" w14:textId="589795A7" w:rsidR="00517D58" w:rsidRDefault="00517D58" w:rsidP="00F56356">
      <w:pPr>
        <w:spacing w:after="0" w:line="360" w:lineRule="auto"/>
        <w:rPr>
          <w:rFonts w:ascii="Times New Roman" w:eastAsia="Times New Roman" w:hAnsi="Times New Roman" w:cs="Times New Roman"/>
          <w:sz w:val="24"/>
          <w:szCs w:val="24"/>
          <w:lang w:eastAsia="it-IT"/>
        </w:rPr>
      </w:pPr>
    </w:p>
    <w:p w14:paraId="4A550BD9" w14:textId="3BB4580D" w:rsidR="00517D58" w:rsidRDefault="00517D58" w:rsidP="00F56356">
      <w:pPr>
        <w:spacing w:after="0" w:line="360" w:lineRule="auto"/>
        <w:rPr>
          <w:rFonts w:ascii="Times New Roman" w:eastAsia="Times New Roman" w:hAnsi="Times New Roman" w:cs="Times New Roman"/>
          <w:sz w:val="24"/>
          <w:szCs w:val="24"/>
          <w:lang w:eastAsia="it-IT"/>
        </w:rPr>
      </w:pPr>
    </w:p>
    <w:p w14:paraId="10A2CADC" w14:textId="504D0F1F" w:rsidR="00517D58" w:rsidRDefault="00517D58" w:rsidP="00F56356">
      <w:pPr>
        <w:spacing w:after="0" w:line="360" w:lineRule="auto"/>
        <w:rPr>
          <w:rFonts w:ascii="Times New Roman" w:eastAsia="Times New Roman" w:hAnsi="Times New Roman" w:cs="Times New Roman"/>
          <w:sz w:val="24"/>
          <w:szCs w:val="24"/>
          <w:lang w:eastAsia="it-IT"/>
        </w:rPr>
      </w:pPr>
    </w:p>
    <w:p w14:paraId="3749F0C1" w14:textId="2AA5E372" w:rsidR="00517D58" w:rsidRDefault="00517D58" w:rsidP="00F56356">
      <w:pPr>
        <w:spacing w:after="0" w:line="360" w:lineRule="auto"/>
        <w:rPr>
          <w:rFonts w:ascii="Times New Roman" w:eastAsia="Times New Roman" w:hAnsi="Times New Roman" w:cs="Times New Roman"/>
          <w:sz w:val="24"/>
          <w:szCs w:val="24"/>
          <w:lang w:eastAsia="it-IT"/>
        </w:rPr>
      </w:pPr>
    </w:p>
    <w:p w14:paraId="39136342" w14:textId="37D3A275" w:rsidR="00517D58" w:rsidRDefault="00517D58" w:rsidP="00F56356">
      <w:pPr>
        <w:spacing w:after="0" w:line="360" w:lineRule="auto"/>
        <w:rPr>
          <w:rFonts w:ascii="Times New Roman" w:eastAsia="Times New Roman" w:hAnsi="Times New Roman" w:cs="Times New Roman"/>
          <w:sz w:val="24"/>
          <w:szCs w:val="24"/>
          <w:lang w:eastAsia="it-IT"/>
        </w:rPr>
      </w:pPr>
    </w:p>
    <w:p w14:paraId="4D0C4748" w14:textId="6B177AC2" w:rsidR="00517D58" w:rsidRDefault="00517D58" w:rsidP="00F56356">
      <w:pPr>
        <w:spacing w:after="0" w:line="360" w:lineRule="auto"/>
        <w:rPr>
          <w:rFonts w:ascii="Times New Roman" w:eastAsia="Times New Roman" w:hAnsi="Times New Roman" w:cs="Times New Roman"/>
          <w:sz w:val="24"/>
          <w:szCs w:val="24"/>
          <w:lang w:eastAsia="it-IT"/>
        </w:rPr>
      </w:pPr>
    </w:p>
    <w:p w14:paraId="7ECD4A00" w14:textId="249CE700" w:rsidR="00517D58" w:rsidRDefault="00517D58" w:rsidP="00F56356">
      <w:pPr>
        <w:spacing w:after="0" w:line="360" w:lineRule="auto"/>
        <w:rPr>
          <w:rFonts w:ascii="Times New Roman" w:eastAsia="Times New Roman" w:hAnsi="Times New Roman" w:cs="Times New Roman"/>
          <w:sz w:val="24"/>
          <w:szCs w:val="24"/>
          <w:lang w:eastAsia="it-IT"/>
        </w:rPr>
      </w:pPr>
    </w:p>
    <w:p w14:paraId="3256AE5D" w14:textId="426BE493" w:rsidR="00517D58" w:rsidRDefault="00517D58" w:rsidP="00F56356">
      <w:pPr>
        <w:spacing w:after="0" w:line="360" w:lineRule="auto"/>
        <w:rPr>
          <w:rFonts w:ascii="Times New Roman" w:eastAsia="Times New Roman" w:hAnsi="Times New Roman" w:cs="Times New Roman"/>
          <w:sz w:val="24"/>
          <w:szCs w:val="24"/>
          <w:lang w:eastAsia="it-IT"/>
        </w:rPr>
      </w:pPr>
    </w:p>
    <w:p w14:paraId="402CBD7C" w14:textId="0F6E0EF9" w:rsidR="00517D58" w:rsidRDefault="00517D58" w:rsidP="00F56356">
      <w:pPr>
        <w:spacing w:after="0" w:line="360" w:lineRule="auto"/>
        <w:rPr>
          <w:rFonts w:ascii="Times New Roman" w:eastAsia="Times New Roman" w:hAnsi="Times New Roman" w:cs="Times New Roman"/>
          <w:sz w:val="24"/>
          <w:szCs w:val="24"/>
          <w:lang w:eastAsia="it-IT"/>
        </w:rPr>
      </w:pPr>
    </w:p>
    <w:p w14:paraId="0C412088" w14:textId="3989AC1E" w:rsidR="00517D58" w:rsidRDefault="00517D58" w:rsidP="00F56356">
      <w:pPr>
        <w:spacing w:after="0" w:line="360" w:lineRule="auto"/>
        <w:rPr>
          <w:rFonts w:ascii="Times New Roman" w:eastAsia="Times New Roman" w:hAnsi="Times New Roman" w:cs="Times New Roman"/>
          <w:sz w:val="24"/>
          <w:szCs w:val="24"/>
          <w:lang w:eastAsia="it-IT"/>
        </w:rPr>
      </w:pPr>
    </w:p>
    <w:p w14:paraId="719CC2E7" w14:textId="25EE071D" w:rsidR="00517D58" w:rsidRDefault="00517D58" w:rsidP="00F56356">
      <w:pPr>
        <w:spacing w:after="0" w:line="360" w:lineRule="auto"/>
        <w:rPr>
          <w:rFonts w:ascii="Times New Roman" w:eastAsia="Times New Roman" w:hAnsi="Times New Roman" w:cs="Times New Roman"/>
          <w:sz w:val="24"/>
          <w:szCs w:val="24"/>
          <w:lang w:eastAsia="it-IT"/>
        </w:rPr>
      </w:pPr>
    </w:p>
    <w:p w14:paraId="3793AC4B" w14:textId="37457B09" w:rsidR="00517D58" w:rsidRDefault="00517D58" w:rsidP="00F56356">
      <w:pPr>
        <w:spacing w:after="0" w:line="360" w:lineRule="auto"/>
        <w:rPr>
          <w:rFonts w:ascii="Times New Roman" w:eastAsia="Times New Roman" w:hAnsi="Times New Roman" w:cs="Times New Roman"/>
          <w:sz w:val="24"/>
          <w:szCs w:val="24"/>
          <w:lang w:eastAsia="it-IT"/>
        </w:rPr>
      </w:pPr>
    </w:p>
    <w:p w14:paraId="7F8DCE2D" w14:textId="7E2B803E" w:rsidR="00517D58" w:rsidRDefault="00517D58" w:rsidP="00F56356">
      <w:pPr>
        <w:spacing w:after="0" w:line="360" w:lineRule="auto"/>
        <w:rPr>
          <w:rFonts w:ascii="Times New Roman" w:eastAsia="Times New Roman" w:hAnsi="Times New Roman" w:cs="Times New Roman"/>
          <w:sz w:val="24"/>
          <w:szCs w:val="24"/>
          <w:lang w:eastAsia="it-IT"/>
        </w:rPr>
      </w:pPr>
    </w:p>
    <w:p w14:paraId="65E3B9F1" w14:textId="6C613049" w:rsidR="00517D58" w:rsidRDefault="00517D58" w:rsidP="00F56356">
      <w:pPr>
        <w:spacing w:after="0" w:line="360" w:lineRule="auto"/>
        <w:rPr>
          <w:rFonts w:ascii="Times New Roman" w:eastAsia="Times New Roman" w:hAnsi="Times New Roman" w:cs="Times New Roman"/>
          <w:sz w:val="24"/>
          <w:szCs w:val="24"/>
          <w:lang w:eastAsia="it-IT"/>
        </w:rPr>
      </w:pPr>
    </w:p>
    <w:p w14:paraId="67864346" w14:textId="24CFBDDB" w:rsidR="00517D58" w:rsidRDefault="00517D58" w:rsidP="00F56356">
      <w:pPr>
        <w:spacing w:after="0" w:line="360" w:lineRule="auto"/>
        <w:rPr>
          <w:rFonts w:ascii="Times New Roman" w:eastAsia="Times New Roman" w:hAnsi="Times New Roman" w:cs="Times New Roman"/>
          <w:sz w:val="24"/>
          <w:szCs w:val="24"/>
          <w:lang w:eastAsia="it-IT"/>
        </w:rPr>
      </w:pPr>
    </w:p>
    <w:p w14:paraId="50B343D6" w14:textId="083E5B50" w:rsidR="00517D58" w:rsidRDefault="00517D58" w:rsidP="00F56356">
      <w:pPr>
        <w:spacing w:after="0" w:line="360" w:lineRule="auto"/>
        <w:rPr>
          <w:rFonts w:ascii="Times New Roman" w:eastAsia="Times New Roman" w:hAnsi="Times New Roman" w:cs="Times New Roman"/>
          <w:sz w:val="24"/>
          <w:szCs w:val="24"/>
          <w:lang w:eastAsia="it-IT"/>
        </w:rPr>
      </w:pPr>
    </w:p>
    <w:p w14:paraId="5B41B51F" w14:textId="02CE54C9" w:rsidR="00517D58" w:rsidRDefault="00517D58" w:rsidP="00F56356">
      <w:pPr>
        <w:spacing w:after="0" w:line="360" w:lineRule="auto"/>
        <w:rPr>
          <w:rFonts w:ascii="Times New Roman" w:eastAsia="Times New Roman" w:hAnsi="Times New Roman" w:cs="Times New Roman"/>
          <w:sz w:val="24"/>
          <w:szCs w:val="24"/>
          <w:lang w:eastAsia="it-IT"/>
        </w:rPr>
      </w:pPr>
    </w:p>
    <w:p w14:paraId="4097536C" w14:textId="08683D1E" w:rsidR="00517D58" w:rsidRDefault="00517D58" w:rsidP="00F56356">
      <w:pPr>
        <w:spacing w:after="0" w:line="360" w:lineRule="auto"/>
        <w:rPr>
          <w:rFonts w:ascii="Times New Roman" w:eastAsia="Times New Roman" w:hAnsi="Times New Roman" w:cs="Times New Roman"/>
          <w:sz w:val="24"/>
          <w:szCs w:val="24"/>
          <w:lang w:eastAsia="it-IT"/>
        </w:rPr>
      </w:pPr>
    </w:p>
    <w:p w14:paraId="21FD5B14" w14:textId="0F9BC411" w:rsidR="00517D58" w:rsidRDefault="00517D58" w:rsidP="00F56356">
      <w:pPr>
        <w:spacing w:after="0" w:line="360" w:lineRule="auto"/>
        <w:rPr>
          <w:rFonts w:ascii="Times New Roman" w:eastAsia="Times New Roman" w:hAnsi="Times New Roman" w:cs="Times New Roman"/>
          <w:sz w:val="24"/>
          <w:szCs w:val="24"/>
          <w:lang w:eastAsia="it-IT"/>
        </w:rPr>
      </w:pPr>
    </w:p>
    <w:p w14:paraId="65BD83AF" w14:textId="3271C3AA" w:rsidR="00517D58" w:rsidRDefault="00517D58" w:rsidP="00F56356">
      <w:pPr>
        <w:spacing w:after="0" w:line="360" w:lineRule="auto"/>
        <w:rPr>
          <w:rFonts w:ascii="Times New Roman" w:eastAsia="Times New Roman" w:hAnsi="Times New Roman" w:cs="Times New Roman"/>
          <w:sz w:val="24"/>
          <w:szCs w:val="24"/>
          <w:lang w:eastAsia="it-IT"/>
        </w:rPr>
      </w:pPr>
    </w:p>
    <w:p w14:paraId="516C2A99" w14:textId="3DAB0141" w:rsidR="00517D58" w:rsidRDefault="00517D58" w:rsidP="00F56356">
      <w:pPr>
        <w:spacing w:after="0" w:line="360" w:lineRule="auto"/>
        <w:rPr>
          <w:rFonts w:ascii="Times New Roman" w:eastAsia="Times New Roman" w:hAnsi="Times New Roman" w:cs="Times New Roman"/>
          <w:sz w:val="24"/>
          <w:szCs w:val="24"/>
          <w:lang w:eastAsia="it-IT"/>
        </w:rPr>
      </w:pPr>
    </w:p>
    <w:p w14:paraId="645BF400" w14:textId="36AC9897" w:rsidR="00517D58" w:rsidRDefault="00517D58" w:rsidP="00F56356">
      <w:pPr>
        <w:spacing w:after="0" w:line="360" w:lineRule="auto"/>
        <w:rPr>
          <w:rFonts w:ascii="Times New Roman" w:eastAsia="Times New Roman" w:hAnsi="Times New Roman" w:cs="Times New Roman"/>
          <w:sz w:val="24"/>
          <w:szCs w:val="24"/>
          <w:lang w:eastAsia="it-IT"/>
        </w:rPr>
      </w:pPr>
    </w:p>
    <w:p w14:paraId="1666A49C" w14:textId="5562D785" w:rsidR="00517D58" w:rsidRDefault="00517D58" w:rsidP="00F56356">
      <w:pPr>
        <w:spacing w:after="0" w:line="36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anchor distT="0" distB="0" distL="114300" distR="114300" simplePos="0" relativeHeight="251758592" behindDoc="1" locked="0" layoutInCell="1" allowOverlap="1" wp14:anchorId="55F78E99" wp14:editId="5EF1E9E5">
            <wp:simplePos x="0" y="0"/>
            <wp:positionH relativeFrom="column">
              <wp:posOffset>3810</wp:posOffset>
            </wp:positionH>
            <wp:positionV relativeFrom="paragraph">
              <wp:posOffset>3810</wp:posOffset>
            </wp:positionV>
            <wp:extent cx="5815965" cy="8401050"/>
            <wp:effectExtent l="0" t="0" r="0" b="0"/>
            <wp:wrapTight wrapText="bothSides">
              <wp:wrapPolygon edited="0">
                <wp:start x="0" y="0"/>
                <wp:lineTo x="0" y="21551"/>
                <wp:lineTo x="21508" y="21551"/>
                <wp:lineTo x="21508" y="0"/>
                <wp:lineTo x="0" y="0"/>
              </wp:wrapPolygon>
            </wp:wrapTight>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15965" cy="8401050"/>
                    </a:xfrm>
                    <a:prstGeom prst="rect">
                      <a:avLst/>
                    </a:prstGeom>
                    <a:noFill/>
                  </pic:spPr>
                </pic:pic>
              </a:graphicData>
            </a:graphic>
          </wp:anchor>
        </w:drawing>
      </w:r>
    </w:p>
    <w:p w14:paraId="0F7C8131" w14:textId="3674E308" w:rsidR="00517D58" w:rsidRDefault="00517D58" w:rsidP="00F56356">
      <w:pPr>
        <w:spacing w:after="0" w:line="360" w:lineRule="auto"/>
        <w:rPr>
          <w:rFonts w:ascii="Times New Roman" w:eastAsia="Times New Roman" w:hAnsi="Times New Roman" w:cs="Times New Roman"/>
          <w:sz w:val="24"/>
          <w:szCs w:val="24"/>
          <w:lang w:eastAsia="it-IT"/>
        </w:rPr>
      </w:pPr>
    </w:p>
    <w:p w14:paraId="3D368685" w14:textId="6FD36345" w:rsidR="00517D58" w:rsidRDefault="00517D58" w:rsidP="00F56356">
      <w:pPr>
        <w:spacing w:after="0" w:line="360" w:lineRule="auto"/>
        <w:rPr>
          <w:rFonts w:ascii="Times New Roman" w:eastAsia="Times New Roman" w:hAnsi="Times New Roman" w:cs="Times New Roman"/>
          <w:sz w:val="24"/>
          <w:szCs w:val="24"/>
          <w:lang w:eastAsia="it-IT"/>
        </w:rPr>
      </w:pPr>
    </w:p>
    <w:p w14:paraId="1B944ECC" w14:textId="4FA0F7F7" w:rsidR="00517D58" w:rsidRDefault="00517D58" w:rsidP="00F56356">
      <w:pPr>
        <w:spacing w:after="0" w:line="360" w:lineRule="auto"/>
        <w:rPr>
          <w:rFonts w:ascii="Times New Roman" w:eastAsia="Times New Roman" w:hAnsi="Times New Roman" w:cs="Times New Roman"/>
          <w:sz w:val="24"/>
          <w:szCs w:val="24"/>
          <w:lang w:eastAsia="it-IT"/>
        </w:rPr>
      </w:pPr>
    </w:p>
    <w:p w14:paraId="6D55AFF2" w14:textId="0B4BC25D" w:rsidR="00485DDA" w:rsidRDefault="00485DDA" w:rsidP="00F56356">
      <w:pPr>
        <w:spacing w:after="0" w:line="360" w:lineRule="auto"/>
        <w:rPr>
          <w:rFonts w:ascii="Times New Roman" w:eastAsia="Times New Roman" w:hAnsi="Times New Roman" w:cs="Times New Roman"/>
          <w:sz w:val="24"/>
          <w:szCs w:val="24"/>
          <w:lang w:eastAsia="it-IT"/>
        </w:rPr>
      </w:pPr>
    </w:p>
    <w:p w14:paraId="746C2F8A" w14:textId="7568C574" w:rsidR="00485DDA" w:rsidRDefault="00485DDA" w:rsidP="00F56356">
      <w:pPr>
        <w:spacing w:after="0" w:line="360" w:lineRule="auto"/>
        <w:rPr>
          <w:rFonts w:ascii="Times New Roman" w:eastAsia="Times New Roman" w:hAnsi="Times New Roman" w:cs="Times New Roman"/>
          <w:sz w:val="24"/>
          <w:szCs w:val="24"/>
          <w:lang w:eastAsia="it-IT"/>
        </w:rPr>
      </w:pPr>
    </w:p>
    <w:p w14:paraId="4F6BEAF3" w14:textId="7A215732" w:rsidR="00485DDA" w:rsidRDefault="00485DDA" w:rsidP="00F56356">
      <w:pPr>
        <w:spacing w:after="0" w:line="360" w:lineRule="auto"/>
        <w:rPr>
          <w:rFonts w:ascii="Times New Roman" w:eastAsia="Times New Roman" w:hAnsi="Times New Roman" w:cs="Times New Roman"/>
          <w:sz w:val="24"/>
          <w:szCs w:val="24"/>
          <w:lang w:eastAsia="it-IT"/>
        </w:rPr>
      </w:pPr>
    </w:p>
    <w:p w14:paraId="6C1B2115" w14:textId="67D10FA6" w:rsidR="00485DDA" w:rsidRDefault="00485DDA" w:rsidP="00F56356">
      <w:pPr>
        <w:spacing w:after="0" w:line="360" w:lineRule="auto"/>
        <w:rPr>
          <w:rFonts w:ascii="Times New Roman" w:eastAsia="Times New Roman" w:hAnsi="Times New Roman" w:cs="Times New Roman"/>
          <w:sz w:val="24"/>
          <w:szCs w:val="24"/>
          <w:lang w:eastAsia="it-IT"/>
        </w:rPr>
      </w:pPr>
    </w:p>
    <w:p w14:paraId="5A52383B" w14:textId="1F4422FA" w:rsidR="00485DDA" w:rsidRDefault="00485DDA" w:rsidP="00F56356">
      <w:pPr>
        <w:spacing w:after="0" w:line="360" w:lineRule="auto"/>
        <w:rPr>
          <w:rFonts w:ascii="Times New Roman" w:eastAsia="Times New Roman" w:hAnsi="Times New Roman" w:cs="Times New Roman"/>
          <w:sz w:val="24"/>
          <w:szCs w:val="24"/>
          <w:lang w:eastAsia="it-IT"/>
        </w:rPr>
      </w:pPr>
    </w:p>
    <w:p w14:paraId="13FE87BF" w14:textId="26AA6356" w:rsidR="00485DDA" w:rsidRDefault="00485DDA" w:rsidP="00F56356">
      <w:pPr>
        <w:spacing w:after="0" w:line="360" w:lineRule="auto"/>
        <w:rPr>
          <w:rFonts w:ascii="Times New Roman" w:eastAsia="Times New Roman" w:hAnsi="Times New Roman" w:cs="Times New Roman"/>
          <w:sz w:val="24"/>
          <w:szCs w:val="24"/>
          <w:lang w:eastAsia="it-IT"/>
        </w:rPr>
      </w:pPr>
    </w:p>
    <w:p w14:paraId="71B18F83" w14:textId="43DB9A69" w:rsidR="00485DDA" w:rsidRDefault="00485DDA" w:rsidP="00F56356">
      <w:pPr>
        <w:spacing w:after="0" w:line="360" w:lineRule="auto"/>
        <w:rPr>
          <w:rFonts w:ascii="Times New Roman" w:eastAsia="Times New Roman" w:hAnsi="Times New Roman" w:cs="Times New Roman"/>
          <w:sz w:val="24"/>
          <w:szCs w:val="24"/>
          <w:lang w:eastAsia="it-IT"/>
        </w:rPr>
      </w:pPr>
    </w:p>
    <w:p w14:paraId="5ABF97DE" w14:textId="033204CE" w:rsidR="00485DDA" w:rsidRDefault="00485DDA" w:rsidP="00F56356">
      <w:pPr>
        <w:spacing w:after="0" w:line="360" w:lineRule="auto"/>
        <w:rPr>
          <w:rFonts w:ascii="Times New Roman" w:eastAsia="Times New Roman" w:hAnsi="Times New Roman" w:cs="Times New Roman"/>
          <w:sz w:val="24"/>
          <w:szCs w:val="24"/>
          <w:lang w:eastAsia="it-IT"/>
        </w:rPr>
      </w:pPr>
    </w:p>
    <w:p w14:paraId="30EF0E8E" w14:textId="5E0E2E82" w:rsidR="00485DDA" w:rsidRDefault="00485DDA" w:rsidP="00F56356">
      <w:pPr>
        <w:spacing w:after="0" w:line="360" w:lineRule="auto"/>
        <w:rPr>
          <w:rFonts w:ascii="Times New Roman" w:eastAsia="Times New Roman" w:hAnsi="Times New Roman" w:cs="Times New Roman"/>
          <w:sz w:val="24"/>
          <w:szCs w:val="24"/>
          <w:lang w:eastAsia="it-IT"/>
        </w:rPr>
      </w:pPr>
    </w:p>
    <w:p w14:paraId="611B28A9" w14:textId="69F3C9C3" w:rsidR="00485DDA" w:rsidRDefault="00485DDA" w:rsidP="00F56356">
      <w:pPr>
        <w:spacing w:after="0" w:line="360" w:lineRule="auto"/>
        <w:rPr>
          <w:rFonts w:ascii="Times New Roman" w:eastAsia="Times New Roman" w:hAnsi="Times New Roman" w:cs="Times New Roman"/>
          <w:sz w:val="24"/>
          <w:szCs w:val="24"/>
          <w:lang w:eastAsia="it-IT"/>
        </w:rPr>
      </w:pPr>
    </w:p>
    <w:p w14:paraId="48902D09" w14:textId="5E1C7B06" w:rsidR="00485DDA" w:rsidRDefault="00485DDA" w:rsidP="00F56356">
      <w:pPr>
        <w:spacing w:after="0" w:line="360" w:lineRule="auto"/>
        <w:rPr>
          <w:rFonts w:ascii="Times New Roman" w:eastAsia="Times New Roman" w:hAnsi="Times New Roman" w:cs="Times New Roman"/>
          <w:sz w:val="24"/>
          <w:szCs w:val="24"/>
          <w:lang w:eastAsia="it-IT"/>
        </w:rPr>
      </w:pPr>
    </w:p>
    <w:p w14:paraId="05A87D55" w14:textId="2BDCEBCA" w:rsidR="00485DDA" w:rsidRDefault="00485DDA" w:rsidP="00F56356">
      <w:pPr>
        <w:spacing w:after="0" w:line="360" w:lineRule="auto"/>
        <w:rPr>
          <w:rFonts w:ascii="Times New Roman" w:eastAsia="Times New Roman" w:hAnsi="Times New Roman" w:cs="Times New Roman"/>
          <w:sz w:val="24"/>
          <w:szCs w:val="24"/>
          <w:lang w:eastAsia="it-IT"/>
        </w:rPr>
      </w:pPr>
    </w:p>
    <w:p w14:paraId="554E69EA" w14:textId="3C42256D" w:rsidR="00485DDA" w:rsidRDefault="00485DDA" w:rsidP="00F56356">
      <w:pPr>
        <w:spacing w:after="0" w:line="360" w:lineRule="auto"/>
        <w:rPr>
          <w:rFonts w:ascii="Times New Roman" w:eastAsia="Times New Roman" w:hAnsi="Times New Roman" w:cs="Times New Roman"/>
          <w:sz w:val="24"/>
          <w:szCs w:val="24"/>
          <w:lang w:eastAsia="it-IT"/>
        </w:rPr>
      </w:pPr>
    </w:p>
    <w:p w14:paraId="50A2A442" w14:textId="0A8453C4" w:rsidR="00485DDA" w:rsidRDefault="00485DDA" w:rsidP="00F56356">
      <w:pPr>
        <w:spacing w:after="0" w:line="360" w:lineRule="auto"/>
        <w:rPr>
          <w:rFonts w:ascii="Times New Roman" w:eastAsia="Times New Roman" w:hAnsi="Times New Roman" w:cs="Times New Roman"/>
          <w:sz w:val="24"/>
          <w:szCs w:val="24"/>
          <w:lang w:eastAsia="it-IT"/>
        </w:rPr>
      </w:pPr>
    </w:p>
    <w:p w14:paraId="118E4D3D" w14:textId="1B35D822" w:rsidR="00485DDA" w:rsidRDefault="00485DDA" w:rsidP="00F56356">
      <w:pPr>
        <w:spacing w:after="0" w:line="360" w:lineRule="auto"/>
        <w:rPr>
          <w:rFonts w:ascii="Times New Roman" w:eastAsia="Times New Roman" w:hAnsi="Times New Roman" w:cs="Times New Roman"/>
          <w:sz w:val="24"/>
          <w:szCs w:val="24"/>
          <w:lang w:eastAsia="it-IT"/>
        </w:rPr>
      </w:pPr>
    </w:p>
    <w:p w14:paraId="7BB141F3" w14:textId="5A3C10EB" w:rsidR="00485DDA" w:rsidRDefault="00485DDA" w:rsidP="00F56356">
      <w:pPr>
        <w:spacing w:after="0" w:line="360" w:lineRule="auto"/>
        <w:rPr>
          <w:rFonts w:ascii="Times New Roman" w:eastAsia="Times New Roman" w:hAnsi="Times New Roman" w:cs="Times New Roman"/>
          <w:sz w:val="24"/>
          <w:szCs w:val="24"/>
          <w:lang w:eastAsia="it-IT"/>
        </w:rPr>
      </w:pPr>
    </w:p>
    <w:p w14:paraId="4D61FB23" w14:textId="42EC398B" w:rsidR="00485DDA" w:rsidRDefault="00485DDA" w:rsidP="00F56356">
      <w:pPr>
        <w:spacing w:after="0" w:line="360" w:lineRule="auto"/>
        <w:rPr>
          <w:rFonts w:ascii="Times New Roman" w:eastAsia="Times New Roman" w:hAnsi="Times New Roman" w:cs="Times New Roman"/>
          <w:sz w:val="24"/>
          <w:szCs w:val="24"/>
          <w:lang w:eastAsia="it-IT"/>
        </w:rPr>
      </w:pPr>
    </w:p>
    <w:p w14:paraId="7B685C70" w14:textId="6DAF37CF" w:rsidR="00485DDA" w:rsidRDefault="00485DDA" w:rsidP="00F56356">
      <w:pPr>
        <w:spacing w:after="0" w:line="360" w:lineRule="auto"/>
        <w:rPr>
          <w:rFonts w:ascii="Times New Roman" w:eastAsia="Times New Roman" w:hAnsi="Times New Roman" w:cs="Times New Roman"/>
          <w:sz w:val="24"/>
          <w:szCs w:val="24"/>
          <w:lang w:eastAsia="it-IT"/>
        </w:rPr>
      </w:pPr>
    </w:p>
    <w:p w14:paraId="75FCFB9A" w14:textId="054D4972" w:rsidR="00485DDA" w:rsidRDefault="00485DDA" w:rsidP="00F56356">
      <w:pPr>
        <w:spacing w:after="0" w:line="360" w:lineRule="auto"/>
        <w:rPr>
          <w:rFonts w:ascii="Times New Roman" w:eastAsia="Times New Roman" w:hAnsi="Times New Roman" w:cs="Times New Roman"/>
          <w:sz w:val="24"/>
          <w:szCs w:val="24"/>
          <w:lang w:eastAsia="it-IT"/>
        </w:rPr>
      </w:pPr>
    </w:p>
    <w:p w14:paraId="01074FB1" w14:textId="1088F266" w:rsidR="00485DDA" w:rsidRDefault="00485DDA" w:rsidP="00F56356">
      <w:pPr>
        <w:spacing w:after="0" w:line="360" w:lineRule="auto"/>
        <w:rPr>
          <w:rFonts w:ascii="Times New Roman" w:eastAsia="Times New Roman" w:hAnsi="Times New Roman" w:cs="Times New Roman"/>
          <w:sz w:val="24"/>
          <w:szCs w:val="24"/>
          <w:lang w:eastAsia="it-IT"/>
        </w:rPr>
      </w:pPr>
    </w:p>
    <w:p w14:paraId="70C7F644" w14:textId="423F716C" w:rsidR="00485DDA" w:rsidRDefault="00485DDA" w:rsidP="00F56356">
      <w:pPr>
        <w:spacing w:after="0" w:line="360" w:lineRule="auto"/>
        <w:rPr>
          <w:rFonts w:ascii="Times New Roman" w:eastAsia="Times New Roman" w:hAnsi="Times New Roman" w:cs="Times New Roman"/>
          <w:sz w:val="24"/>
          <w:szCs w:val="24"/>
          <w:lang w:eastAsia="it-IT"/>
        </w:rPr>
      </w:pPr>
    </w:p>
    <w:p w14:paraId="16EF0EE2" w14:textId="6C1AB4FD" w:rsidR="00485DDA" w:rsidRDefault="00485DDA" w:rsidP="00F56356">
      <w:pPr>
        <w:spacing w:after="0" w:line="360" w:lineRule="auto"/>
        <w:rPr>
          <w:rFonts w:ascii="Times New Roman" w:eastAsia="Times New Roman" w:hAnsi="Times New Roman" w:cs="Times New Roman"/>
          <w:sz w:val="24"/>
          <w:szCs w:val="24"/>
          <w:lang w:eastAsia="it-IT"/>
        </w:rPr>
      </w:pPr>
    </w:p>
    <w:p w14:paraId="579E3349" w14:textId="6B226E94" w:rsidR="00485DDA" w:rsidRDefault="00485DDA" w:rsidP="00F56356">
      <w:pPr>
        <w:spacing w:after="0" w:line="360" w:lineRule="auto"/>
        <w:rPr>
          <w:rFonts w:ascii="Times New Roman" w:eastAsia="Times New Roman" w:hAnsi="Times New Roman" w:cs="Times New Roman"/>
          <w:sz w:val="24"/>
          <w:szCs w:val="24"/>
          <w:lang w:eastAsia="it-IT"/>
        </w:rPr>
      </w:pPr>
    </w:p>
    <w:p w14:paraId="22F915A9" w14:textId="48C0AB77" w:rsidR="00485DDA" w:rsidRDefault="00485DDA" w:rsidP="00F56356">
      <w:pPr>
        <w:spacing w:after="0" w:line="360" w:lineRule="auto"/>
        <w:rPr>
          <w:rFonts w:ascii="Times New Roman" w:eastAsia="Times New Roman" w:hAnsi="Times New Roman" w:cs="Times New Roman"/>
          <w:sz w:val="24"/>
          <w:szCs w:val="24"/>
          <w:lang w:eastAsia="it-IT"/>
        </w:rPr>
      </w:pPr>
    </w:p>
    <w:p w14:paraId="227EE17A" w14:textId="789CD8B6" w:rsidR="00485DDA" w:rsidRDefault="00485DDA" w:rsidP="00F56356">
      <w:pPr>
        <w:spacing w:after="0" w:line="360" w:lineRule="auto"/>
        <w:rPr>
          <w:rFonts w:ascii="Times New Roman" w:eastAsia="Times New Roman" w:hAnsi="Times New Roman" w:cs="Times New Roman"/>
          <w:sz w:val="24"/>
          <w:szCs w:val="24"/>
          <w:lang w:eastAsia="it-IT"/>
        </w:rPr>
      </w:pPr>
    </w:p>
    <w:p w14:paraId="3432C4B0" w14:textId="1AB07679" w:rsidR="00485DDA" w:rsidRDefault="00485DDA" w:rsidP="00F56356">
      <w:pPr>
        <w:spacing w:after="0" w:line="360" w:lineRule="auto"/>
        <w:rPr>
          <w:rFonts w:ascii="Times New Roman" w:eastAsia="Times New Roman" w:hAnsi="Times New Roman" w:cs="Times New Roman"/>
          <w:sz w:val="24"/>
          <w:szCs w:val="24"/>
          <w:lang w:eastAsia="it-IT"/>
        </w:rPr>
      </w:pPr>
    </w:p>
    <w:p w14:paraId="7EBDADF6" w14:textId="4DC7A470" w:rsidR="00485DDA" w:rsidRDefault="00485DDA" w:rsidP="00F56356">
      <w:pPr>
        <w:spacing w:after="0" w:line="360" w:lineRule="auto"/>
        <w:rPr>
          <w:rFonts w:ascii="Times New Roman" w:eastAsia="Times New Roman" w:hAnsi="Times New Roman" w:cs="Times New Roman"/>
          <w:sz w:val="24"/>
          <w:szCs w:val="24"/>
          <w:lang w:eastAsia="it-IT"/>
        </w:rPr>
      </w:pPr>
    </w:p>
    <w:p w14:paraId="7EFC3014" w14:textId="2BCD75D7" w:rsidR="00485DDA" w:rsidRDefault="00485DDA" w:rsidP="00F56356">
      <w:pPr>
        <w:spacing w:after="0" w:line="360" w:lineRule="auto"/>
        <w:rPr>
          <w:rFonts w:ascii="Times New Roman" w:eastAsia="Times New Roman" w:hAnsi="Times New Roman" w:cs="Times New Roman"/>
          <w:sz w:val="24"/>
          <w:szCs w:val="24"/>
          <w:lang w:eastAsia="it-IT"/>
        </w:rPr>
      </w:pPr>
    </w:p>
    <w:p w14:paraId="042E7547" w14:textId="0555D2CE" w:rsidR="00485DDA" w:rsidRDefault="00485DDA" w:rsidP="00F56356">
      <w:pPr>
        <w:spacing w:after="0" w:line="360" w:lineRule="auto"/>
        <w:rPr>
          <w:rFonts w:ascii="Times New Roman" w:eastAsia="Times New Roman" w:hAnsi="Times New Roman" w:cs="Times New Roman"/>
          <w:sz w:val="24"/>
          <w:szCs w:val="24"/>
          <w:lang w:eastAsia="it-IT"/>
        </w:rPr>
      </w:pPr>
    </w:p>
    <w:p w14:paraId="4884CA2E" w14:textId="294D1A08" w:rsidR="00485DDA" w:rsidRDefault="00485DDA" w:rsidP="00F56356">
      <w:pPr>
        <w:spacing w:after="0" w:line="360" w:lineRule="auto"/>
        <w:rPr>
          <w:rFonts w:ascii="Times New Roman" w:eastAsia="Times New Roman" w:hAnsi="Times New Roman" w:cs="Times New Roman"/>
          <w:sz w:val="24"/>
          <w:szCs w:val="24"/>
          <w:lang w:eastAsia="it-IT"/>
        </w:rPr>
      </w:pPr>
    </w:p>
    <w:p w14:paraId="0DEC7E26" w14:textId="44B03818" w:rsidR="00485DDA" w:rsidRDefault="00485DDA" w:rsidP="00F56356">
      <w:pPr>
        <w:spacing w:after="0" w:line="360" w:lineRule="auto"/>
        <w:rPr>
          <w:rFonts w:ascii="Times New Roman" w:eastAsia="Times New Roman" w:hAnsi="Times New Roman" w:cs="Times New Roman"/>
          <w:sz w:val="24"/>
          <w:szCs w:val="24"/>
          <w:lang w:eastAsia="it-IT"/>
        </w:rPr>
      </w:pPr>
    </w:p>
    <w:p w14:paraId="3764C4B7" w14:textId="0CA49DF4" w:rsidR="00485DDA" w:rsidRDefault="00485DDA" w:rsidP="00F56356">
      <w:pPr>
        <w:spacing w:after="0" w:line="36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779C7FB0" wp14:editId="4B3D604F">
            <wp:extent cx="5810250" cy="8553450"/>
            <wp:effectExtent l="0" t="0" r="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10250" cy="8553450"/>
                    </a:xfrm>
                    <a:prstGeom prst="rect">
                      <a:avLst/>
                    </a:prstGeom>
                    <a:noFill/>
                  </pic:spPr>
                </pic:pic>
              </a:graphicData>
            </a:graphic>
          </wp:inline>
        </w:drawing>
      </w:r>
    </w:p>
    <w:p w14:paraId="0FBFE6AF" w14:textId="50017894" w:rsidR="00485DDA" w:rsidRDefault="00485DDA" w:rsidP="00F56356">
      <w:pPr>
        <w:spacing w:after="0" w:line="360" w:lineRule="auto"/>
        <w:rPr>
          <w:rFonts w:ascii="Times New Roman" w:eastAsia="Times New Roman" w:hAnsi="Times New Roman" w:cs="Times New Roman"/>
          <w:sz w:val="24"/>
          <w:szCs w:val="24"/>
          <w:lang w:eastAsia="it-IT"/>
        </w:rPr>
      </w:pPr>
    </w:p>
    <w:p w14:paraId="637B97A9" w14:textId="224C58A8" w:rsidR="00485DDA" w:rsidRDefault="00485DDA" w:rsidP="00F56356">
      <w:pPr>
        <w:spacing w:after="0" w:line="360" w:lineRule="auto"/>
        <w:rPr>
          <w:rFonts w:ascii="Times New Roman" w:eastAsia="Times New Roman" w:hAnsi="Times New Roman" w:cs="Times New Roman"/>
          <w:sz w:val="24"/>
          <w:szCs w:val="24"/>
          <w:lang w:eastAsia="it-IT"/>
        </w:rPr>
      </w:pPr>
    </w:p>
    <w:p w14:paraId="65F1F5A7" w14:textId="4B457F66" w:rsidR="00485DDA" w:rsidRDefault="00485DDA" w:rsidP="00F56356">
      <w:pPr>
        <w:spacing w:after="0" w:line="36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498EBD8C" wp14:editId="5EA06B69">
            <wp:extent cx="5742940" cy="8388985"/>
            <wp:effectExtent l="0" t="0" r="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42940" cy="8388985"/>
                    </a:xfrm>
                    <a:prstGeom prst="rect">
                      <a:avLst/>
                    </a:prstGeom>
                    <a:noFill/>
                  </pic:spPr>
                </pic:pic>
              </a:graphicData>
            </a:graphic>
          </wp:inline>
        </w:drawing>
      </w:r>
    </w:p>
    <w:p w14:paraId="2937742A" w14:textId="4F703C22" w:rsidR="00485DDA" w:rsidRDefault="00485DDA" w:rsidP="00F56356">
      <w:pPr>
        <w:spacing w:after="0" w:line="360" w:lineRule="auto"/>
        <w:rPr>
          <w:rFonts w:ascii="Times New Roman" w:eastAsia="Times New Roman" w:hAnsi="Times New Roman" w:cs="Times New Roman"/>
          <w:sz w:val="24"/>
          <w:szCs w:val="24"/>
          <w:lang w:eastAsia="it-IT"/>
        </w:rPr>
      </w:pPr>
    </w:p>
    <w:p w14:paraId="1FBFCC21" w14:textId="1C06D76C" w:rsidR="00485DDA" w:rsidRDefault="00485DDA" w:rsidP="00F56356">
      <w:pPr>
        <w:spacing w:after="0" w:line="360" w:lineRule="auto"/>
        <w:rPr>
          <w:rFonts w:ascii="Times New Roman" w:eastAsia="Times New Roman" w:hAnsi="Times New Roman" w:cs="Times New Roman"/>
          <w:sz w:val="24"/>
          <w:szCs w:val="24"/>
          <w:lang w:eastAsia="it-IT"/>
        </w:rPr>
      </w:pPr>
    </w:p>
    <w:p w14:paraId="4D82FE02" w14:textId="4AFAF189" w:rsidR="00485DDA" w:rsidRDefault="00485DDA" w:rsidP="00F56356">
      <w:pPr>
        <w:spacing w:after="0" w:line="360" w:lineRule="auto"/>
        <w:rPr>
          <w:rFonts w:ascii="Times New Roman" w:eastAsia="Times New Roman" w:hAnsi="Times New Roman" w:cs="Times New Roman"/>
          <w:sz w:val="24"/>
          <w:szCs w:val="24"/>
          <w:lang w:eastAsia="it-IT"/>
        </w:rPr>
      </w:pPr>
    </w:p>
    <w:p w14:paraId="1810F0B6" w14:textId="77777777" w:rsidR="00485DDA" w:rsidRDefault="00485DDA" w:rsidP="00F56356">
      <w:pPr>
        <w:spacing w:after="0" w:line="360" w:lineRule="auto"/>
        <w:rPr>
          <w:rFonts w:ascii="Times New Roman" w:eastAsia="Times New Roman" w:hAnsi="Times New Roman" w:cs="Times New Roman"/>
          <w:sz w:val="24"/>
          <w:szCs w:val="24"/>
          <w:lang w:eastAsia="it-IT"/>
        </w:rPr>
      </w:pPr>
    </w:p>
    <w:p w14:paraId="6F0702F7" w14:textId="4435473E" w:rsidR="00F56356" w:rsidRPr="00F56356" w:rsidRDefault="00F56356" w:rsidP="00F56356">
      <w:pPr>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52448" behindDoc="1" locked="0" layoutInCell="1" allowOverlap="1" wp14:anchorId="4FFE5090" wp14:editId="6A6595C0">
            <wp:simplePos x="0" y="0"/>
            <wp:positionH relativeFrom="column">
              <wp:posOffset>304165</wp:posOffset>
            </wp:positionH>
            <wp:positionV relativeFrom="paragraph">
              <wp:posOffset>3175</wp:posOffset>
            </wp:positionV>
            <wp:extent cx="5787390" cy="8429625"/>
            <wp:effectExtent l="0" t="0" r="3810" b="9525"/>
            <wp:wrapTight wrapText="bothSides">
              <wp:wrapPolygon edited="0">
                <wp:start x="0" y="0"/>
                <wp:lineTo x="0" y="21576"/>
                <wp:lineTo x="21543" y="21576"/>
                <wp:lineTo x="21543" y="0"/>
                <wp:lineTo x="0" y="0"/>
              </wp:wrapPolygon>
            </wp:wrapTight>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87390" cy="8429625"/>
                    </a:xfrm>
                    <a:prstGeom prst="rect">
                      <a:avLst/>
                    </a:prstGeom>
                    <a:noFill/>
                    <a:ln>
                      <a:noFill/>
                    </a:ln>
                  </pic:spPr>
                </pic:pic>
              </a:graphicData>
            </a:graphic>
            <wp14:sizeRelH relativeFrom="margin">
              <wp14:pctWidth>0</wp14:pctWidth>
            </wp14:sizeRelH>
          </wp:anchor>
        </w:drawing>
      </w:r>
    </w:p>
    <w:p w14:paraId="7B09B22A"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53472" behindDoc="1" locked="0" layoutInCell="1" allowOverlap="1" wp14:anchorId="562EE71A" wp14:editId="6064B00D">
            <wp:simplePos x="0" y="0"/>
            <wp:positionH relativeFrom="column">
              <wp:posOffset>304165</wp:posOffset>
            </wp:positionH>
            <wp:positionV relativeFrom="paragraph">
              <wp:posOffset>3175</wp:posOffset>
            </wp:positionV>
            <wp:extent cx="5805805" cy="8534400"/>
            <wp:effectExtent l="0" t="0" r="4445" b="0"/>
            <wp:wrapTight wrapText="bothSides">
              <wp:wrapPolygon edited="0">
                <wp:start x="0" y="0"/>
                <wp:lineTo x="0" y="21552"/>
                <wp:lineTo x="21546" y="21552"/>
                <wp:lineTo x="21546" y="0"/>
                <wp:lineTo x="0" y="0"/>
              </wp:wrapPolygon>
            </wp:wrapTight>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805805" cy="8534400"/>
                    </a:xfrm>
                    <a:prstGeom prst="rect">
                      <a:avLst/>
                    </a:prstGeom>
                    <a:noFill/>
                    <a:ln>
                      <a:noFill/>
                    </a:ln>
                  </pic:spPr>
                </pic:pic>
              </a:graphicData>
            </a:graphic>
            <wp14:sizeRelH relativeFrom="margin">
              <wp14:pctWidth>0</wp14:pctWidth>
            </wp14:sizeRelH>
          </wp:anchor>
        </w:drawing>
      </w:r>
    </w:p>
    <w:p w14:paraId="3E04FFF3" w14:textId="66F56681" w:rsidR="00F56356" w:rsidRDefault="00F56356" w:rsidP="00F56356">
      <w:pPr>
        <w:spacing w:after="0" w:line="360" w:lineRule="auto"/>
        <w:rPr>
          <w:rFonts w:ascii="Times New Roman" w:eastAsia="Times New Roman" w:hAnsi="Times New Roman" w:cs="Times New Roman"/>
          <w:sz w:val="24"/>
          <w:szCs w:val="24"/>
          <w:lang w:eastAsia="it-IT"/>
        </w:rPr>
      </w:pPr>
    </w:p>
    <w:p w14:paraId="6F6A61F0" w14:textId="76F6ED64" w:rsidR="00517D58" w:rsidRDefault="00517D58" w:rsidP="00F56356">
      <w:pPr>
        <w:spacing w:after="0" w:line="360" w:lineRule="auto"/>
        <w:rPr>
          <w:rFonts w:ascii="Times New Roman" w:eastAsia="Times New Roman" w:hAnsi="Times New Roman" w:cs="Times New Roman"/>
          <w:sz w:val="24"/>
          <w:szCs w:val="24"/>
          <w:lang w:eastAsia="it-IT"/>
        </w:rPr>
      </w:pPr>
      <w:r w:rsidRPr="00517D58">
        <w:rPr>
          <w:noProof/>
        </w:rPr>
        <w:lastRenderedPageBreak/>
        <w:drawing>
          <wp:inline distT="0" distB="0" distL="0" distR="0" wp14:anchorId="34F91DCB" wp14:editId="697CE1FF">
            <wp:extent cx="6067425" cy="8315325"/>
            <wp:effectExtent l="0" t="0" r="9525" b="9525"/>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067425" cy="8315325"/>
                    </a:xfrm>
                    <a:prstGeom prst="rect">
                      <a:avLst/>
                    </a:prstGeom>
                    <a:noFill/>
                    <a:ln>
                      <a:noFill/>
                    </a:ln>
                  </pic:spPr>
                </pic:pic>
              </a:graphicData>
            </a:graphic>
          </wp:inline>
        </w:drawing>
      </w:r>
    </w:p>
    <w:p w14:paraId="7184D1EE" w14:textId="0F768C5A" w:rsidR="00517D58" w:rsidRDefault="00517D58" w:rsidP="00F56356">
      <w:pPr>
        <w:spacing w:after="0" w:line="360" w:lineRule="auto"/>
        <w:rPr>
          <w:rFonts w:ascii="Times New Roman" w:eastAsia="Times New Roman" w:hAnsi="Times New Roman" w:cs="Times New Roman"/>
          <w:sz w:val="24"/>
          <w:szCs w:val="24"/>
          <w:lang w:eastAsia="it-IT"/>
        </w:rPr>
      </w:pPr>
    </w:p>
    <w:p w14:paraId="51F319F5" w14:textId="77777777" w:rsidR="00517D58" w:rsidRPr="00F56356" w:rsidRDefault="00517D58" w:rsidP="00F56356">
      <w:pPr>
        <w:spacing w:after="0" w:line="360" w:lineRule="auto"/>
        <w:rPr>
          <w:rFonts w:ascii="Times New Roman" w:eastAsia="Times New Roman" w:hAnsi="Times New Roman" w:cs="Times New Roman"/>
          <w:sz w:val="24"/>
          <w:szCs w:val="24"/>
          <w:lang w:eastAsia="it-IT"/>
        </w:rPr>
      </w:pPr>
    </w:p>
    <w:p w14:paraId="60DBEF82"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54496" behindDoc="1" locked="0" layoutInCell="1" allowOverlap="1" wp14:anchorId="11C2DA3D" wp14:editId="7B3AFEC5">
            <wp:simplePos x="0" y="0"/>
            <wp:positionH relativeFrom="column">
              <wp:posOffset>304165</wp:posOffset>
            </wp:positionH>
            <wp:positionV relativeFrom="paragraph">
              <wp:posOffset>3175</wp:posOffset>
            </wp:positionV>
            <wp:extent cx="5796915" cy="7829550"/>
            <wp:effectExtent l="0" t="0" r="0" b="0"/>
            <wp:wrapTight wrapText="bothSides">
              <wp:wrapPolygon edited="0">
                <wp:start x="0" y="0"/>
                <wp:lineTo x="0" y="21547"/>
                <wp:lineTo x="21508" y="21547"/>
                <wp:lineTo x="21508" y="0"/>
                <wp:lineTo x="0" y="0"/>
              </wp:wrapPolygon>
            </wp:wrapTight>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96915" cy="7829550"/>
                    </a:xfrm>
                    <a:prstGeom prst="rect">
                      <a:avLst/>
                    </a:prstGeom>
                    <a:noFill/>
                    <a:ln>
                      <a:noFill/>
                    </a:ln>
                  </pic:spPr>
                </pic:pic>
              </a:graphicData>
            </a:graphic>
            <wp14:sizeRelH relativeFrom="margin">
              <wp14:pctWidth>0</wp14:pctWidth>
            </wp14:sizeRelH>
          </wp:anchor>
        </w:drawing>
      </w:r>
    </w:p>
    <w:p w14:paraId="70802D15"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004E7D30"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5E2545F8"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56FA2963"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anchor distT="0" distB="0" distL="114300" distR="114300" simplePos="0" relativeHeight="251755520" behindDoc="1" locked="0" layoutInCell="1" allowOverlap="1" wp14:anchorId="214CB6A4" wp14:editId="17077AC9">
            <wp:simplePos x="0" y="0"/>
            <wp:positionH relativeFrom="column">
              <wp:posOffset>326390</wp:posOffset>
            </wp:positionH>
            <wp:positionV relativeFrom="paragraph">
              <wp:posOffset>3175</wp:posOffset>
            </wp:positionV>
            <wp:extent cx="5784215" cy="8362950"/>
            <wp:effectExtent l="0" t="0" r="6985" b="0"/>
            <wp:wrapTight wrapText="bothSides">
              <wp:wrapPolygon edited="0">
                <wp:start x="0" y="0"/>
                <wp:lineTo x="0" y="21551"/>
                <wp:lineTo x="21555" y="21551"/>
                <wp:lineTo x="21555" y="0"/>
                <wp:lineTo x="0" y="0"/>
              </wp:wrapPolygon>
            </wp:wrapTight>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84215" cy="8362950"/>
                    </a:xfrm>
                    <a:prstGeom prst="rect">
                      <a:avLst/>
                    </a:prstGeom>
                    <a:noFill/>
                    <a:ln>
                      <a:noFill/>
                    </a:ln>
                  </pic:spPr>
                </pic:pic>
              </a:graphicData>
            </a:graphic>
            <wp14:sizeRelH relativeFrom="margin">
              <wp14:pctWidth>0</wp14:pctWidth>
            </wp14:sizeRelH>
          </wp:anchor>
        </w:drawing>
      </w:r>
    </w:p>
    <w:p w14:paraId="5612B193"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263342D9" w14:textId="63AFB66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17984EA2"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490D617C"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57568" behindDoc="1" locked="0" layoutInCell="1" allowOverlap="1" wp14:anchorId="3F41FFAD" wp14:editId="61FA6A49">
            <wp:simplePos x="0" y="0"/>
            <wp:positionH relativeFrom="column">
              <wp:posOffset>-3994</wp:posOffset>
            </wp:positionH>
            <wp:positionV relativeFrom="paragraph">
              <wp:posOffset>267993</wp:posOffset>
            </wp:positionV>
            <wp:extent cx="6096000" cy="8620125"/>
            <wp:effectExtent l="0" t="0" r="0" b="9525"/>
            <wp:wrapTight wrapText="bothSides">
              <wp:wrapPolygon edited="0">
                <wp:start x="0" y="0"/>
                <wp:lineTo x="0" y="21576"/>
                <wp:lineTo x="21533" y="21576"/>
                <wp:lineTo x="21533" y="0"/>
                <wp:lineTo x="0" y="0"/>
              </wp:wrapPolygon>
            </wp:wrapTight>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096000" cy="8620125"/>
                    </a:xfrm>
                    <a:prstGeom prst="rect">
                      <a:avLst/>
                    </a:prstGeom>
                    <a:noFill/>
                    <a:ln>
                      <a:noFill/>
                    </a:ln>
                  </pic:spPr>
                </pic:pic>
              </a:graphicData>
            </a:graphic>
          </wp:anchor>
        </w:drawing>
      </w:r>
    </w:p>
    <w:p w14:paraId="2161BA93"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5ECC5593" wp14:editId="5FFBC72F">
            <wp:extent cx="6096000" cy="8201025"/>
            <wp:effectExtent l="0" t="0" r="0" b="9525"/>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096000" cy="8201025"/>
                    </a:xfrm>
                    <a:prstGeom prst="rect">
                      <a:avLst/>
                    </a:prstGeom>
                    <a:noFill/>
                    <a:ln>
                      <a:noFill/>
                    </a:ln>
                  </pic:spPr>
                </pic:pic>
              </a:graphicData>
            </a:graphic>
          </wp:inline>
        </w:drawing>
      </w:r>
    </w:p>
    <w:p w14:paraId="3D3F5BCA"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42B12BAD"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21E556C7"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763EDC58"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18 “Politiche di coesione”</w:t>
      </w:r>
    </w:p>
    <w:p w14:paraId="649803D1"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p>
    <w:p w14:paraId="36D75FD6"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7F8478B1"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 xml:space="preserve">Presidenza del Consiglio dei ministri </w:t>
      </w:r>
    </w:p>
    <w:p w14:paraId="18172A58" w14:textId="77777777" w:rsidR="00F56356" w:rsidRPr="00F56356" w:rsidRDefault="00F56356" w:rsidP="00F56356">
      <w:pPr>
        <w:spacing w:after="0" w:line="360" w:lineRule="auto"/>
        <w:ind w:left="284"/>
        <w:jc w:val="both"/>
        <w:rPr>
          <w:rFonts w:ascii="Times New Roman" w:eastAsiaTheme="minorEastAsia" w:hAnsi="Times New Roman" w:cs="Times New Roman"/>
          <w:b/>
          <w:sz w:val="8"/>
          <w:szCs w:val="24"/>
          <w:lang w:eastAsia="it-IT"/>
        </w:rPr>
      </w:pPr>
    </w:p>
    <w:p w14:paraId="4BC0382D"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19 - </w:t>
      </w:r>
      <w:r w:rsidRPr="00F56356">
        <w:rPr>
          <w:rFonts w:ascii="Times New Roman" w:eastAsiaTheme="minorEastAsia" w:hAnsi="Times New Roman" w:cs="Times New Roman"/>
          <w:sz w:val="24"/>
          <w:szCs w:val="24"/>
          <w:lang w:eastAsia="it-IT"/>
        </w:rPr>
        <w:t xml:space="preserve">Casa e assetto urbanistico </w:t>
      </w:r>
    </w:p>
    <w:p w14:paraId="2837F7C2"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Programma</w:t>
      </w:r>
      <w:r w:rsidRPr="00F56356">
        <w:rPr>
          <w:rFonts w:eastAsiaTheme="minorEastAsia" w:cs="Times New Roman"/>
          <w:lang w:eastAsia="it-IT"/>
        </w:rPr>
        <w:t xml:space="preserve"> </w:t>
      </w:r>
      <w:r w:rsidRPr="00F56356">
        <w:rPr>
          <w:rFonts w:ascii="Times New Roman" w:eastAsiaTheme="minorEastAsia" w:hAnsi="Times New Roman" w:cs="Times New Roman"/>
          <w:b/>
          <w:sz w:val="24"/>
          <w:szCs w:val="24"/>
          <w:lang w:eastAsia="it-IT"/>
        </w:rPr>
        <w:t xml:space="preserve">19.1 - </w:t>
      </w:r>
      <w:r w:rsidRPr="00F56356">
        <w:rPr>
          <w:rFonts w:ascii="Times New Roman" w:eastAsiaTheme="minorEastAsia" w:hAnsi="Times New Roman" w:cs="Times New Roman"/>
          <w:sz w:val="24"/>
          <w:szCs w:val="24"/>
          <w:lang w:eastAsia="it-IT"/>
        </w:rPr>
        <w:t>Politiche abitative e riqualificazione periferie</w:t>
      </w:r>
    </w:p>
    <w:p w14:paraId="0628860D" w14:textId="77777777" w:rsidR="00F56356" w:rsidRPr="00F56356" w:rsidRDefault="00F56356" w:rsidP="00F56356">
      <w:pPr>
        <w:spacing w:after="0" w:line="360" w:lineRule="auto"/>
        <w:ind w:left="284"/>
        <w:jc w:val="both"/>
        <w:rPr>
          <w:rFonts w:ascii="Times New Roman" w:eastAsiaTheme="minorEastAsia" w:hAnsi="Times New Roman" w:cs="Times New Roman"/>
          <w:sz w:val="6"/>
          <w:szCs w:val="24"/>
          <w:lang w:eastAsia="it-IT"/>
        </w:rPr>
      </w:pPr>
    </w:p>
    <w:p w14:paraId="5BAB5984"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32 - </w:t>
      </w:r>
      <w:r w:rsidRPr="00F56356">
        <w:rPr>
          <w:rFonts w:ascii="Times New Roman" w:eastAsiaTheme="minorEastAsia" w:hAnsi="Times New Roman" w:cs="Times New Roman"/>
          <w:sz w:val="24"/>
          <w:szCs w:val="24"/>
          <w:lang w:eastAsia="it-IT"/>
        </w:rPr>
        <w:t xml:space="preserve">Servizi istituzionali e generali delle amministrazioni pubbliche </w:t>
      </w:r>
    </w:p>
    <w:p w14:paraId="57961104"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32.4 - </w:t>
      </w:r>
      <w:r w:rsidRPr="00F56356">
        <w:rPr>
          <w:rFonts w:ascii="Times New Roman" w:eastAsiaTheme="minorEastAsia" w:hAnsi="Times New Roman" w:cs="Times New Roman"/>
          <w:sz w:val="24"/>
          <w:szCs w:val="24"/>
          <w:lang w:eastAsia="it-IT"/>
        </w:rPr>
        <w:t>Servizi generali delle strutture pubbliche preposte ad attività formative e ad altre attività trasversali per le pubbliche amministrazioni</w:t>
      </w:r>
    </w:p>
    <w:p w14:paraId="3317AE28"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p>
    <w:p w14:paraId="2E80F6FE"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sz w:val="24"/>
          <w:szCs w:val="24"/>
          <w:lang w:eastAsia="it-IT"/>
        </w:rPr>
        <w:t>1.</w:t>
      </w:r>
      <w:r w:rsidRPr="00F56356">
        <w:rPr>
          <w:rFonts w:ascii="Times New Roman" w:eastAsiaTheme="minorEastAsia" w:hAnsi="Times New Roman" w:cs="Times New Roman"/>
          <w:b/>
          <w:i/>
          <w:sz w:val="24"/>
          <w:szCs w:val="24"/>
          <w:lang w:eastAsia="it-IT"/>
        </w:rPr>
        <w:t xml:space="preserve">  Mission</w:t>
      </w:r>
    </w:p>
    <w:p w14:paraId="24904C89" w14:textId="77777777" w:rsidR="00F56356" w:rsidRPr="00F56356" w:rsidRDefault="00F56356" w:rsidP="00F56356">
      <w:pPr>
        <w:spacing w:line="360" w:lineRule="auto"/>
        <w:ind w:left="284"/>
        <w:jc w:val="both"/>
        <w:rPr>
          <w:rFonts w:eastAsiaTheme="minorEastAsia" w:cs="Times New Roman"/>
          <w:lang w:eastAsia="it-IT"/>
        </w:rPr>
      </w:pPr>
      <w:r w:rsidRPr="00F56356">
        <w:rPr>
          <w:rFonts w:ascii="Times New Roman" w:eastAsiaTheme="minorEastAsia" w:hAnsi="Times New Roman" w:cs="Times New Roman"/>
          <w:sz w:val="24"/>
          <w:szCs w:val="24"/>
          <w:lang w:eastAsia="it-IT"/>
        </w:rPr>
        <w:t xml:space="preserve">Il Centro di responsabilità 18 “Politiche di coesione” opera nell’area funzionale relativa alla promozione e al coordinamento delle politiche di coesione. In particolare, cura il raccordo con le amministrazioni statali e regionali per la predisposizione della programmazione economica e finanziaria e di destinazione territoriale delle risorse della politica di coesione europea e nazionale di natura finanziaria e non finanziaria miranti ad accrescere la coesione territoriale, anche ai fini dell’adozione degli atti di indirizzo e di programmazione relativi all’impiego dei fondi a finalità strutturale dell’Unione europea, nonché all’impiego del Fondo per lo sviluppo e la coesione da realizzare in forma integrata con le risorse europee per lo sviluppo regionale;  promuove e coordina i programmi e gli interventi finanziati dai fondi strutturali, i programmi finanziati dal Fondo per lo sviluppo e la coesione. Cura la valutazione dei risultati delle politiche di coesione ai fini di correzione e riorientamento delle politiche, raccogliendo ed elaborando, in collaborazione con le amministrazioni statali e regionali competenti, informazioni e dati sull’attuazione dei programmi operativi dei fondi a finalità strutturale dell’Unione europea, nonché sull’attuazione del fondo per lo sviluppo e la coesione, anche ai fini dell’adozione delle misure di accelerazione degli interventi necessari, ai sensi dell’articolo 3, comma 3, del decreto legislativo 31 maggio 2011, n. 88. Supporta, inoltre, l’Autorità politica nei rapporti con le istituzioni dell’Unione europea relativi alla fase di definizione delle politiche di sviluppo regionale e di verifica della loro realizzazione, predisponendo, ove necessario, proposte di riprogrammazione; raccoglie ed elabora informazioni, dati e analisi in materia di sviluppo regionale. Cura, altresì, l’istruttoria relativa all’esercizio dei poteri di cui all’articolo 6, comma 6, del decreto legislativo n. 88 del 2011, al fine di assicurare l’efficace utilizzo delle risorse per la politica di coesione e si avvale dell’Agenzia nazionale per l’attrazione degli investimenti e lo sviluppo d’impresa - Invitalia Spa, per dare esecuzione alle </w:t>
      </w:r>
      <w:r w:rsidRPr="00F56356">
        <w:rPr>
          <w:rFonts w:ascii="Times New Roman" w:eastAsiaTheme="minorEastAsia" w:hAnsi="Times New Roman" w:cs="Times New Roman"/>
          <w:sz w:val="24"/>
          <w:szCs w:val="24"/>
          <w:lang w:eastAsia="it-IT"/>
        </w:rPr>
        <w:lastRenderedPageBreak/>
        <w:t xml:space="preserve">determinazioni assunte ai sensi del medesimo articolo 6 e per l’attuazione della politica di coesione, anche attraverso il ricorso alle misure di accelerazione degli interventi strategici, di cui all’articolo 55-bis del decreto-legge 24 gennaio 2012, n. 1, convertito, con modificazioni, dalla legge 24 marzo 2012, n. 27. </w:t>
      </w:r>
    </w:p>
    <w:p w14:paraId="4ED4EA94" w14:textId="77777777" w:rsidR="00F56356" w:rsidRPr="00F56356" w:rsidRDefault="00F56356" w:rsidP="00F56356">
      <w:pPr>
        <w:spacing w:after="0" w:line="360" w:lineRule="auto"/>
        <w:ind w:left="284"/>
        <w:jc w:val="both"/>
        <w:rPr>
          <w:rFonts w:ascii="Times New Roman" w:eastAsiaTheme="minorEastAsia" w:hAnsi="Times New Roman" w:cs="Times New Roman"/>
          <w:b/>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2. Ricostruzione flussi finanziari e aspetti rilevanti della gestione </w:t>
      </w:r>
    </w:p>
    <w:p w14:paraId="5937FC31" w14:textId="77777777" w:rsidR="00F56356" w:rsidRPr="00F56356" w:rsidRDefault="00F56356" w:rsidP="00F56356">
      <w:pPr>
        <w:tabs>
          <w:tab w:val="left" w:pos="0"/>
          <w:tab w:val="left" w:pos="9356"/>
        </w:tabs>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2.1 </w:t>
      </w:r>
      <w:r w:rsidRPr="00F56356">
        <w:rPr>
          <w:rFonts w:ascii="Times New Roman" w:eastAsiaTheme="minorEastAsia" w:hAnsi="Times New Roman" w:cs="Times New Roman"/>
          <w:sz w:val="24"/>
          <w:szCs w:val="24"/>
          <w:lang w:eastAsia="it-IT"/>
        </w:rPr>
        <w:t xml:space="preserve">Le risorse </w:t>
      </w:r>
      <w:r w:rsidRPr="00F56356">
        <w:rPr>
          <w:rFonts w:ascii="Times New Roman" w:eastAsiaTheme="minorEastAsia" w:hAnsi="Times New Roman" w:cs="Times New Roman"/>
          <w:color w:val="000000" w:themeColor="text1"/>
          <w:sz w:val="24"/>
          <w:szCs w:val="24"/>
          <w:lang w:eastAsia="it-IT"/>
        </w:rPr>
        <w:t xml:space="preserve">complessivamente stanziate sono state pari a euro 116.064.154,01, nell’ambito delle quali euro 793,01 riferiti a reiscrizioni di residui passivi perenti ed euro 21.000.000,00 riferiti a riassegnazioni dall’avanzo di esercizio 2021. </w:t>
      </w:r>
    </w:p>
    <w:p w14:paraId="53D2C821"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53.634.096,75,</w:t>
      </w:r>
      <w:r w:rsidRPr="00F56356">
        <w:rPr>
          <w:rFonts w:ascii="Times New Roman" w:eastAsia="Times New Roman" w:hAnsi="Times New Roman" w:cs="Times New Roman"/>
          <w:color w:val="FF0000"/>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con un’economia di bilancio di euro 62.430.057,26. Il totale dei pagamenti riferiti alla competenza è di euro 4.074.913,43, con un indice di capacità di pagamento (rapporto pagato/impegnato) che si attesta al 7,60 per cento.</w:t>
      </w:r>
    </w:p>
    <w:p w14:paraId="58547C25"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14"/>
          <w:szCs w:val="24"/>
          <w:lang w:eastAsia="it-IT"/>
        </w:rPr>
      </w:pPr>
    </w:p>
    <w:p w14:paraId="3C2B6F55"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inline distT="0" distB="0" distL="0" distR="0" wp14:anchorId="59154DA9" wp14:editId="21512257">
            <wp:extent cx="3760978" cy="634113"/>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13808" cy="643020"/>
                    </a:xfrm>
                    <a:prstGeom prst="rect">
                      <a:avLst/>
                    </a:prstGeom>
                    <a:noFill/>
                    <a:ln>
                      <a:noFill/>
                    </a:ln>
                  </pic:spPr>
                </pic:pic>
              </a:graphicData>
            </a:graphic>
          </wp:inline>
        </w:drawing>
      </w:r>
    </w:p>
    <w:p w14:paraId="695AEC30"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color w:val="000000" w:themeColor="text1"/>
          <w:sz w:val="24"/>
          <w:szCs w:val="24"/>
          <w:lang w:eastAsia="it-IT"/>
        </w:rPr>
        <w:drawing>
          <wp:inline distT="0" distB="0" distL="0" distR="0" wp14:anchorId="409F2432" wp14:editId="343C5BAB">
            <wp:extent cx="3853180" cy="1974630"/>
            <wp:effectExtent l="0" t="0" r="0" b="6985"/>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85128" cy="1991002"/>
                    </a:xfrm>
                    <a:prstGeom prst="rect">
                      <a:avLst/>
                    </a:prstGeom>
                    <a:noFill/>
                  </pic:spPr>
                </pic:pic>
              </a:graphicData>
            </a:graphic>
          </wp:inline>
        </w:drawing>
      </w:r>
    </w:p>
    <w:p w14:paraId="6023E53F"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p>
    <w:p w14:paraId="5C1E8CB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126.977,46. Su questi sono stati effettuati pagamenti per euro 45.607,20 e realizzate economie per euro 81.336,26.</w:t>
      </w:r>
    </w:p>
    <w:p w14:paraId="1B09E2E3" w14:textId="77777777" w:rsidR="00F56356" w:rsidRPr="00F56356" w:rsidRDefault="00F56356" w:rsidP="00F56356">
      <w:pPr>
        <w:spacing w:after="0" w:line="360" w:lineRule="auto"/>
        <w:ind w:left="284"/>
        <w:jc w:val="center"/>
        <w:rPr>
          <w:rFonts w:ascii="Times New Roman" w:eastAsia="Times New Roman" w:hAnsi="Times New Roman" w:cs="Times New Roman"/>
          <w:color w:val="000000" w:themeColor="text1"/>
          <w:sz w:val="8"/>
          <w:szCs w:val="24"/>
          <w:lang w:eastAsia="it-IT"/>
        </w:rPr>
      </w:pPr>
      <w:r w:rsidRPr="00F56356">
        <w:rPr>
          <w:rFonts w:ascii="Times New Roman" w:eastAsia="Times New Roman" w:hAnsi="Times New Roman" w:cs="Times New Roman"/>
          <w:color w:val="000000" w:themeColor="text1"/>
          <w:sz w:val="24"/>
          <w:szCs w:val="24"/>
          <w:lang w:eastAsia="it-IT"/>
        </w:rPr>
        <w:t>Indicatori di bilancio</w:t>
      </w:r>
    </w:p>
    <w:tbl>
      <w:tblPr>
        <w:tblW w:w="7080" w:type="dxa"/>
        <w:jc w:val="center"/>
        <w:tblCellMar>
          <w:left w:w="70" w:type="dxa"/>
          <w:right w:w="70" w:type="dxa"/>
        </w:tblCellMar>
        <w:tblLook w:val="04A0" w:firstRow="1" w:lastRow="0" w:firstColumn="1" w:lastColumn="0" w:noHBand="0" w:noVBand="1"/>
      </w:tblPr>
      <w:tblGrid>
        <w:gridCol w:w="907"/>
        <w:gridCol w:w="1523"/>
        <w:gridCol w:w="1393"/>
        <w:gridCol w:w="963"/>
        <w:gridCol w:w="1180"/>
        <w:gridCol w:w="1114"/>
      </w:tblGrid>
      <w:tr w:rsidR="00F56356" w:rsidRPr="00F56356" w14:paraId="12681444" w14:textId="77777777" w:rsidTr="00F56356">
        <w:trPr>
          <w:trHeight w:val="420"/>
          <w:jc w:val="center"/>
        </w:trPr>
        <w:tc>
          <w:tcPr>
            <w:tcW w:w="70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1E917"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DI FUNZIONAMENTO</w:t>
            </w:r>
          </w:p>
        </w:tc>
      </w:tr>
      <w:tr w:rsidR="00F56356" w:rsidRPr="00F56356" w14:paraId="39A54882" w14:textId="77777777" w:rsidTr="00F56356">
        <w:trPr>
          <w:trHeight w:val="465"/>
          <w:jc w:val="center"/>
        </w:trPr>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DE205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23" w:type="dxa"/>
            <w:vMerge w:val="restart"/>
            <w:tcBorders>
              <w:top w:val="nil"/>
              <w:left w:val="single" w:sz="4" w:space="0" w:color="auto"/>
              <w:bottom w:val="single" w:sz="4" w:space="0" w:color="auto"/>
              <w:right w:val="single" w:sz="4" w:space="0" w:color="auto"/>
            </w:tcBorders>
            <w:shd w:val="clear" w:color="auto" w:fill="auto"/>
            <w:vAlign w:val="center"/>
            <w:hideMark/>
          </w:tcPr>
          <w:p w14:paraId="0D8A6BF7"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393" w:type="dxa"/>
            <w:vMerge w:val="restart"/>
            <w:tcBorders>
              <w:top w:val="nil"/>
              <w:left w:val="single" w:sz="4" w:space="0" w:color="auto"/>
              <w:bottom w:val="single" w:sz="4" w:space="0" w:color="auto"/>
              <w:right w:val="single" w:sz="4" w:space="0" w:color="auto"/>
            </w:tcBorders>
            <w:shd w:val="clear" w:color="auto" w:fill="auto"/>
            <w:vAlign w:val="center"/>
            <w:hideMark/>
          </w:tcPr>
          <w:p w14:paraId="125CA079"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257" w:type="dxa"/>
            <w:gridSpan w:val="3"/>
            <w:tcBorders>
              <w:top w:val="single" w:sz="4" w:space="0" w:color="auto"/>
              <w:left w:val="nil"/>
              <w:bottom w:val="single" w:sz="4" w:space="0" w:color="auto"/>
              <w:right w:val="single" w:sz="4" w:space="0" w:color="000000"/>
            </w:tcBorders>
            <w:shd w:val="clear" w:color="auto" w:fill="auto"/>
            <w:vAlign w:val="center"/>
            <w:hideMark/>
          </w:tcPr>
          <w:p w14:paraId="06850F36"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382A91B0" w14:textId="77777777" w:rsidTr="00F56356">
        <w:trPr>
          <w:trHeight w:val="300"/>
          <w:jc w:val="center"/>
        </w:trPr>
        <w:tc>
          <w:tcPr>
            <w:tcW w:w="907" w:type="dxa"/>
            <w:vMerge/>
            <w:tcBorders>
              <w:top w:val="nil"/>
              <w:left w:val="single" w:sz="4" w:space="0" w:color="auto"/>
              <w:bottom w:val="single" w:sz="4" w:space="0" w:color="auto"/>
              <w:right w:val="single" w:sz="4" w:space="0" w:color="auto"/>
            </w:tcBorders>
            <w:vAlign w:val="center"/>
            <w:hideMark/>
          </w:tcPr>
          <w:p w14:paraId="14DB7E6B"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23" w:type="dxa"/>
            <w:vMerge/>
            <w:tcBorders>
              <w:top w:val="nil"/>
              <w:left w:val="single" w:sz="4" w:space="0" w:color="auto"/>
              <w:bottom w:val="single" w:sz="4" w:space="0" w:color="auto"/>
              <w:right w:val="single" w:sz="4" w:space="0" w:color="auto"/>
            </w:tcBorders>
            <w:vAlign w:val="center"/>
            <w:hideMark/>
          </w:tcPr>
          <w:p w14:paraId="438D8485"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393" w:type="dxa"/>
            <w:vMerge/>
            <w:tcBorders>
              <w:top w:val="nil"/>
              <w:left w:val="single" w:sz="4" w:space="0" w:color="auto"/>
              <w:bottom w:val="single" w:sz="4" w:space="0" w:color="auto"/>
              <w:right w:val="single" w:sz="4" w:space="0" w:color="auto"/>
            </w:tcBorders>
            <w:vAlign w:val="center"/>
            <w:hideMark/>
          </w:tcPr>
          <w:p w14:paraId="2721BE41"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63" w:type="dxa"/>
            <w:tcBorders>
              <w:top w:val="nil"/>
              <w:left w:val="nil"/>
              <w:bottom w:val="single" w:sz="4" w:space="0" w:color="auto"/>
              <w:right w:val="single" w:sz="4" w:space="0" w:color="auto"/>
            </w:tcBorders>
            <w:shd w:val="clear" w:color="auto" w:fill="auto"/>
            <w:vAlign w:val="center"/>
            <w:hideMark/>
          </w:tcPr>
          <w:p w14:paraId="548C9895"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80" w:type="dxa"/>
            <w:tcBorders>
              <w:top w:val="nil"/>
              <w:left w:val="nil"/>
              <w:bottom w:val="single" w:sz="4" w:space="0" w:color="auto"/>
              <w:right w:val="single" w:sz="4" w:space="0" w:color="auto"/>
            </w:tcBorders>
            <w:shd w:val="clear" w:color="auto" w:fill="auto"/>
            <w:vAlign w:val="center"/>
            <w:hideMark/>
          </w:tcPr>
          <w:p w14:paraId="30C66538"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14" w:type="dxa"/>
            <w:tcBorders>
              <w:top w:val="nil"/>
              <w:left w:val="nil"/>
              <w:bottom w:val="single" w:sz="4" w:space="0" w:color="auto"/>
              <w:right w:val="single" w:sz="4" w:space="0" w:color="auto"/>
            </w:tcBorders>
            <w:shd w:val="clear" w:color="auto" w:fill="auto"/>
            <w:vAlign w:val="center"/>
            <w:hideMark/>
          </w:tcPr>
          <w:p w14:paraId="4625EE0F"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78A121C1" w14:textId="77777777" w:rsidTr="00F56356">
        <w:trPr>
          <w:trHeight w:val="240"/>
          <w:jc w:val="center"/>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5423D76A"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181</w:t>
            </w:r>
          </w:p>
        </w:tc>
        <w:tc>
          <w:tcPr>
            <w:tcW w:w="1523" w:type="dxa"/>
            <w:tcBorders>
              <w:top w:val="nil"/>
              <w:left w:val="nil"/>
              <w:bottom w:val="single" w:sz="4" w:space="0" w:color="auto"/>
              <w:right w:val="single" w:sz="4" w:space="0" w:color="auto"/>
            </w:tcBorders>
            <w:shd w:val="clear" w:color="000000" w:fill="FFFFFF"/>
            <w:noWrap/>
            <w:vAlign w:val="center"/>
            <w:hideMark/>
          </w:tcPr>
          <w:p w14:paraId="7E0BEC7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120.709,59</w:t>
            </w:r>
          </w:p>
        </w:tc>
        <w:tc>
          <w:tcPr>
            <w:tcW w:w="1393" w:type="dxa"/>
            <w:tcBorders>
              <w:top w:val="nil"/>
              <w:left w:val="nil"/>
              <w:bottom w:val="single" w:sz="4" w:space="0" w:color="auto"/>
              <w:right w:val="single" w:sz="4" w:space="0" w:color="auto"/>
            </w:tcBorders>
            <w:shd w:val="clear" w:color="000000" w:fill="FFFFFF"/>
            <w:noWrap/>
            <w:vAlign w:val="center"/>
            <w:hideMark/>
          </w:tcPr>
          <w:p w14:paraId="2A7BDE8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3" w:type="dxa"/>
            <w:tcBorders>
              <w:top w:val="nil"/>
              <w:left w:val="nil"/>
              <w:bottom w:val="single" w:sz="4" w:space="0" w:color="auto"/>
              <w:right w:val="single" w:sz="4" w:space="0" w:color="auto"/>
            </w:tcBorders>
            <w:shd w:val="clear" w:color="000000" w:fill="FFFFFF"/>
            <w:noWrap/>
            <w:vAlign w:val="center"/>
            <w:hideMark/>
          </w:tcPr>
          <w:p w14:paraId="6D14FBEB"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5911518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14" w:type="dxa"/>
            <w:tcBorders>
              <w:top w:val="nil"/>
              <w:left w:val="nil"/>
              <w:bottom w:val="single" w:sz="4" w:space="0" w:color="auto"/>
              <w:right w:val="single" w:sz="4" w:space="0" w:color="auto"/>
            </w:tcBorders>
            <w:shd w:val="clear" w:color="000000" w:fill="FFFFFF"/>
            <w:noWrap/>
            <w:vAlign w:val="center"/>
            <w:hideMark/>
          </w:tcPr>
          <w:p w14:paraId="08712B9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2EF24F71" w14:textId="77777777" w:rsidTr="00F56356">
        <w:trPr>
          <w:trHeight w:val="240"/>
          <w:jc w:val="center"/>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5898DF4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202</w:t>
            </w:r>
          </w:p>
        </w:tc>
        <w:tc>
          <w:tcPr>
            <w:tcW w:w="1523" w:type="dxa"/>
            <w:tcBorders>
              <w:top w:val="nil"/>
              <w:left w:val="nil"/>
              <w:bottom w:val="single" w:sz="4" w:space="0" w:color="auto"/>
              <w:right w:val="single" w:sz="4" w:space="0" w:color="auto"/>
            </w:tcBorders>
            <w:shd w:val="clear" w:color="000000" w:fill="FFFFFF"/>
            <w:noWrap/>
            <w:vAlign w:val="center"/>
            <w:hideMark/>
          </w:tcPr>
          <w:p w14:paraId="7BBA6B80"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6.041,32</w:t>
            </w:r>
          </w:p>
        </w:tc>
        <w:tc>
          <w:tcPr>
            <w:tcW w:w="1393" w:type="dxa"/>
            <w:tcBorders>
              <w:top w:val="nil"/>
              <w:left w:val="nil"/>
              <w:bottom w:val="single" w:sz="4" w:space="0" w:color="auto"/>
              <w:right w:val="single" w:sz="4" w:space="0" w:color="auto"/>
            </w:tcBorders>
            <w:shd w:val="clear" w:color="000000" w:fill="FFFFFF"/>
            <w:noWrap/>
            <w:vAlign w:val="center"/>
            <w:hideMark/>
          </w:tcPr>
          <w:p w14:paraId="39BAFCF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3" w:type="dxa"/>
            <w:tcBorders>
              <w:top w:val="nil"/>
              <w:left w:val="nil"/>
              <w:bottom w:val="single" w:sz="4" w:space="0" w:color="auto"/>
              <w:right w:val="single" w:sz="4" w:space="0" w:color="auto"/>
            </w:tcBorders>
            <w:shd w:val="clear" w:color="000000" w:fill="FFFFFF"/>
            <w:noWrap/>
            <w:vAlign w:val="center"/>
            <w:hideMark/>
          </w:tcPr>
          <w:p w14:paraId="558880E7"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70C5F59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14" w:type="dxa"/>
            <w:tcBorders>
              <w:top w:val="nil"/>
              <w:left w:val="nil"/>
              <w:bottom w:val="single" w:sz="4" w:space="0" w:color="auto"/>
              <w:right w:val="single" w:sz="4" w:space="0" w:color="auto"/>
            </w:tcBorders>
            <w:shd w:val="clear" w:color="000000" w:fill="FFFFFF"/>
            <w:noWrap/>
            <w:vAlign w:val="center"/>
            <w:hideMark/>
          </w:tcPr>
          <w:p w14:paraId="756B42E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28FAA1A4" w14:textId="77777777" w:rsidTr="00F56356">
        <w:trPr>
          <w:trHeight w:val="240"/>
          <w:jc w:val="center"/>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20DE6C7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xml:space="preserve">250 </w:t>
            </w:r>
            <w:proofErr w:type="spellStart"/>
            <w:r w:rsidRPr="00F56356">
              <w:rPr>
                <w:rFonts w:ascii="Calibri" w:eastAsia="Times New Roman" w:hAnsi="Calibri" w:cs="Calibri"/>
                <w:color w:val="000000"/>
                <w:sz w:val="18"/>
                <w:szCs w:val="18"/>
                <w:lang w:eastAsia="it-IT"/>
              </w:rPr>
              <w:t>pg</w:t>
            </w:r>
            <w:proofErr w:type="spellEnd"/>
            <w:r w:rsidRPr="00F56356">
              <w:rPr>
                <w:rFonts w:ascii="Calibri" w:eastAsia="Times New Roman" w:hAnsi="Calibri" w:cs="Calibri"/>
                <w:color w:val="000000"/>
                <w:sz w:val="18"/>
                <w:szCs w:val="18"/>
                <w:lang w:eastAsia="it-IT"/>
              </w:rPr>
              <w:t>. 1</w:t>
            </w:r>
          </w:p>
        </w:tc>
        <w:tc>
          <w:tcPr>
            <w:tcW w:w="1523" w:type="dxa"/>
            <w:tcBorders>
              <w:top w:val="nil"/>
              <w:left w:val="nil"/>
              <w:bottom w:val="single" w:sz="4" w:space="0" w:color="auto"/>
              <w:right w:val="single" w:sz="4" w:space="0" w:color="auto"/>
            </w:tcBorders>
            <w:shd w:val="clear" w:color="000000" w:fill="FFFFFF"/>
            <w:noWrap/>
            <w:vAlign w:val="center"/>
            <w:hideMark/>
          </w:tcPr>
          <w:p w14:paraId="0FF3862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32,00</w:t>
            </w:r>
          </w:p>
        </w:tc>
        <w:tc>
          <w:tcPr>
            <w:tcW w:w="1393" w:type="dxa"/>
            <w:tcBorders>
              <w:top w:val="nil"/>
              <w:left w:val="nil"/>
              <w:bottom w:val="single" w:sz="4" w:space="0" w:color="auto"/>
              <w:right w:val="single" w:sz="4" w:space="0" w:color="auto"/>
            </w:tcBorders>
            <w:shd w:val="clear" w:color="000000" w:fill="FFFFFF"/>
            <w:noWrap/>
            <w:vAlign w:val="center"/>
            <w:hideMark/>
          </w:tcPr>
          <w:p w14:paraId="0C6DF16B"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32,00</w:t>
            </w:r>
          </w:p>
        </w:tc>
        <w:tc>
          <w:tcPr>
            <w:tcW w:w="963" w:type="dxa"/>
            <w:tcBorders>
              <w:top w:val="nil"/>
              <w:left w:val="nil"/>
              <w:bottom w:val="single" w:sz="4" w:space="0" w:color="auto"/>
              <w:right w:val="single" w:sz="4" w:space="0" w:color="auto"/>
            </w:tcBorders>
            <w:shd w:val="clear" w:color="000000" w:fill="FFFFFF"/>
            <w:noWrap/>
            <w:vAlign w:val="center"/>
            <w:hideMark/>
          </w:tcPr>
          <w:p w14:paraId="70D33D48"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72E2E1D3"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14" w:type="dxa"/>
            <w:tcBorders>
              <w:top w:val="nil"/>
              <w:left w:val="nil"/>
              <w:bottom w:val="single" w:sz="4" w:space="0" w:color="auto"/>
              <w:right w:val="single" w:sz="4" w:space="0" w:color="auto"/>
            </w:tcBorders>
            <w:shd w:val="clear" w:color="000000" w:fill="FFFFFF"/>
            <w:noWrap/>
            <w:vAlign w:val="center"/>
            <w:hideMark/>
          </w:tcPr>
          <w:p w14:paraId="04FE406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r>
      <w:tr w:rsidR="00F56356" w:rsidRPr="00F56356" w14:paraId="19E57413" w14:textId="77777777" w:rsidTr="00F56356">
        <w:trPr>
          <w:trHeight w:val="240"/>
          <w:jc w:val="center"/>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3217D6B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xml:space="preserve">250 </w:t>
            </w:r>
            <w:proofErr w:type="spellStart"/>
            <w:r w:rsidRPr="00F56356">
              <w:rPr>
                <w:rFonts w:ascii="Calibri" w:eastAsia="Times New Roman" w:hAnsi="Calibri" w:cs="Calibri"/>
                <w:color w:val="000000"/>
                <w:sz w:val="18"/>
                <w:szCs w:val="18"/>
                <w:lang w:eastAsia="it-IT"/>
              </w:rPr>
              <w:t>pg</w:t>
            </w:r>
            <w:proofErr w:type="spellEnd"/>
            <w:r w:rsidRPr="00F56356">
              <w:rPr>
                <w:rFonts w:ascii="Calibri" w:eastAsia="Times New Roman" w:hAnsi="Calibri" w:cs="Calibri"/>
                <w:color w:val="000000"/>
                <w:sz w:val="18"/>
                <w:szCs w:val="18"/>
                <w:lang w:eastAsia="it-IT"/>
              </w:rPr>
              <w:t>. 4</w:t>
            </w:r>
          </w:p>
        </w:tc>
        <w:tc>
          <w:tcPr>
            <w:tcW w:w="1523" w:type="dxa"/>
            <w:tcBorders>
              <w:top w:val="nil"/>
              <w:left w:val="nil"/>
              <w:bottom w:val="single" w:sz="4" w:space="0" w:color="auto"/>
              <w:right w:val="single" w:sz="4" w:space="0" w:color="auto"/>
            </w:tcBorders>
            <w:shd w:val="clear" w:color="000000" w:fill="FFFFFF"/>
            <w:noWrap/>
            <w:vAlign w:val="center"/>
            <w:hideMark/>
          </w:tcPr>
          <w:p w14:paraId="5794DE8E"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1393" w:type="dxa"/>
            <w:tcBorders>
              <w:top w:val="nil"/>
              <w:left w:val="nil"/>
              <w:bottom w:val="single" w:sz="4" w:space="0" w:color="auto"/>
              <w:right w:val="single" w:sz="4" w:space="0" w:color="auto"/>
            </w:tcBorders>
            <w:shd w:val="clear" w:color="000000" w:fill="FFFFFF"/>
            <w:noWrap/>
            <w:vAlign w:val="center"/>
            <w:hideMark/>
          </w:tcPr>
          <w:p w14:paraId="052AD0A5"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2,00</w:t>
            </w:r>
          </w:p>
        </w:tc>
        <w:tc>
          <w:tcPr>
            <w:tcW w:w="963" w:type="dxa"/>
            <w:tcBorders>
              <w:top w:val="nil"/>
              <w:left w:val="nil"/>
              <w:bottom w:val="single" w:sz="4" w:space="0" w:color="auto"/>
              <w:right w:val="single" w:sz="4" w:space="0" w:color="auto"/>
            </w:tcBorders>
            <w:shd w:val="clear" w:color="000000" w:fill="FFFFFF"/>
            <w:noWrap/>
            <w:vAlign w:val="center"/>
            <w:hideMark/>
          </w:tcPr>
          <w:p w14:paraId="5693025D"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60CE7B01"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c>
          <w:tcPr>
            <w:tcW w:w="1114" w:type="dxa"/>
            <w:tcBorders>
              <w:top w:val="nil"/>
              <w:left w:val="nil"/>
              <w:bottom w:val="single" w:sz="4" w:space="0" w:color="auto"/>
              <w:right w:val="single" w:sz="4" w:space="0" w:color="auto"/>
            </w:tcBorders>
            <w:shd w:val="clear" w:color="000000" w:fill="FFFFFF"/>
            <w:noWrap/>
            <w:vAlign w:val="center"/>
            <w:hideMark/>
          </w:tcPr>
          <w:p w14:paraId="6C51D1AB"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r>
      <w:tr w:rsidR="00F56356" w:rsidRPr="00F56356" w14:paraId="6B683F6F" w14:textId="77777777" w:rsidTr="00F56356">
        <w:trPr>
          <w:trHeight w:val="240"/>
          <w:jc w:val="center"/>
        </w:trPr>
        <w:tc>
          <w:tcPr>
            <w:tcW w:w="907" w:type="dxa"/>
            <w:tcBorders>
              <w:top w:val="nil"/>
              <w:left w:val="single" w:sz="4" w:space="0" w:color="auto"/>
              <w:bottom w:val="single" w:sz="4" w:space="0" w:color="auto"/>
              <w:right w:val="single" w:sz="4" w:space="0" w:color="auto"/>
            </w:tcBorders>
            <w:shd w:val="clear" w:color="000000" w:fill="FFFFFF"/>
            <w:noWrap/>
            <w:vAlign w:val="center"/>
            <w:hideMark/>
          </w:tcPr>
          <w:p w14:paraId="12A2C68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255</w:t>
            </w:r>
          </w:p>
        </w:tc>
        <w:tc>
          <w:tcPr>
            <w:tcW w:w="1523" w:type="dxa"/>
            <w:tcBorders>
              <w:top w:val="nil"/>
              <w:left w:val="nil"/>
              <w:bottom w:val="single" w:sz="4" w:space="0" w:color="auto"/>
              <w:right w:val="single" w:sz="4" w:space="0" w:color="auto"/>
            </w:tcBorders>
            <w:shd w:val="clear" w:color="000000" w:fill="FFFFFF"/>
            <w:noWrap/>
            <w:vAlign w:val="center"/>
            <w:hideMark/>
          </w:tcPr>
          <w:p w14:paraId="09A824A2"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192,55</w:t>
            </w:r>
          </w:p>
        </w:tc>
        <w:tc>
          <w:tcPr>
            <w:tcW w:w="1393" w:type="dxa"/>
            <w:tcBorders>
              <w:top w:val="nil"/>
              <w:left w:val="nil"/>
              <w:bottom w:val="single" w:sz="4" w:space="0" w:color="auto"/>
              <w:right w:val="single" w:sz="4" w:space="0" w:color="auto"/>
            </w:tcBorders>
            <w:shd w:val="clear" w:color="000000" w:fill="FFFFFF"/>
            <w:noWrap/>
            <w:vAlign w:val="center"/>
            <w:hideMark/>
          </w:tcPr>
          <w:p w14:paraId="129215AC"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63" w:type="dxa"/>
            <w:tcBorders>
              <w:top w:val="nil"/>
              <w:left w:val="nil"/>
              <w:bottom w:val="single" w:sz="4" w:space="0" w:color="auto"/>
              <w:right w:val="single" w:sz="4" w:space="0" w:color="auto"/>
            </w:tcBorders>
            <w:shd w:val="clear" w:color="000000" w:fill="FFFFFF"/>
            <w:noWrap/>
            <w:vAlign w:val="center"/>
            <w:hideMark/>
          </w:tcPr>
          <w:p w14:paraId="09563184"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100</w:t>
            </w:r>
          </w:p>
        </w:tc>
        <w:tc>
          <w:tcPr>
            <w:tcW w:w="1180" w:type="dxa"/>
            <w:tcBorders>
              <w:top w:val="nil"/>
              <w:left w:val="nil"/>
              <w:bottom w:val="single" w:sz="4" w:space="0" w:color="auto"/>
              <w:right w:val="single" w:sz="4" w:space="0" w:color="auto"/>
            </w:tcBorders>
            <w:shd w:val="clear" w:color="000000" w:fill="FFFFFF"/>
            <w:noWrap/>
            <w:vAlign w:val="center"/>
            <w:hideMark/>
          </w:tcPr>
          <w:p w14:paraId="4AB65A1D"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14" w:type="dxa"/>
            <w:tcBorders>
              <w:top w:val="nil"/>
              <w:left w:val="nil"/>
              <w:bottom w:val="single" w:sz="4" w:space="0" w:color="auto"/>
              <w:right w:val="single" w:sz="4" w:space="0" w:color="auto"/>
            </w:tcBorders>
            <w:shd w:val="clear" w:color="000000" w:fill="FFFFFF"/>
            <w:noWrap/>
            <w:vAlign w:val="center"/>
            <w:hideMark/>
          </w:tcPr>
          <w:p w14:paraId="50ABD71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w:t>
            </w:r>
          </w:p>
        </w:tc>
      </w:tr>
      <w:tr w:rsidR="00F56356" w:rsidRPr="00F56356" w14:paraId="5FFB8295" w14:textId="77777777" w:rsidTr="00F56356">
        <w:trPr>
          <w:trHeight w:val="315"/>
          <w:jc w:val="center"/>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1956859B"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23" w:type="dxa"/>
            <w:tcBorders>
              <w:top w:val="nil"/>
              <w:left w:val="nil"/>
              <w:bottom w:val="single" w:sz="4" w:space="0" w:color="auto"/>
              <w:right w:val="single" w:sz="4" w:space="0" w:color="auto"/>
            </w:tcBorders>
            <w:shd w:val="clear" w:color="auto" w:fill="auto"/>
            <w:noWrap/>
            <w:vAlign w:val="center"/>
            <w:hideMark/>
          </w:tcPr>
          <w:p w14:paraId="27503D96"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126.977,46</w:t>
            </w:r>
          </w:p>
        </w:tc>
        <w:tc>
          <w:tcPr>
            <w:tcW w:w="1393" w:type="dxa"/>
            <w:tcBorders>
              <w:top w:val="nil"/>
              <w:left w:val="nil"/>
              <w:bottom w:val="single" w:sz="4" w:space="0" w:color="auto"/>
              <w:right w:val="single" w:sz="4" w:space="0" w:color="auto"/>
            </w:tcBorders>
            <w:shd w:val="clear" w:color="auto" w:fill="auto"/>
            <w:noWrap/>
            <w:vAlign w:val="center"/>
            <w:hideMark/>
          </w:tcPr>
          <w:p w14:paraId="4C5778C3"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34,00</w:t>
            </w:r>
          </w:p>
        </w:tc>
        <w:tc>
          <w:tcPr>
            <w:tcW w:w="963" w:type="dxa"/>
            <w:tcBorders>
              <w:top w:val="nil"/>
              <w:left w:val="nil"/>
              <w:bottom w:val="nil"/>
              <w:right w:val="nil"/>
            </w:tcBorders>
            <w:shd w:val="clear" w:color="auto" w:fill="auto"/>
            <w:noWrap/>
            <w:vAlign w:val="center"/>
            <w:hideMark/>
          </w:tcPr>
          <w:p w14:paraId="52C09F70"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80" w:type="dxa"/>
            <w:tcBorders>
              <w:top w:val="nil"/>
              <w:left w:val="nil"/>
              <w:bottom w:val="nil"/>
              <w:right w:val="nil"/>
            </w:tcBorders>
            <w:shd w:val="clear" w:color="auto" w:fill="auto"/>
            <w:noWrap/>
            <w:vAlign w:val="center"/>
            <w:hideMark/>
          </w:tcPr>
          <w:p w14:paraId="42B17A4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c>
          <w:tcPr>
            <w:tcW w:w="1114" w:type="dxa"/>
            <w:tcBorders>
              <w:top w:val="nil"/>
              <w:left w:val="nil"/>
              <w:bottom w:val="nil"/>
              <w:right w:val="nil"/>
            </w:tcBorders>
            <w:shd w:val="clear" w:color="auto" w:fill="auto"/>
            <w:noWrap/>
            <w:vAlign w:val="center"/>
            <w:hideMark/>
          </w:tcPr>
          <w:p w14:paraId="2DACF9E5"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 </w:t>
            </w:r>
          </w:p>
        </w:tc>
      </w:tr>
    </w:tbl>
    <w:p w14:paraId="4ECD7767" w14:textId="77777777" w:rsidR="00F56356" w:rsidRPr="00F56356" w:rsidRDefault="00F56356" w:rsidP="00F56356">
      <w:pPr>
        <w:spacing w:after="0" w:line="360" w:lineRule="auto"/>
        <w:jc w:val="center"/>
        <w:rPr>
          <w:rFonts w:ascii="Times New Roman" w:eastAsia="Times New Roman" w:hAnsi="Times New Roman" w:cs="Times New Roman"/>
          <w:color w:val="000000" w:themeColor="text1"/>
          <w:sz w:val="24"/>
          <w:szCs w:val="24"/>
          <w:lang w:eastAsia="it-IT"/>
        </w:rPr>
      </w:pPr>
    </w:p>
    <w:p w14:paraId="3B6A8C20"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 xml:space="preserve">2.2 </w:t>
      </w:r>
      <w:r w:rsidRPr="00F56356">
        <w:rPr>
          <w:rFonts w:ascii="Times New Roman" w:eastAsia="Times New Roman" w:hAnsi="Times New Roman" w:cs="Times New Roman"/>
          <w:color w:val="000000" w:themeColor="text1"/>
          <w:sz w:val="24"/>
          <w:szCs w:val="24"/>
          <w:lang w:eastAsia="it-IT"/>
        </w:rPr>
        <w:t xml:space="preserve">Le risorse impegnate di euro 53.634.096,75 sono state destinate per euro 2.786.020,67 al funzionamento, euro 2.000.000,00 agli interventi ed euro 48.848.076,08 alle spese in conto capitale.  </w:t>
      </w:r>
    </w:p>
    <w:p w14:paraId="018E7C13" w14:textId="77777777" w:rsidR="00F56356" w:rsidRPr="00F56356" w:rsidRDefault="00F56356" w:rsidP="00F56356">
      <w:pPr>
        <w:spacing w:after="0" w:line="360" w:lineRule="auto"/>
        <w:ind w:left="284"/>
        <w:jc w:val="both"/>
        <w:rPr>
          <w:rFonts w:eastAsiaTheme="minorEastAsia" w:cs="Times New Roman"/>
          <w:color w:val="000000" w:themeColor="text1"/>
          <w:sz w:val="14"/>
          <w:lang w:eastAsia="it-IT"/>
        </w:rPr>
      </w:pPr>
    </w:p>
    <w:p w14:paraId="523A8D37"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2.786.020,67, di cui euro 793,01 riferiti a reiscrizioni di residui passivi perenti, sono state destinate alla retribuzione dei membri del Nucleo di valutazione e analisi per la programmazione (NUVAP) (cap. 181), al pagamento dell’IRAP dei componenti NUVAP (cap. 202), al rimborso delle spese per missioni nel territorio nazionale e all’estero (cap. 250), alle spese per il potenziamento delle attività e degli strumenti di analisi e monitoraggio del Dipartimento (cap. 251), alle spese per acquisto giornali, riviste e periodici (cap. 255) e alle spese di rappresentanza (cap. 256).</w:t>
      </w:r>
    </w:p>
    <w:p w14:paraId="2B48462F"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14"/>
          <w:szCs w:val="24"/>
          <w:lang w:eastAsia="it-IT"/>
        </w:rPr>
      </w:pPr>
    </w:p>
    <w:p w14:paraId="0EB937CB"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p w14:paraId="729E1B7E"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8"/>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25824" behindDoc="1" locked="0" layoutInCell="1" allowOverlap="1" wp14:anchorId="0A95903B" wp14:editId="26CAEA7F">
            <wp:simplePos x="0" y="0"/>
            <wp:positionH relativeFrom="margin">
              <wp:align>right</wp:align>
            </wp:positionH>
            <wp:positionV relativeFrom="paragraph">
              <wp:posOffset>88265</wp:posOffset>
            </wp:positionV>
            <wp:extent cx="5948045" cy="2274570"/>
            <wp:effectExtent l="0" t="0" r="0" b="0"/>
            <wp:wrapTight wrapText="bothSides">
              <wp:wrapPolygon edited="0">
                <wp:start x="0" y="0"/>
                <wp:lineTo x="0" y="21347"/>
                <wp:lineTo x="11899" y="21347"/>
                <wp:lineTo x="11899" y="20261"/>
                <wp:lineTo x="21515" y="19719"/>
                <wp:lineTo x="21515" y="5065"/>
                <wp:lineTo x="21169" y="2894"/>
                <wp:lineTo x="21446" y="2894"/>
                <wp:lineTo x="21515" y="2171"/>
                <wp:lineTo x="21515" y="0"/>
                <wp:lineTo x="0" y="0"/>
              </wp:wrapPolygon>
            </wp:wrapTight>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48045" cy="2274570"/>
                    </a:xfrm>
                    <a:prstGeom prst="rect">
                      <a:avLst/>
                    </a:prstGeom>
                    <a:noFill/>
                    <a:ln>
                      <a:noFill/>
                    </a:ln>
                  </pic:spPr>
                </pic:pic>
              </a:graphicData>
            </a:graphic>
            <wp14:sizeRelH relativeFrom="margin">
              <wp14:pctWidth>0</wp14:pctWidth>
            </wp14:sizeRelH>
          </wp:anchor>
        </w:drawing>
      </w:r>
    </w:p>
    <w:p w14:paraId="3691AC2E" w14:textId="77777777" w:rsidR="00F56356" w:rsidRPr="00F56356" w:rsidRDefault="00F56356" w:rsidP="00F56356">
      <w:pPr>
        <w:spacing w:after="0" w:line="360" w:lineRule="auto"/>
        <w:jc w:val="center"/>
        <w:rPr>
          <w:rFonts w:eastAsiaTheme="minorEastAsia" w:cs="Times New Roman"/>
          <w:color w:val="000000" w:themeColor="text1"/>
          <w:sz w:val="18"/>
          <w:lang w:eastAsia="it-IT"/>
        </w:rPr>
      </w:pPr>
    </w:p>
    <w:p w14:paraId="0D8740D9" w14:textId="77777777" w:rsidR="00F56356" w:rsidRPr="00F56356" w:rsidRDefault="00F56356" w:rsidP="00F56356">
      <w:pPr>
        <w:spacing w:after="0" w:line="360" w:lineRule="auto"/>
        <w:jc w:val="center"/>
        <w:rPr>
          <w:rFonts w:eastAsiaTheme="minorEastAsia" w:cs="Times New Roman"/>
          <w:color w:val="000000" w:themeColor="text1"/>
          <w:sz w:val="18"/>
          <w:lang w:eastAsia="it-IT"/>
        </w:rPr>
      </w:pPr>
    </w:p>
    <w:p w14:paraId="18CF7A09" w14:textId="77777777" w:rsidR="00F56356" w:rsidRPr="00F56356" w:rsidRDefault="00F56356" w:rsidP="00F56356">
      <w:pPr>
        <w:spacing w:after="0" w:line="360" w:lineRule="auto"/>
        <w:ind w:left="284" w:hanging="142"/>
        <w:jc w:val="both"/>
        <w:rPr>
          <w:rFonts w:ascii="Times New Roman" w:eastAsiaTheme="minorEastAsia" w:hAnsi="Times New Roman" w:cs="Times New Roman"/>
          <w:color w:val="000000" w:themeColor="text1"/>
          <w:sz w:val="24"/>
          <w:szCs w:val="24"/>
          <w:lang w:eastAsia="it-IT"/>
        </w:rPr>
      </w:pPr>
      <w:r w:rsidRPr="00F56356">
        <w:rPr>
          <w:rFonts w:eastAsiaTheme="minorEastAsia" w:cs="Times New Roman"/>
          <w:b/>
          <w:color w:val="000000" w:themeColor="text1"/>
          <w:sz w:val="18"/>
          <w:lang w:eastAsia="it-IT"/>
        </w:rPr>
        <w:t xml:space="preserve">    </w:t>
      </w:r>
      <w:r w:rsidRPr="00F56356">
        <w:rPr>
          <w:rFonts w:ascii="Times New Roman" w:eastAsiaTheme="minorEastAsia" w:hAnsi="Times New Roman" w:cs="Times New Roman"/>
          <w:b/>
          <w:color w:val="000000" w:themeColor="text1"/>
          <w:sz w:val="24"/>
          <w:szCs w:val="24"/>
          <w:lang w:eastAsia="it-IT"/>
        </w:rPr>
        <w:t>2.2.2</w:t>
      </w:r>
      <w:r w:rsidRPr="00F56356">
        <w:rPr>
          <w:rFonts w:ascii="Times New Roman" w:eastAsiaTheme="minorEastAsia" w:hAnsi="Times New Roman" w:cs="Times New Roman"/>
          <w:color w:val="000000" w:themeColor="text1"/>
          <w:sz w:val="24"/>
          <w:szCs w:val="24"/>
          <w:lang w:eastAsia="it-IT"/>
        </w:rPr>
        <w:t xml:space="preserve"> Le risorse impegnate per gli interventi pari a euro 2.000.000,00 sono state destinate al “</w:t>
      </w:r>
      <w:r w:rsidRPr="00F56356">
        <w:rPr>
          <w:rFonts w:ascii="Times New Roman" w:eastAsiaTheme="minorEastAsia" w:hAnsi="Times New Roman" w:cs="Times New Roman"/>
          <w:i/>
          <w:color w:val="000000" w:themeColor="text1"/>
          <w:sz w:val="24"/>
          <w:szCs w:val="24"/>
          <w:lang w:eastAsia="it-IT"/>
        </w:rPr>
        <w:t>Fondo per la formazione turistica esperienziale”</w:t>
      </w:r>
      <w:r w:rsidRPr="00F56356">
        <w:rPr>
          <w:rFonts w:ascii="Times New Roman" w:eastAsiaTheme="minorEastAsia" w:hAnsi="Times New Roman" w:cs="Times New Roman"/>
          <w:color w:val="000000" w:themeColor="text1"/>
          <w:sz w:val="24"/>
          <w:szCs w:val="24"/>
          <w:lang w:eastAsia="it-IT"/>
        </w:rPr>
        <w:t xml:space="preserve"> (cap. 233). Il citato Fondo per la formazione turistica esperienziale, previsto dall’articolo 1, comma 195, della legge 30 dicembre 2020, n. 178, e destinato alle Regioni del Mezzogiorno, è volto a migliorare le capacità professionali degli operatori del settore e a rinforzare l’attenzione degli stessi sulle tematiche della sostenibilità ambientale. Il decreto del Ministro per il Sud e la coesione territoriale definisce le modalità di accesso al fondo, i criteri per la ripartizione delle risorse, l’ammontare del contributo concedibile. L’Agenzia per la coesione territoriale è coinvolta, insieme alla Direzione Generale della valorizzazione e della promozione turistica del Ministero del Turismo, nelle procedure di valutazione delle proposte regionali, propedeutica al trasferimento delle risorse, che dovranno essere adottate con delibera di Giunta regionale. In particolare, le risorse impegnate nel corso dell’esercizio finanziario 2022 sono state destinate a favore delle seguenti regioni beneficiarie: Campania, Molise, Abruzzo, Calabria, Basilicata, Sardegna e Sicilia. Successivamente alla ricezione delle previste comunicazioni da parte </w:t>
      </w:r>
      <w:r w:rsidRPr="00F56356">
        <w:rPr>
          <w:rFonts w:ascii="Times New Roman" w:eastAsiaTheme="minorEastAsia" w:hAnsi="Times New Roman" w:cs="Times New Roman"/>
          <w:color w:val="000000" w:themeColor="text1"/>
          <w:sz w:val="24"/>
          <w:szCs w:val="24"/>
          <w:lang w:eastAsia="it-IT"/>
        </w:rPr>
        <w:lastRenderedPageBreak/>
        <w:t xml:space="preserve">dell’Agenzia per la coesione territoriale relative alla conclusione della valutazione, di concerto con il Ministero del Turismo, sono stati effettuati pagamenti per euro 1.400.000,00. </w:t>
      </w:r>
    </w:p>
    <w:p w14:paraId="6A895D65"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8"/>
          <w:szCs w:val="28"/>
          <w:lang w:eastAsia="it-IT"/>
        </w:rPr>
        <w:drawing>
          <wp:anchor distT="0" distB="0" distL="114300" distR="114300" simplePos="0" relativeHeight="251726848" behindDoc="1" locked="0" layoutInCell="1" allowOverlap="1" wp14:anchorId="5192D36A" wp14:editId="08C57C14">
            <wp:simplePos x="0" y="0"/>
            <wp:positionH relativeFrom="margin">
              <wp:align>right</wp:align>
            </wp:positionH>
            <wp:positionV relativeFrom="paragraph">
              <wp:posOffset>258445</wp:posOffset>
            </wp:positionV>
            <wp:extent cx="5927090" cy="1118870"/>
            <wp:effectExtent l="0" t="0" r="0" b="5080"/>
            <wp:wrapTight wrapText="bothSides">
              <wp:wrapPolygon edited="0">
                <wp:start x="0" y="0"/>
                <wp:lineTo x="0" y="21330"/>
                <wp:lineTo x="11941" y="21330"/>
                <wp:lineTo x="12496" y="20963"/>
                <wp:lineTo x="21521" y="18020"/>
                <wp:lineTo x="21521" y="10297"/>
                <wp:lineTo x="21174" y="5884"/>
                <wp:lineTo x="21452" y="5884"/>
                <wp:lineTo x="21521" y="4413"/>
                <wp:lineTo x="21521" y="0"/>
                <wp:lineTo x="0" y="0"/>
              </wp:wrapPolygon>
            </wp:wrapTight>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27090" cy="111887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32D0D963" w14:textId="77777777" w:rsidR="00F56356" w:rsidRPr="00F56356" w:rsidRDefault="00F56356" w:rsidP="00F56356">
      <w:pPr>
        <w:spacing w:after="0" w:line="360" w:lineRule="auto"/>
        <w:ind w:right="284"/>
        <w:jc w:val="center"/>
        <w:rPr>
          <w:rFonts w:ascii="Times New Roman" w:eastAsia="Times New Roman" w:hAnsi="Times New Roman" w:cs="Times New Roman"/>
          <w:color w:val="000000" w:themeColor="text1"/>
          <w:sz w:val="24"/>
          <w:szCs w:val="24"/>
          <w:lang w:eastAsia="it-IT"/>
        </w:rPr>
      </w:pPr>
    </w:p>
    <w:p w14:paraId="113081CF" w14:textId="77777777" w:rsidR="00F56356" w:rsidRPr="00F56356" w:rsidRDefault="00F56356" w:rsidP="00F56356">
      <w:pPr>
        <w:spacing w:after="0" w:line="360" w:lineRule="auto"/>
        <w:jc w:val="center"/>
        <w:rPr>
          <w:rFonts w:eastAsiaTheme="minorEastAsia" w:cs="Times New Roman"/>
          <w:color w:val="000000" w:themeColor="text1"/>
          <w:sz w:val="2"/>
          <w:lang w:eastAsia="it-IT"/>
        </w:rPr>
      </w:pPr>
    </w:p>
    <w:p w14:paraId="0CF0A9AF" w14:textId="77777777" w:rsidR="00F56356" w:rsidRPr="00F56356" w:rsidRDefault="00F56356" w:rsidP="00F56356">
      <w:pPr>
        <w:spacing w:after="0" w:line="360" w:lineRule="auto"/>
        <w:jc w:val="center"/>
        <w:rPr>
          <w:rFonts w:eastAsiaTheme="minorEastAsia" w:cs="Times New Roman"/>
          <w:color w:val="000000" w:themeColor="text1"/>
          <w:sz w:val="18"/>
          <w:lang w:eastAsia="it-IT"/>
        </w:rPr>
      </w:pPr>
    </w:p>
    <w:p w14:paraId="07AA5CFE"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b/>
          <w:color w:val="000000" w:themeColor="text1"/>
          <w:sz w:val="24"/>
          <w:szCs w:val="24"/>
          <w:lang w:eastAsia="it-IT"/>
        </w:rPr>
        <w:t xml:space="preserve">2.2.3 </w:t>
      </w:r>
      <w:r w:rsidRPr="00F56356">
        <w:rPr>
          <w:rFonts w:ascii="Times New Roman" w:eastAsiaTheme="minorEastAsia" w:hAnsi="Times New Roman" w:cs="Times New Roman"/>
          <w:color w:val="000000" w:themeColor="text1"/>
          <w:sz w:val="24"/>
          <w:szCs w:val="24"/>
          <w:lang w:eastAsia="it-IT"/>
        </w:rPr>
        <w:t>Le risorse impegnate per le spese in conto capitale pari a euro 48.848.076,08 sono state destinate al “</w:t>
      </w:r>
      <w:r w:rsidRPr="00F56356">
        <w:rPr>
          <w:rFonts w:ascii="Times New Roman" w:eastAsiaTheme="minorEastAsia" w:hAnsi="Times New Roman" w:cs="Times New Roman"/>
          <w:i/>
          <w:color w:val="000000" w:themeColor="text1"/>
          <w:sz w:val="24"/>
          <w:szCs w:val="24"/>
          <w:lang w:eastAsia="it-IT"/>
        </w:rPr>
        <w:t>Fondo complementare PNRR - ecosistemi per l’innovazione al Sud in contesti urbani marginalizzati”</w:t>
      </w:r>
      <w:r w:rsidRPr="00F56356">
        <w:rPr>
          <w:rFonts w:ascii="Times New Roman" w:eastAsiaTheme="minorEastAsia" w:hAnsi="Times New Roman" w:cs="Times New Roman"/>
          <w:color w:val="000000" w:themeColor="text1"/>
          <w:sz w:val="24"/>
          <w:szCs w:val="24"/>
          <w:lang w:eastAsia="it-IT"/>
        </w:rPr>
        <w:t xml:space="preserve"> (cap. 922). In particolare, ai sensi dell’articolo 1, comma 2, lettera a), n. 4, del decreto-legge 6 maggio 2021, n. 59, il Fondo è stato attivato nell’ambito del fondo complementare PNRR con lo scopo di promuovere la rigenerazione sociale e ambientale delle aree urbane più degradate del Sud Italia, mediante la creazione di quattro Innovation </w:t>
      </w:r>
      <w:proofErr w:type="spellStart"/>
      <w:r w:rsidRPr="00F56356">
        <w:rPr>
          <w:rFonts w:ascii="Times New Roman" w:eastAsiaTheme="minorEastAsia" w:hAnsi="Times New Roman" w:cs="Times New Roman"/>
          <w:color w:val="000000" w:themeColor="text1"/>
          <w:sz w:val="24"/>
          <w:szCs w:val="24"/>
          <w:lang w:eastAsia="it-IT"/>
        </w:rPr>
        <w:t>Hub</w:t>
      </w:r>
      <w:proofErr w:type="spellEnd"/>
      <w:r w:rsidRPr="00F56356">
        <w:rPr>
          <w:rFonts w:ascii="Times New Roman" w:eastAsiaTheme="minorEastAsia" w:hAnsi="Times New Roman" w:cs="Times New Roman"/>
          <w:color w:val="000000" w:themeColor="text1"/>
          <w:sz w:val="24"/>
          <w:szCs w:val="24"/>
          <w:lang w:eastAsia="it-IT"/>
        </w:rPr>
        <w:t xml:space="preserve"> per offrire formazione altamente qualificata, favorire la ricerca multidisciplinare e la nascita di attività economiche innovative. Con decreto del Ministro dell’economia e delle finanze del 15 luglio 2021 sono stati individuati gli obiettivi iniziali, intermedi e finali nonché le relative modalità di monitoraggio del progetto Ecosistemi per l’Innovazione al Sud in contesti urbani marginalizzati. In particolare, l’allegato 1 del DM MEF indica che l’obiettivo del progetto è la riqualificazione infrastrutturale di siti localizzati nelle regioni del Mezzogiorno per ospitare percorsi di istruzione superiore, ricerca multidisciplinare e creazione di imprese orientati alla creazione di almeno 4 Ecosistemi dell’Innovazione. Inoltre, il citato decreto ha individuato la Presidenza del Consiglio dei ministri - Ministro per il Sud e la coesione territoriale (il Dipartimento) come soggetto proponente, e l’Agenzia per la coesione territoriale (l’Agenzia) come soggetto attuatore fino alla stipula della convenzione con i beneficiari. Data la necessità di disciplinare i rapporti giuridici in relazione alle funzioni di erogazione dei contributi ai beneficiari e di monitoraggio dei progetti ammessi a finanziamento, in data 10 giugno 2022, il Dipartimento e l’Agenzia hanno stipulato un protocollo d’intesa. Con la pubblicazione della graduatoria, l’Agenzia ha assegnato i contributi ai soggetti proponenti e partner e ha stipulato le convenzioni volte a regolare i rapporti negoziali tra le parti (l’Agenzia e i beneficiari). La fase successiva è stata caratterizzata dall’instaurazione di contenziosi da parte di alcuni soggetti proponenti, volti a contestare l’ammontare del contributo assegnato. La pendenza di conteziosi, peraltro ancora in fase di definizione, ha causato un rallentamento della procedura volta all’impegno e alla successiva erogazione dei contributi ai beneficiari. Ciò </w:t>
      </w:r>
      <w:r w:rsidRPr="00F56356">
        <w:rPr>
          <w:rFonts w:ascii="Times New Roman" w:eastAsiaTheme="minorEastAsia" w:hAnsi="Times New Roman" w:cs="Times New Roman"/>
          <w:color w:val="000000" w:themeColor="text1"/>
          <w:sz w:val="24"/>
          <w:szCs w:val="24"/>
          <w:lang w:eastAsia="it-IT"/>
        </w:rPr>
        <w:lastRenderedPageBreak/>
        <w:t>nonostante, al 31.12.2022, è stata impegnata la somma di euro 48.848.076,08, ossia l’ammontare dell’importo concedibile a titolo di anticipazione del contributo assegnato ai beneficiari.</w:t>
      </w:r>
    </w:p>
    <w:p w14:paraId="2DBE3B84" w14:textId="77777777" w:rsidR="00F56356" w:rsidRPr="00F56356" w:rsidRDefault="00F56356" w:rsidP="00F56356">
      <w:pPr>
        <w:autoSpaceDE w:val="0"/>
        <w:autoSpaceDN w:val="0"/>
        <w:adjustRightInd w:val="0"/>
        <w:spacing w:after="0" w:line="360" w:lineRule="auto"/>
        <w:ind w:left="284"/>
        <w:jc w:val="center"/>
        <w:rPr>
          <w:rFonts w:ascii="Times New Roman" w:eastAsiaTheme="minorEastAsia" w:hAnsi="Times New Roman" w:cs="Times New Roman"/>
          <w:color w:val="000000" w:themeColor="text1"/>
          <w:sz w:val="24"/>
          <w:szCs w:val="24"/>
          <w:lang w:eastAsia="it-IT"/>
        </w:rPr>
      </w:pPr>
      <w:r w:rsidRPr="00F56356">
        <w:rPr>
          <w:rFonts w:eastAsiaTheme="minorEastAsia" w:cs="Times New Roman"/>
          <w:noProof/>
          <w:lang w:eastAsia="it-IT"/>
        </w:rPr>
        <w:drawing>
          <wp:anchor distT="0" distB="0" distL="114300" distR="114300" simplePos="0" relativeHeight="251727872" behindDoc="1" locked="0" layoutInCell="1" allowOverlap="1" wp14:anchorId="1B35B454" wp14:editId="7653C2AB">
            <wp:simplePos x="0" y="0"/>
            <wp:positionH relativeFrom="margin">
              <wp:align>right</wp:align>
            </wp:positionH>
            <wp:positionV relativeFrom="paragraph">
              <wp:posOffset>262255</wp:posOffset>
            </wp:positionV>
            <wp:extent cx="5924550" cy="1263650"/>
            <wp:effectExtent l="0" t="0" r="0" b="0"/>
            <wp:wrapTight wrapText="bothSides">
              <wp:wrapPolygon edited="0">
                <wp:start x="0" y="0"/>
                <wp:lineTo x="0" y="21166"/>
                <wp:lineTo x="11946" y="21166"/>
                <wp:lineTo x="11946" y="20840"/>
                <wp:lineTo x="21531" y="18235"/>
                <wp:lineTo x="21531" y="11723"/>
                <wp:lineTo x="20141" y="10420"/>
                <wp:lineTo x="21461" y="10420"/>
                <wp:lineTo x="21531" y="8792"/>
                <wp:lineTo x="21183" y="5210"/>
                <wp:lineTo x="21461" y="5210"/>
                <wp:lineTo x="21531" y="3908"/>
                <wp:lineTo x="21531" y="0"/>
                <wp:lineTo x="0" y="0"/>
              </wp:wrapPolygon>
            </wp:wrapTight>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24550" cy="1263650"/>
                    </a:xfrm>
                    <a:prstGeom prst="rect">
                      <a:avLst/>
                    </a:prstGeom>
                    <a:noFill/>
                    <a:ln>
                      <a:noFill/>
                    </a:ln>
                  </pic:spPr>
                </pic:pic>
              </a:graphicData>
            </a:graphic>
            <wp14:sizeRelH relativeFrom="margin">
              <wp14:pctWidth>0</wp14:pctWidth>
            </wp14:sizeRelH>
          </wp:anchor>
        </w:drawing>
      </w:r>
      <w:r w:rsidRPr="00F56356">
        <w:rPr>
          <w:rFonts w:ascii="Times New Roman" w:eastAsiaTheme="minorEastAsia" w:hAnsi="Times New Roman" w:cs="Times New Roman"/>
          <w:color w:val="000000" w:themeColor="text1"/>
          <w:sz w:val="24"/>
          <w:szCs w:val="24"/>
          <w:lang w:eastAsia="it-IT"/>
        </w:rPr>
        <w:t>Indicatori di bilancio</w:t>
      </w:r>
    </w:p>
    <w:p w14:paraId="75FDF61D"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2AD7BB7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
          <w:szCs w:val="24"/>
          <w:lang w:eastAsia="it-IT"/>
        </w:rPr>
      </w:pPr>
    </w:p>
    <w:p w14:paraId="313F5A5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p>
    <w:p w14:paraId="66795F1F"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Gli scostamenti tra gli indicatori di bilancio attesi e quelli realizzati sono stati determinati: </w:t>
      </w:r>
    </w:p>
    <w:p w14:paraId="594305D9"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color w:val="000000" w:themeColor="text1"/>
          <w:sz w:val="24"/>
          <w:szCs w:val="24"/>
          <w:lang w:eastAsia="it-IT"/>
        </w:rPr>
        <w:t>a)</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per il capitolo 251 -</w:t>
      </w:r>
      <w:r w:rsidRPr="00F56356">
        <w:rPr>
          <w:rFonts w:eastAsiaTheme="minorEastAsia" w:cs="Times New Roman"/>
          <w:color w:val="000000" w:themeColor="text1"/>
          <w:lang w:eastAsia="it-IT"/>
        </w:rPr>
        <w:t xml:space="preserve"> </w:t>
      </w:r>
      <w:r w:rsidRPr="00F56356">
        <w:rPr>
          <w:rFonts w:ascii="Times New Roman" w:eastAsiaTheme="minorEastAsia" w:hAnsi="Times New Roman" w:cs="Times New Roman"/>
          <w:i/>
          <w:color w:val="000000" w:themeColor="text1"/>
          <w:sz w:val="24"/>
          <w:szCs w:val="24"/>
          <w:lang w:eastAsia="it-IT"/>
        </w:rPr>
        <w:t>Spese per il potenziamento delle attività e degli strumenti di analisi e monitoraggio del Dipartimento,</w:t>
      </w:r>
      <w:r w:rsidRPr="00F56356">
        <w:rPr>
          <w:rFonts w:ascii="Times New Roman" w:eastAsiaTheme="minorEastAsia" w:hAnsi="Times New Roman" w:cs="Times New Roman"/>
          <w:color w:val="000000" w:themeColor="text1"/>
          <w:sz w:val="24"/>
          <w:szCs w:val="24"/>
          <w:lang w:eastAsia="it-IT"/>
        </w:rPr>
        <w:t xml:space="preserve"> dall’allungamento dei tempi della procedura di affidamento per il servizio di gestione paghe, che ha causato la posticipazione della stipula del contratto. Nel luglio 2022, tramite la procedura negoziata senza previa pubblicazione di bando di gara ex articolo 63, comma 2, lett. b) del decreto legislativo n. 50 del 18 aprile 2016 e </w:t>
      </w:r>
      <w:proofErr w:type="spellStart"/>
      <w:r w:rsidRPr="00F56356">
        <w:rPr>
          <w:rFonts w:ascii="Times New Roman" w:eastAsiaTheme="minorEastAsia" w:hAnsi="Times New Roman" w:cs="Times New Roman"/>
          <w:color w:val="000000" w:themeColor="text1"/>
          <w:sz w:val="24"/>
          <w:szCs w:val="24"/>
          <w:lang w:eastAsia="it-IT"/>
        </w:rPr>
        <w:t>smi</w:t>
      </w:r>
      <w:proofErr w:type="spellEnd"/>
      <w:r w:rsidRPr="00F56356">
        <w:rPr>
          <w:rFonts w:ascii="Times New Roman" w:eastAsiaTheme="minorEastAsia" w:hAnsi="Times New Roman" w:cs="Times New Roman"/>
          <w:color w:val="000000" w:themeColor="text1"/>
          <w:sz w:val="24"/>
          <w:szCs w:val="24"/>
          <w:lang w:eastAsia="it-IT"/>
        </w:rPr>
        <w:t>, sottosoglia tramite MEPA, sono stati acquisiti i servizi di manutenzione e di assistenza tecnica sul software di gestione paghe fornito dalla società Zucchetti S.p.A. e ai fini della stipula del contratto, è stato costituito l’impegno pluriennale suddiviso in quattro anni (2022-2025);</w:t>
      </w:r>
    </w:p>
    <w:p w14:paraId="7B442AA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b) per il capitolo 255 - </w:t>
      </w:r>
      <w:r w:rsidRPr="00F56356">
        <w:rPr>
          <w:rFonts w:ascii="Times New Roman" w:eastAsiaTheme="minorEastAsia" w:hAnsi="Times New Roman" w:cs="Times New Roman"/>
          <w:i/>
          <w:color w:val="000000" w:themeColor="text1"/>
          <w:sz w:val="24"/>
          <w:szCs w:val="24"/>
          <w:lang w:eastAsia="it-IT"/>
        </w:rPr>
        <w:t>Spese per acquisto giornali, riviste e periodici,</w:t>
      </w:r>
      <w:r w:rsidRPr="00F56356">
        <w:rPr>
          <w:rFonts w:ascii="Times New Roman" w:eastAsiaTheme="minorEastAsia" w:hAnsi="Times New Roman" w:cs="Times New Roman"/>
          <w:color w:val="000000" w:themeColor="text1"/>
          <w:sz w:val="24"/>
          <w:szCs w:val="24"/>
          <w:lang w:eastAsia="it-IT"/>
        </w:rPr>
        <w:t xml:space="preserve"> a causa delle difficoltà riscontrate nell’individuazione del fornitore del servizio;</w:t>
      </w:r>
    </w:p>
    <w:p w14:paraId="012513D3"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color w:val="FF0000"/>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c) per il capitolo 917 - </w:t>
      </w:r>
      <w:r w:rsidRPr="00F56356">
        <w:rPr>
          <w:rFonts w:ascii="Times New Roman" w:eastAsiaTheme="minorEastAsia" w:hAnsi="Times New Roman" w:cs="Times New Roman"/>
          <w:i/>
          <w:color w:val="000000" w:themeColor="text1"/>
          <w:sz w:val="24"/>
          <w:szCs w:val="24"/>
          <w:lang w:eastAsia="it-IT"/>
        </w:rPr>
        <w:t>Fondo per il sostegno alla creazione o potenziamento di centri di ricerca, trasferimento tecnologico e implementazione dell’offerta formativa universitaria per le regioni colpite dagli eventi sismici 2016</w:t>
      </w:r>
      <w:r w:rsidRPr="00F56356">
        <w:rPr>
          <w:rFonts w:ascii="Times New Roman" w:eastAsiaTheme="minorEastAsia" w:hAnsi="Times New Roman" w:cs="Times New Roman"/>
          <w:color w:val="000000" w:themeColor="text1"/>
          <w:sz w:val="24"/>
          <w:szCs w:val="24"/>
          <w:lang w:eastAsia="it-IT"/>
        </w:rPr>
        <w:t>, dalla circostanza che l’iter procedurale per l’attuazione della misura è tuttora in corso da parte della competente Agenzia per la coesione territoriale e ricomprende le risorse dell’annualità 2021 e 2022. In particolare, con decreto del Ministro per il Sud e la coesione territoriale del 4 maggio 2021 sono stati stabiliti i criteri di riparto tra le province dell’area del cratere sisma del 2016 - nelle regioni Abruzzo, Lazio, Umbria e Marche - individuate negli allegati 1, 2 e 2-bis del decreto-legge n.189/2016 e a ciascuna regione sono state assegnate le risorse da ripartire equamente tra i settori di intervento previsti dalla legge quali: creazione o potenziamento di centri di ricerca; trasferimento tecnologico, compatibilmente con la normativa sugli aiuti di Stato; ampliamento dell’offerta formativa universitaria.</w:t>
      </w:r>
      <w:r w:rsidRPr="00F56356">
        <w:rPr>
          <w:rFonts w:ascii="Times New Roman" w:eastAsiaTheme="minorEastAsia" w:hAnsi="Times New Roman" w:cs="Times New Roman"/>
          <w:color w:val="FF0000"/>
          <w:sz w:val="24"/>
          <w:szCs w:val="24"/>
          <w:lang w:eastAsia="it-IT"/>
        </w:rPr>
        <w:t xml:space="preserve"> </w:t>
      </w:r>
      <w:r w:rsidRPr="00F56356">
        <w:rPr>
          <w:rFonts w:ascii="Times New Roman" w:eastAsiaTheme="minorEastAsia" w:hAnsi="Times New Roman" w:cs="Times New Roman"/>
          <w:color w:val="000000" w:themeColor="text1"/>
          <w:sz w:val="24"/>
          <w:szCs w:val="24"/>
          <w:lang w:eastAsia="it-IT"/>
        </w:rPr>
        <w:t xml:space="preserve">A conclusione della fase di valutazione delle proposte progettuali presentate nell’ambito dell’Avviso per la selezione di progetti di promozione della ricerca, del trasferimento tecnologico e della formazione universitaria da </w:t>
      </w:r>
      <w:r w:rsidRPr="00F56356">
        <w:rPr>
          <w:rFonts w:ascii="Times New Roman" w:eastAsiaTheme="minorEastAsia" w:hAnsi="Times New Roman" w:cs="Times New Roman"/>
          <w:color w:val="000000" w:themeColor="text1"/>
          <w:sz w:val="24"/>
          <w:szCs w:val="24"/>
          <w:lang w:eastAsia="it-IT"/>
        </w:rPr>
        <w:lastRenderedPageBreak/>
        <w:t xml:space="preserve">finanziare nelle regioni Lazio, Abruzzo, Umbria e Marche interessate dagli eventi sismici del 2016, sono state approvate le graduatorie dei progetti. </w:t>
      </w:r>
    </w:p>
    <w:p w14:paraId="06764053" w14:textId="77777777" w:rsidR="00F56356" w:rsidRPr="00F56356" w:rsidRDefault="00F56356" w:rsidP="00F56356">
      <w:pPr>
        <w:ind w:left="142"/>
        <w:jc w:val="both"/>
        <w:rPr>
          <w:rFonts w:ascii="Times New Roman" w:eastAsia="Times New Roman" w:hAnsi="Times New Roman" w:cs="Times New Roman"/>
          <w:bCs/>
          <w:color w:val="000000" w:themeColor="text1"/>
          <w:sz w:val="24"/>
          <w:szCs w:val="24"/>
          <w:lang w:eastAsia="it-IT"/>
        </w:rPr>
      </w:pPr>
    </w:p>
    <w:p w14:paraId="018E6C40" w14:textId="77777777" w:rsidR="00F56356" w:rsidRPr="00F56356" w:rsidRDefault="00F56356" w:rsidP="00F56356">
      <w:pPr>
        <w:spacing w:after="0" w:line="360" w:lineRule="auto"/>
        <w:ind w:left="284"/>
        <w:jc w:val="both"/>
        <w:rPr>
          <w:rFonts w:ascii="Times New Roman" w:eastAsia="Times New Roman" w:hAnsi="Times New Roman" w:cs="Times New Roman"/>
          <w:bCs/>
          <w:color w:val="000000" w:themeColor="text1"/>
          <w:sz w:val="24"/>
          <w:szCs w:val="24"/>
          <w:lang w:eastAsia="it-IT"/>
        </w:rPr>
      </w:pPr>
      <w:r w:rsidRPr="00F56356">
        <w:rPr>
          <w:rFonts w:ascii="Times New Roman" w:eastAsia="Times New Roman" w:hAnsi="Times New Roman" w:cs="Times New Roman"/>
          <w:bCs/>
          <w:color w:val="000000" w:themeColor="text1"/>
          <w:sz w:val="24"/>
          <w:szCs w:val="24"/>
          <w:lang w:eastAsia="it-IT"/>
        </w:rPr>
        <w:t xml:space="preserve">Nella tabella sottostante è indicata la ripartizione delle risorse relative agli interventi per destinatari finali, comprensive delle risorse relative ai residui passivi perenti </w:t>
      </w:r>
      <w:proofErr w:type="spellStart"/>
      <w:r w:rsidRPr="00F56356">
        <w:rPr>
          <w:rFonts w:ascii="Times New Roman" w:eastAsia="Times New Roman" w:hAnsi="Times New Roman" w:cs="Times New Roman"/>
          <w:bCs/>
          <w:color w:val="000000" w:themeColor="text1"/>
          <w:sz w:val="24"/>
          <w:szCs w:val="24"/>
          <w:lang w:eastAsia="it-IT"/>
        </w:rPr>
        <w:t>reiscritti</w:t>
      </w:r>
      <w:proofErr w:type="spellEnd"/>
      <w:r w:rsidRPr="00F56356">
        <w:rPr>
          <w:rFonts w:ascii="Times New Roman" w:eastAsia="Times New Roman" w:hAnsi="Times New Roman" w:cs="Times New Roman"/>
          <w:bCs/>
          <w:color w:val="000000" w:themeColor="text1"/>
          <w:sz w:val="24"/>
          <w:szCs w:val="24"/>
          <w:lang w:eastAsia="it-IT"/>
        </w:rPr>
        <w:t>:</w:t>
      </w:r>
      <w:r w:rsidRPr="00F56356">
        <w:rPr>
          <w:rFonts w:eastAsiaTheme="minorEastAsia" w:cs="Times New Roman"/>
          <w:noProof/>
          <w:lang w:eastAsia="it-IT"/>
        </w:rPr>
        <w:drawing>
          <wp:anchor distT="0" distB="0" distL="114300" distR="114300" simplePos="0" relativeHeight="251728896" behindDoc="1" locked="0" layoutInCell="1" allowOverlap="1" wp14:anchorId="06601741" wp14:editId="2F68D947">
            <wp:simplePos x="0" y="0"/>
            <wp:positionH relativeFrom="column">
              <wp:posOffset>193675</wp:posOffset>
            </wp:positionH>
            <wp:positionV relativeFrom="paragraph">
              <wp:posOffset>528955</wp:posOffset>
            </wp:positionV>
            <wp:extent cx="6013450" cy="1516380"/>
            <wp:effectExtent l="0" t="0" r="6350" b="7620"/>
            <wp:wrapTight wrapText="bothSides">
              <wp:wrapPolygon edited="0">
                <wp:start x="0" y="0"/>
                <wp:lineTo x="0" y="19266"/>
                <wp:lineTo x="684" y="21437"/>
                <wp:lineTo x="19775" y="21437"/>
                <wp:lineTo x="20528" y="21166"/>
                <wp:lineTo x="21554" y="18995"/>
                <wp:lineTo x="21554" y="0"/>
                <wp:lineTo x="0" y="0"/>
              </wp:wrapPolygon>
            </wp:wrapTight>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13450" cy="1516380"/>
                    </a:xfrm>
                    <a:prstGeom prst="rect">
                      <a:avLst/>
                    </a:prstGeom>
                    <a:noFill/>
                    <a:ln>
                      <a:noFill/>
                    </a:ln>
                  </pic:spPr>
                </pic:pic>
              </a:graphicData>
            </a:graphic>
            <wp14:sizeRelH relativeFrom="margin">
              <wp14:pctWidth>0</wp14:pctWidth>
            </wp14:sizeRelH>
          </wp:anchor>
        </w:drawing>
      </w:r>
    </w:p>
    <w:p w14:paraId="4FDB85C9" w14:textId="77777777" w:rsidR="00F56356" w:rsidRPr="00F56356" w:rsidRDefault="00F56356" w:rsidP="00F56356">
      <w:pPr>
        <w:ind w:left="142"/>
        <w:jc w:val="both"/>
        <w:rPr>
          <w:rFonts w:ascii="Times New Roman" w:eastAsia="Times New Roman" w:hAnsi="Times New Roman" w:cs="Times New Roman"/>
          <w:bCs/>
          <w:color w:val="000000" w:themeColor="text1"/>
          <w:sz w:val="24"/>
          <w:szCs w:val="24"/>
          <w:lang w:eastAsia="it-IT"/>
        </w:rPr>
      </w:pPr>
      <w:r w:rsidRPr="00F56356">
        <w:rPr>
          <w:rFonts w:eastAsiaTheme="minorEastAsia" w:cs="Times New Roman"/>
          <w:noProof/>
          <w:lang w:eastAsia="it-IT"/>
        </w:rPr>
        <w:drawing>
          <wp:anchor distT="0" distB="0" distL="114300" distR="114300" simplePos="0" relativeHeight="251729920" behindDoc="1" locked="0" layoutInCell="1" allowOverlap="1" wp14:anchorId="64644944" wp14:editId="765B92B0">
            <wp:simplePos x="0" y="0"/>
            <wp:positionH relativeFrom="column">
              <wp:posOffset>213360</wp:posOffset>
            </wp:positionH>
            <wp:positionV relativeFrom="paragraph">
              <wp:posOffset>1908175</wp:posOffset>
            </wp:positionV>
            <wp:extent cx="5994400" cy="1602105"/>
            <wp:effectExtent l="0" t="0" r="6350" b="0"/>
            <wp:wrapTight wrapText="bothSides">
              <wp:wrapPolygon edited="0">
                <wp:start x="0" y="0"/>
                <wp:lineTo x="0" y="19263"/>
                <wp:lineTo x="618" y="20547"/>
                <wp:lineTo x="618" y="21317"/>
                <wp:lineTo x="19769" y="21317"/>
                <wp:lineTo x="21486" y="20547"/>
                <wp:lineTo x="21554" y="20033"/>
                <wp:lineTo x="21554" y="0"/>
                <wp:lineTo x="0" y="0"/>
              </wp:wrapPolygon>
            </wp:wrapTight>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94400" cy="1602105"/>
                    </a:xfrm>
                    <a:prstGeom prst="rect">
                      <a:avLst/>
                    </a:prstGeom>
                    <a:noFill/>
                    <a:ln>
                      <a:noFill/>
                    </a:ln>
                  </pic:spPr>
                </pic:pic>
              </a:graphicData>
            </a:graphic>
            <wp14:sizeRelH relativeFrom="margin">
              <wp14:pctWidth>0</wp14:pctWidth>
            </wp14:sizeRelH>
          </wp:anchor>
        </w:drawing>
      </w:r>
    </w:p>
    <w:p w14:paraId="33A842DE"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591A2021"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5A4F77E4"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35B740DE"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524052B9"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08B26764"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3F35152F"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727A8C34"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6261A8D1" w14:textId="156C5FAB" w:rsid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799EE70A" w14:textId="601270DD" w:rsidR="003F497A" w:rsidRDefault="003F497A" w:rsidP="00F56356">
      <w:pPr>
        <w:ind w:left="2960"/>
        <w:rPr>
          <w:rFonts w:ascii="Times New Roman" w:eastAsia="Times New Roman" w:hAnsi="Times New Roman" w:cs="Times New Roman"/>
          <w:b/>
          <w:bCs/>
          <w:color w:val="000000" w:themeColor="text1"/>
          <w:sz w:val="24"/>
          <w:szCs w:val="24"/>
          <w:lang w:eastAsia="it-IT"/>
        </w:rPr>
      </w:pPr>
    </w:p>
    <w:p w14:paraId="3E80CB0B" w14:textId="6DFA2907" w:rsidR="003F497A" w:rsidRDefault="003F497A" w:rsidP="00F56356">
      <w:pPr>
        <w:ind w:left="2960"/>
        <w:rPr>
          <w:rFonts w:ascii="Times New Roman" w:eastAsia="Times New Roman" w:hAnsi="Times New Roman" w:cs="Times New Roman"/>
          <w:b/>
          <w:bCs/>
          <w:color w:val="000000" w:themeColor="text1"/>
          <w:sz w:val="24"/>
          <w:szCs w:val="24"/>
          <w:lang w:eastAsia="it-IT"/>
        </w:rPr>
      </w:pPr>
    </w:p>
    <w:p w14:paraId="3104EF0D" w14:textId="77777777" w:rsidR="003F497A" w:rsidRPr="00F56356" w:rsidRDefault="003F497A" w:rsidP="00F56356">
      <w:pPr>
        <w:ind w:left="2960"/>
        <w:rPr>
          <w:rFonts w:ascii="Times New Roman" w:eastAsia="Times New Roman" w:hAnsi="Times New Roman" w:cs="Times New Roman"/>
          <w:b/>
          <w:bCs/>
          <w:color w:val="000000" w:themeColor="text1"/>
          <w:sz w:val="24"/>
          <w:szCs w:val="24"/>
          <w:lang w:eastAsia="it-IT"/>
        </w:rPr>
      </w:pPr>
    </w:p>
    <w:p w14:paraId="57963291"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tbl>
      <w:tblPr>
        <w:tblW w:w="10000" w:type="dxa"/>
        <w:tblCellMar>
          <w:left w:w="70" w:type="dxa"/>
          <w:right w:w="70" w:type="dxa"/>
        </w:tblCellMar>
        <w:tblLook w:val="04A0" w:firstRow="1" w:lastRow="0" w:firstColumn="1" w:lastColumn="0" w:noHBand="0" w:noVBand="1"/>
      </w:tblPr>
      <w:tblGrid>
        <w:gridCol w:w="340"/>
        <w:gridCol w:w="2440"/>
        <w:gridCol w:w="540"/>
        <w:gridCol w:w="1240"/>
        <w:gridCol w:w="1360"/>
        <w:gridCol w:w="1360"/>
        <w:gridCol w:w="1360"/>
        <w:gridCol w:w="1360"/>
      </w:tblGrid>
      <w:tr w:rsidR="00F56356" w:rsidRPr="00F56356" w14:paraId="0A545B30" w14:textId="77777777" w:rsidTr="00F56356">
        <w:trPr>
          <w:trHeight w:val="510"/>
        </w:trPr>
        <w:tc>
          <w:tcPr>
            <w:tcW w:w="340" w:type="dxa"/>
            <w:tcBorders>
              <w:top w:val="nil"/>
              <w:left w:val="nil"/>
              <w:bottom w:val="nil"/>
              <w:right w:val="nil"/>
            </w:tcBorders>
            <w:shd w:val="clear" w:color="auto" w:fill="auto"/>
            <w:noWrap/>
            <w:vAlign w:val="bottom"/>
            <w:hideMark/>
          </w:tcPr>
          <w:p w14:paraId="381EB9F2"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6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D04784"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784119B6" w14:textId="77777777" w:rsidTr="00F56356">
        <w:trPr>
          <w:trHeight w:val="465"/>
        </w:trPr>
        <w:tc>
          <w:tcPr>
            <w:tcW w:w="340" w:type="dxa"/>
            <w:tcBorders>
              <w:top w:val="nil"/>
              <w:left w:val="nil"/>
              <w:bottom w:val="nil"/>
              <w:right w:val="nil"/>
            </w:tcBorders>
            <w:shd w:val="clear" w:color="auto" w:fill="auto"/>
            <w:noWrap/>
            <w:vAlign w:val="center"/>
            <w:hideMark/>
          </w:tcPr>
          <w:p w14:paraId="613AF7C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E41A2F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271553E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32 - Servizi istituzionali e generali delle amministrazioni pubbliche</w:t>
            </w:r>
          </w:p>
        </w:tc>
      </w:tr>
      <w:tr w:rsidR="00F56356" w:rsidRPr="00F56356" w14:paraId="2183CF5E" w14:textId="77777777" w:rsidTr="00F56356">
        <w:trPr>
          <w:trHeight w:val="585"/>
        </w:trPr>
        <w:tc>
          <w:tcPr>
            <w:tcW w:w="340" w:type="dxa"/>
            <w:tcBorders>
              <w:top w:val="nil"/>
              <w:left w:val="nil"/>
              <w:bottom w:val="nil"/>
              <w:right w:val="nil"/>
            </w:tcBorders>
            <w:shd w:val="clear" w:color="auto" w:fill="auto"/>
            <w:noWrap/>
            <w:vAlign w:val="center"/>
            <w:hideMark/>
          </w:tcPr>
          <w:p w14:paraId="748455EC"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3E133D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418EE21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roofErr w:type="gramStart"/>
            <w:r w:rsidRPr="00F56356">
              <w:rPr>
                <w:rFonts w:ascii="Times New Roman" w:eastAsia="Times New Roman" w:hAnsi="Times New Roman" w:cs="Times New Roman"/>
                <w:color w:val="000000"/>
                <w:sz w:val="20"/>
                <w:szCs w:val="20"/>
                <w:lang w:eastAsia="it-IT"/>
              </w:rPr>
              <w:t>32.4  -</w:t>
            </w:r>
            <w:proofErr w:type="gramEnd"/>
            <w:r w:rsidRPr="00F56356">
              <w:rPr>
                <w:rFonts w:ascii="Times New Roman" w:eastAsia="Times New Roman" w:hAnsi="Times New Roman" w:cs="Times New Roman"/>
                <w:color w:val="000000"/>
                <w:sz w:val="20"/>
                <w:szCs w:val="20"/>
                <w:lang w:eastAsia="it-IT"/>
              </w:rPr>
              <w:t xml:space="preserve"> Servizi generali delle strutture pubbliche preposte ad attività formative e ad altre attività trasversali per le pubbliche amministrazioni</w:t>
            </w:r>
          </w:p>
        </w:tc>
      </w:tr>
      <w:tr w:rsidR="00F56356" w:rsidRPr="00F56356" w14:paraId="330C59CE" w14:textId="77777777" w:rsidTr="00F56356">
        <w:trPr>
          <w:trHeight w:val="465"/>
        </w:trPr>
        <w:tc>
          <w:tcPr>
            <w:tcW w:w="340" w:type="dxa"/>
            <w:tcBorders>
              <w:top w:val="nil"/>
              <w:left w:val="nil"/>
              <w:bottom w:val="nil"/>
              <w:right w:val="nil"/>
            </w:tcBorders>
            <w:shd w:val="clear" w:color="auto" w:fill="auto"/>
            <w:noWrap/>
            <w:vAlign w:val="center"/>
            <w:hideMark/>
          </w:tcPr>
          <w:p w14:paraId="58B7022B"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7FDB0E3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22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1BDA269"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18 - Politiche di coesione</w:t>
            </w:r>
          </w:p>
        </w:tc>
      </w:tr>
      <w:tr w:rsidR="00F56356" w:rsidRPr="00F56356" w14:paraId="4213FA15" w14:textId="77777777" w:rsidTr="00F56356">
        <w:trPr>
          <w:trHeight w:val="765"/>
        </w:trPr>
        <w:tc>
          <w:tcPr>
            <w:tcW w:w="340" w:type="dxa"/>
            <w:tcBorders>
              <w:top w:val="nil"/>
              <w:left w:val="nil"/>
              <w:bottom w:val="nil"/>
              <w:right w:val="nil"/>
            </w:tcBorders>
            <w:shd w:val="clear" w:color="auto" w:fill="auto"/>
            <w:noWrap/>
            <w:vAlign w:val="center"/>
            <w:hideMark/>
          </w:tcPr>
          <w:p w14:paraId="7BDE0E7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0DF161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595F8F9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Favorire, nell’ambito dell’economia della conoscenza, il perseguimento di obiettivi di sviluppo, coesione e competitività dei territori nelle Regioni Abruzzo, Basilicata, Calabria, Campania, Molise, Puglia, Sardegna e Sicilia</w:t>
            </w:r>
          </w:p>
        </w:tc>
      </w:tr>
      <w:tr w:rsidR="00F56356" w:rsidRPr="00F56356" w14:paraId="16F260BC" w14:textId="77777777" w:rsidTr="00F56356">
        <w:trPr>
          <w:trHeight w:val="1132"/>
        </w:trPr>
        <w:tc>
          <w:tcPr>
            <w:tcW w:w="340" w:type="dxa"/>
            <w:tcBorders>
              <w:top w:val="nil"/>
              <w:left w:val="nil"/>
              <w:bottom w:val="nil"/>
              <w:right w:val="nil"/>
            </w:tcBorders>
            <w:shd w:val="clear" w:color="auto" w:fill="auto"/>
            <w:noWrap/>
            <w:vAlign w:val="center"/>
            <w:hideMark/>
          </w:tcPr>
          <w:p w14:paraId="136DBEE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440DA5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7705073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Migliorare le capacità professionali degli operatori del settore e rinforzare l’attenzione degli stessi sulle tematiche della sostenibilità ambientale. Organizzare corsi di formazione turistica </w:t>
            </w:r>
            <w:proofErr w:type="spellStart"/>
            <w:r w:rsidRPr="00F56356">
              <w:rPr>
                <w:rFonts w:ascii="Times New Roman" w:eastAsia="Times New Roman" w:hAnsi="Times New Roman" w:cs="Times New Roman"/>
                <w:color w:val="000000"/>
                <w:sz w:val="20"/>
                <w:szCs w:val="20"/>
                <w:lang w:eastAsia="it-IT"/>
              </w:rPr>
              <w:t>esperenziale</w:t>
            </w:r>
            <w:proofErr w:type="spellEnd"/>
            <w:r w:rsidRPr="00F56356">
              <w:rPr>
                <w:rFonts w:ascii="Times New Roman" w:eastAsia="Times New Roman" w:hAnsi="Times New Roman" w:cs="Times New Roman"/>
                <w:color w:val="000000"/>
                <w:sz w:val="20"/>
                <w:szCs w:val="20"/>
                <w:lang w:eastAsia="it-IT"/>
              </w:rPr>
              <w:t xml:space="preserve"> riferiti ad ambiti della filiera del turismo in ragione della vocazione turistica del proprio territorio.</w:t>
            </w:r>
          </w:p>
        </w:tc>
      </w:tr>
      <w:tr w:rsidR="00F56356" w:rsidRPr="00F56356" w14:paraId="1C5406E5" w14:textId="77777777" w:rsidTr="00F56356">
        <w:trPr>
          <w:trHeight w:val="390"/>
        </w:trPr>
        <w:tc>
          <w:tcPr>
            <w:tcW w:w="340" w:type="dxa"/>
            <w:tcBorders>
              <w:top w:val="nil"/>
              <w:left w:val="nil"/>
              <w:bottom w:val="nil"/>
              <w:right w:val="nil"/>
            </w:tcBorders>
            <w:shd w:val="clear" w:color="auto" w:fill="auto"/>
            <w:noWrap/>
            <w:vAlign w:val="center"/>
            <w:hideMark/>
          </w:tcPr>
          <w:p w14:paraId="6B75D61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2A37A1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748E90C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009EEE24" w14:textId="77777777" w:rsidTr="00F56356">
        <w:trPr>
          <w:trHeight w:val="390"/>
        </w:trPr>
        <w:tc>
          <w:tcPr>
            <w:tcW w:w="340" w:type="dxa"/>
            <w:tcBorders>
              <w:top w:val="nil"/>
              <w:left w:val="nil"/>
              <w:bottom w:val="nil"/>
              <w:right w:val="nil"/>
            </w:tcBorders>
            <w:shd w:val="clear" w:color="auto" w:fill="auto"/>
            <w:noWrap/>
            <w:vAlign w:val="center"/>
            <w:hideMark/>
          </w:tcPr>
          <w:p w14:paraId="5E993D7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7D7892C"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62B6246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3D25DDDC" w14:textId="77777777" w:rsidTr="00F56356">
        <w:trPr>
          <w:trHeight w:val="525"/>
        </w:trPr>
        <w:tc>
          <w:tcPr>
            <w:tcW w:w="340" w:type="dxa"/>
            <w:tcBorders>
              <w:top w:val="nil"/>
              <w:left w:val="nil"/>
              <w:bottom w:val="nil"/>
              <w:right w:val="nil"/>
            </w:tcBorders>
            <w:shd w:val="clear" w:color="auto" w:fill="auto"/>
            <w:noWrap/>
            <w:vAlign w:val="bottom"/>
            <w:hideMark/>
          </w:tcPr>
          <w:p w14:paraId="6C229E7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vMerge w:val="restart"/>
            <w:tcBorders>
              <w:top w:val="nil"/>
              <w:left w:val="single" w:sz="4" w:space="0" w:color="auto"/>
              <w:bottom w:val="single" w:sz="4" w:space="0" w:color="000000"/>
              <w:right w:val="single" w:sz="4" w:space="0" w:color="auto"/>
            </w:tcBorders>
            <w:shd w:val="clear" w:color="auto" w:fill="auto"/>
            <w:vAlign w:val="center"/>
            <w:hideMark/>
          </w:tcPr>
          <w:p w14:paraId="072513D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770CBA"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241</w:t>
            </w:r>
          </w:p>
        </w:tc>
        <w:tc>
          <w:tcPr>
            <w:tcW w:w="26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00B71"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40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C33E00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332E2413" w14:textId="77777777" w:rsidTr="00F56356">
        <w:trPr>
          <w:trHeight w:val="1066"/>
        </w:trPr>
        <w:tc>
          <w:tcPr>
            <w:tcW w:w="340" w:type="dxa"/>
            <w:tcBorders>
              <w:top w:val="nil"/>
              <w:left w:val="nil"/>
              <w:bottom w:val="nil"/>
              <w:right w:val="nil"/>
            </w:tcBorders>
            <w:shd w:val="clear" w:color="auto" w:fill="auto"/>
            <w:noWrap/>
            <w:vAlign w:val="bottom"/>
            <w:hideMark/>
          </w:tcPr>
          <w:p w14:paraId="70BD03A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440" w:type="dxa"/>
            <w:vMerge/>
            <w:tcBorders>
              <w:top w:val="nil"/>
              <w:left w:val="single" w:sz="4" w:space="0" w:color="auto"/>
              <w:bottom w:val="single" w:sz="4" w:space="0" w:color="000000"/>
              <w:right w:val="single" w:sz="4" w:space="0" w:color="auto"/>
            </w:tcBorders>
            <w:vAlign w:val="center"/>
            <w:hideMark/>
          </w:tcPr>
          <w:p w14:paraId="1E43245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10D620CF"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1B55AB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60" w:type="dxa"/>
            <w:tcBorders>
              <w:top w:val="nil"/>
              <w:left w:val="nil"/>
              <w:bottom w:val="single" w:sz="4" w:space="0" w:color="auto"/>
              <w:right w:val="single" w:sz="4" w:space="0" w:color="auto"/>
            </w:tcBorders>
            <w:shd w:val="clear" w:color="auto" w:fill="auto"/>
            <w:vAlign w:val="center"/>
            <w:hideMark/>
          </w:tcPr>
          <w:p w14:paraId="2565530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Stanziamento definitivo di 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360" w:type="dxa"/>
            <w:tcBorders>
              <w:top w:val="nil"/>
              <w:left w:val="nil"/>
              <w:bottom w:val="single" w:sz="4" w:space="0" w:color="auto"/>
              <w:right w:val="single" w:sz="4" w:space="0" w:color="auto"/>
            </w:tcBorders>
            <w:shd w:val="clear" w:color="auto" w:fill="auto"/>
            <w:vAlign w:val="center"/>
            <w:hideMark/>
          </w:tcPr>
          <w:p w14:paraId="3B2F10C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60" w:type="dxa"/>
            <w:tcBorders>
              <w:top w:val="nil"/>
              <w:left w:val="nil"/>
              <w:bottom w:val="single" w:sz="4" w:space="0" w:color="auto"/>
              <w:right w:val="single" w:sz="4" w:space="0" w:color="auto"/>
            </w:tcBorders>
            <w:shd w:val="clear" w:color="auto" w:fill="auto"/>
            <w:vAlign w:val="center"/>
            <w:hideMark/>
          </w:tcPr>
          <w:p w14:paraId="17A2AB7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360" w:type="dxa"/>
            <w:tcBorders>
              <w:top w:val="nil"/>
              <w:left w:val="nil"/>
              <w:bottom w:val="single" w:sz="4" w:space="0" w:color="auto"/>
              <w:right w:val="single" w:sz="4" w:space="0" w:color="auto"/>
            </w:tcBorders>
            <w:shd w:val="clear" w:color="auto" w:fill="auto"/>
            <w:vAlign w:val="center"/>
            <w:hideMark/>
          </w:tcPr>
          <w:p w14:paraId="56987E3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Totale impegnato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69CD258A" w14:textId="77777777" w:rsidTr="00F56356">
        <w:trPr>
          <w:trHeight w:val="557"/>
        </w:trPr>
        <w:tc>
          <w:tcPr>
            <w:tcW w:w="340" w:type="dxa"/>
            <w:tcBorders>
              <w:top w:val="nil"/>
              <w:left w:val="nil"/>
              <w:bottom w:val="nil"/>
              <w:right w:val="nil"/>
            </w:tcBorders>
            <w:shd w:val="clear" w:color="auto" w:fill="auto"/>
            <w:noWrap/>
            <w:vAlign w:val="bottom"/>
            <w:hideMark/>
          </w:tcPr>
          <w:p w14:paraId="0C2AB39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40" w:type="dxa"/>
            <w:vMerge/>
            <w:tcBorders>
              <w:top w:val="nil"/>
              <w:left w:val="single" w:sz="4" w:space="0" w:color="auto"/>
              <w:bottom w:val="single" w:sz="4" w:space="0" w:color="000000"/>
              <w:right w:val="single" w:sz="4" w:space="0" w:color="auto"/>
            </w:tcBorders>
            <w:vAlign w:val="center"/>
            <w:hideMark/>
          </w:tcPr>
          <w:p w14:paraId="5D3759C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2F7CFA0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8915967"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1.000.000,00</w:t>
            </w:r>
          </w:p>
        </w:tc>
        <w:tc>
          <w:tcPr>
            <w:tcW w:w="1360" w:type="dxa"/>
            <w:tcBorders>
              <w:top w:val="nil"/>
              <w:left w:val="nil"/>
              <w:bottom w:val="single" w:sz="4" w:space="0" w:color="auto"/>
              <w:right w:val="single" w:sz="4" w:space="0" w:color="auto"/>
            </w:tcBorders>
            <w:shd w:val="clear" w:color="auto" w:fill="auto"/>
            <w:noWrap/>
            <w:vAlign w:val="center"/>
            <w:hideMark/>
          </w:tcPr>
          <w:p w14:paraId="2B1FA35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2.000.000,00</w:t>
            </w:r>
          </w:p>
        </w:tc>
        <w:tc>
          <w:tcPr>
            <w:tcW w:w="1360" w:type="dxa"/>
            <w:tcBorders>
              <w:top w:val="nil"/>
              <w:left w:val="nil"/>
              <w:bottom w:val="single" w:sz="4" w:space="0" w:color="auto"/>
              <w:right w:val="single" w:sz="4" w:space="0" w:color="auto"/>
            </w:tcBorders>
            <w:shd w:val="clear" w:color="auto" w:fill="auto"/>
            <w:noWrap/>
            <w:vAlign w:val="center"/>
            <w:hideMark/>
          </w:tcPr>
          <w:p w14:paraId="77CA92DA"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1.400.000,00</w:t>
            </w:r>
          </w:p>
        </w:tc>
        <w:tc>
          <w:tcPr>
            <w:tcW w:w="1360" w:type="dxa"/>
            <w:tcBorders>
              <w:top w:val="nil"/>
              <w:left w:val="nil"/>
              <w:bottom w:val="single" w:sz="4" w:space="0" w:color="auto"/>
              <w:right w:val="single" w:sz="4" w:space="0" w:color="auto"/>
            </w:tcBorders>
            <w:shd w:val="clear" w:color="auto" w:fill="auto"/>
            <w:noWrap/>
            <w:vAlign w:val="center"/>
            <w:hideMark/>
          </w:tcPr>
          <w:p w14:paraId="3170A943"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600.000,00</w:t>
            </w:r>
          </w:p>
        </w:tc>
        <w:tc>
          <w:tcPr>
            <w:tcW w:w="1360" w:type="dxa"/>
            <w:tcBorders>
              <w:top w:val="nil"/>
              <w:left w:val="nil"/>
              <w:bottom w:val="single" w:sz="4" w:space="0" w:color="auto"/>
              <w:right w:val="single" w:sz="4" w:space="0" w:color="auto"/>
            </w:tcBorders>
            <w:shd w:val="clear" w:color="auto" w:fill="auto"/>
            <w:noWrap/>
            <w:vAlign w:val="center"/>
            <w:hideMark/>
          </w:tcPr>
          <w:p w14:paraId="4A1A30C1"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2.000.000,00</w:t>
            </w:r>
          </w:p>
        </w:tc>
      </w:tr>
      <w:tr w:rsidR="00F56356" w:rsidRPr="00F56356" w14:paraId="18447137" w14:textId="77777777" w:rsidTr="00F56356">
        <w:trPr>
          <w:trHeight w:val="330"/>
        </w:trPr>
        <w:tc>
          <w:tcPr>
            <w:tcW w:w="340" w:type="dxa"/>
            <w:tcBorders>
              <w:top w:val="nil"/>
              <w:left w:val="nil"/>
              <w:bottom w:val="nil"/>
              <w:right w:val="nil"/>
            </w:tcBorders>
            <w:shd w:val="clear" w:color="auto" w:fill="auto"/>
            <w:noWrap/>
            <w:vAlign w:val="bottom"/>
            <w:hideMark/>
          </w:tcPr>
          <w:p w14:paraId="7E261FA2"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440" w:type="dxa"/>
            <w:tcBorders>
              <w:top w:val="nil"/>
              <w:left w:val="single" w:sz="4" w:space="0" w:color="auto"/>
              <w:bottom w:val="nil"/>
              <w:right w:val="nil"/>
            </w:tcBorders>
            <w:shd w:val="clear" w:color="auto" w:fill="auto"/>
            <w:noWrap/>
            <w:vAlign w:val="center"/>
            <w:hideMark/>
          </w:tcPr>
          <w:p w14:paraId="17987766"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4F294D1C"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7E8008D4"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10DFAF2B"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704FCBBA"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nil"/>
            </w:tcBorders>
            <w:shd w:val="clear" w:color="auto" w:fill="auto"/>
            <w:noWrap/>
            <w:vAlign w:val="bottom"/>
            <w:hideMark/>
          </w:tcPr>
          <w:p w14:paraId="404786DF"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60" w:type="dxa"/>
            <w:tcBorders>
              <w:top w:val="nil"/>
              <w:left w:val="nil"/>
              <w:bottom w:val="nil"/>
              <w:right w:val="single" w:sz="4" w:space="0" w:color="auto"/>
            </w:tcBorders>
            <w:shd w:val="clear" w:color="auto" w:fill="auto"/>
            <w:noWrap/>
            <w:vAlign w:val="bottom"/>
            <w:hideMark/>
          </w:tcPr>
          <w:p w14:paraId="130DECD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169FB27" w14:textId="77777777" w:rsidTr="00F56356">
        <w:trPr>
          <w:trHeight w:val="354"/>
        </w:trPr>
        <w:tc>
          <w:tcPr>
            <w:tcW w:w="340" w:type="dxa"/>
            <w:tcBorders>
              <w:top w:val="nil"/>
              <w:left w:val="nil"/>
              <w:bottom w:val="nil"/>
              <w:right w:val="nil"/>
            </w:tcBorders>
            <w:shd w:val="clear" w:color="auto" w:fill="auto"/>
            <w:noWrap/>
            <w:vAlign w:val="bottom"/>
            <w:hideMark/>
          </w:tcPr>
          <w:p w14:paraId="14B814C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660" w:type="dxa"/>
            <w:gridSpan w:val="7"/>
            <w:tcBorders>
              <w:top w:val="nil"/>
              <w:left w:val="single" w:sz="4" w:space="0" w:color="auto"/>
              <w:bottom w:val="nil"/>
              <w:right w:val="single" w:sz="4" w:space="0" w:color="000000"/>
            </w:tcBorders>
            <w:shd w:val="clear" w:color="auto" w:fill="auto"/>
            <w:vAlign w:val="center"/>
            <w:hideMark/>
          </w:tcPr>
          <w:p w14:paraId="750239A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 e (2) risorse finanziarie destinate alla realizzazione dell’obiettivo in termini di stanziamenti c/competenza iniziali e definitivi</w:t>
            </w:r>
          </w:p>
        </w:tc>
      </w:tr>
      <w:tr w:rsidR="00F56356" w:rsidRPr="00F56356" w14:paraId="08699F35" w14:textId="77777777" w:rsidTr="00F56356">
        <w:trPr>
          <w:trHeight w:val="443"/>
        </w:trPr>
        <w:tc>
          <w:tcPr>
            <w:tcW w:w="340" w:type="dxa"/>
            <w:tcBorders>
              <w:top w:val="nil"/>
              <w:left w:val="nil"/>
              <w:bottom w:val="nil"/>
              <w:right w:val="nil"/>
            </w:tcBorders>
            <w:shd w:val="clear" w:color="auto" w:fill="auto"/>
            <w:noWrap/>
            <w:vAlign w:val="bottom"/>
            <w:hideMark/>
          </w:tcPr>
          <w:p w14:paraId="09D4F86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660" w:type="dxa"/>
            <w:gridSpan w:val="7"/>
            <w:tcBorders>
              <w:top w:val="nil"/>
              <w:left w:val="single" w:sz="4" w:space="0" w:color="auto"/>
              <w:bottom w:val="nil"/>
              <w:right w:val="single" w:sz="4" w:space="0" w:color="000000"/>
            </w:tcBorders>
            <w:shd w:val="clear" w:color="auto" w:fill="auto"/>
            <w:vAlign w:val="center"/>
            <w:hideMark/>
          </w:tcPr>
          <w:p w14:paraId="4A49B320"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(3) risorse finanziarie impiegate nell’anno per realizzare l’obiettivo in termini di pagamenti in c/competenza</w:t>
            </w:r>
          </w:p>
        </w:tc>
      </w:tr>
      <w:tr w:rsidR="00F56356" w:rsidRPr="00F56356" w14:paraId="014C1E0A" w14:textId="77777777" w:rsidTr="00F56356">
        <w:trPr>
          <w:trHeight w:val="408"/>
        </w:trPr>
        <w:tc>
          <w:tcPr>
            <w:tcW w:w="340" w:type="dxa"/>
            <w:tcBorders>
              <w:top w:val="nil"/>
              <w:left w:val="nil"/>
              <w:bottom w:val="nil"/>
              <w:right w:val="nil"/>
            </w:tcBorders>
            <w:shd w:val="clear" w:color="auto" w:fill="auto"/>
            <w:noWrap/>
            <w:vAlign w:val="bottom"/>
            <w:hideMark/>
          </w:tcPr>
          <w:p w14:paraId="570D59C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9660" w:type="dxa"/>
            <w:gridSpan w:val="7"/>
            <w:tcBorders>
              <w:top w:val="nil"/>
              <w:left w:val="single" w:sz="4" w:space="0" w:color="auto"/>
              <w:bottom w:val="single" w:sz="4" w:space="0" w:color="auto"/>
              <w:right w:val="single" w:sz="4" w:space="0" w:color="000000"/>
            </w:tcBorders>
            <w:shd w:val="clear" w:color="auto" w:fill="auto"/>
            <w:vAlign w:val="center"/>
            <w:hideMark/>
          </w:tcPr>
          <w:p w14:paraId="363A9AA9"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color w:val="000000"/>
                <w:sz w:val="18"/>
                <w:szCs w:val="18"/>
                <w:lang w:eastAsia="it-IT"/>
              </w:rPr>
              <w:t>(4)</w:t>
            </w:r>
            <w:r w:rsidRPr="00F56356">
              <w:rPr>
                <w:rFonts w:ascii="Times New Roman" w:eastAsia="Times New Roman" w:hAnsi="Times New Roman" w:cs="Times New Roman"/>
                <w:b/>
                <w:bCs/>
                <w:color w:val="000000"/>
                <w:sz w:val="18"/>
                <w:szCs w:val="18"/>
                <w:lang w:eastAsia="it-IT"/>
              </w:rPr>
              <w:t xml:space="preserve"> </w:t>
            </w:r>
            <w:r w:rsidRPr="00F56356">
              <w:rPr>
                <w:rFonts w:ascii="Times New Roman" w:eastAsia="Times New Roman" w:hAnsi="Times New Roman" w:cs="Times New Roman"/>
                <w:color w:val="000000"/>
                <w:sz w:val="18"/>
                <w:szCs w:val="18"/>
                <w:lang w:eastAsia="it-IT"/>
              </w:rPr>
              <w:t>impegni rimasti da pagare in c/competenza al termine dell’esercizio.</w:t>
            </w:r>
          </w:p>
        </w:tc>
      </w:tr>
      <w:tr w:rsidR="00F56356" w:rsidRPr="00F56356" w14:paraId="2EBFBFFE" w14:textId="77777777" w:rsidTr="00F56356">
        <w:trPr>
          <w:trHeight w:val="480"/>
        </w:trPr>
        <w:tc>
          <w:tcPr>
            <w:tcW w:w="340" w:type="dxa"/>
            <w:tcBorders>
              <w:top w:val="nil"/>
              <w:left w:val="nil"/>
              <w:bottom w:val="nil"/>
              <w:right w:val="nil"/>
            </w:tcBorders>
            <w:shd w:val="clear" w:color="auto" w:fill="auto"/>
            <w:noWrap/>
            <w:vAlign w:val="bottom"/>
            <w:hideMark/>
          </w:tcPr>
          <w:p w14:paraId="60291489"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96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5C0BC"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71F82A03" w14:textId="77777777" w:rsidTr="00F56356">
        <w:trPr>
          <w:trHeight w:val="795"/>
        </w:trPr>
        <w:tc>
          <w:tcPr>
            <w:tcW w:w="340" w:type="dxa"/>
            <w:tcBorders>
              <w:top w:val="nil"/>
              <w:left w:val="nil"/>
              <w:bottom w:val="nil"/>
              <w:right w:val="nil"/>
            </w:tcBorders>
            <w:shd w:val="clear" w:color="auto" w:fill="auto"/>
            <w:noWrap/>
            <w:vAlign w:val="center"/>
            <w:hideMark/>
          </w:tcPr>
          <w:p w14:paraId="0D3548FF"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03E0A52"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771EC1A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Capacità di impegno, previa verifica dell’Agenzia per la coesione territoriale d’intesa con la Direzione Generale della valorizzazione e della promozione turistica del Ministero del Turismo.</w:t>
            </w:r>
          </w:p>
        </w:tc>
      </w:tr>
      <w:tr w:rsidR="00F56356" w:rsidRPr="00F56356" w14:paraId="66D0071B" w14:textId="77777777" w:rsidTr="00F56356">
        <w:trPr>
          <w:trHeight w:val="870"/>
        </w:trPr>
        <w:tc>
          <w:tcPr>
            <w:tcW w:w="340" w:type="dxa"/>
            <w:tcBorders>
              <w:top w:val="nil"/>
              <w:left w:val="nil"/>
              <w:bottom w:val="nil"/>
              <w:right w:val="nil"/>
            </w:tcBorders>
            <w:shd w:val="clear" w:color="auto" w:fill="auto"/>
            <w:noWrap/>
            <w:vAlign w:val="center"/>
            <w:hideMark/>
          </w:tcPr>
          <w:p w14:paraId="5870A92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51624F1"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220" w:type="dxa"/>
            <w:gridSpan w:val="6"/>
            <w:tcBorders>
              <w:top w:val="single" w:sz="4" w:space="0" w:color="auto"/>
              <w:left w:val="nil"/>
              <w:bottom w:val="single" w:sz="4" w:space="0" w:color="auto"/>
              <w:right w:val="single" w:sz="4" w:space="0" w:color="000000"/>
            </w:tcBorders>
            <w:shd w:val="clear" w:color="auto" w:fill="auto"/>
            <w:vAlign w:val="center"/>
            <w:hideMark/>
          </w:tcPr>
          <w:p w14:paraId="6D94215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 Sistema contabile SICOGE, Sistema PEC, Sistema posta elettronica</w:t>
            </w:r>
          </w:p>
        </w:tc>
      </w:tr>
      <w:tr w:rsidR="00F56356" w:rsidRPr="00F56356" w14:paraId="343A6170" w14:textId="77777777" w:rsidTr="00F56356">
        <w:trPr>
          <w:trHeight w:val="2221"/>
        </w:trPr>
        <w:tc>
          <w:tcPr>
            <w:tcW w:w="340" w:type="dxa"/>
            <w:tcBorders>
              <w:top w:val="nil"/>
              <w:left w:val="nil"/>
              <w:bottom w:val="nil"/>
              <w:right w:val="nil"/>
            </w:tcBorders>
            <w:shd w:val="clear" w:color="auto" w:fill="auto"/>
            <w:noWrap/>
            <w:vAlign w:val="center"/>
            <w:hideMark/>
          </w:tcPr>
          <w:p w14:paraId="55AD846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CBE3FD5"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40" w:type="dxa"/>
            <w:gridSpan w:val="3"/>
            <w:tcBorders>
              <w:top w:val="single" w:sz="4" w:space="0" w:color="auto"/>
              <w:left w:val="nil"/>
              <w:bottom w:val="single" w:sz="4" w:space="0" w:color="auto"/>
              <w:right w:val="single" w:sz="4" w:space="0" w:color="000000"/>
            </w:tcBorders>
            <w:shd w:val="clear" w:color="auto" w:fill="auto"/>
            <w:vAlign w:val="center"/>
            <w:hideMark/>
          </w:tcPr>
          <w:p w14:paraId="29A3C059"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Numero di richieste di contributo evase/numero totale di richieste di contributi impegnabili, pervenute entro il 15 ottobre 2022, previa verifica dell’Agenzia per la coesione territoriale, d’intesa con la Direzione generale della valorizzazione e della promozione turistica del Ministero del Turismo.</w:t>
            </w:r>
          </w:p>
        </w:tc>
        <w:tc>
          <w:tcPr>
            <w:tcW w:w="1360" w:type="dxa"/>
            <w:tcBorders>
              <w:top w:val="nil"/>
              <w:left w:val="nil"/>
              <w:bottom w:val="single" w:sz="4" w:space="0" w:color="auto"/>
              <w:right w:val="nil"/>
            </w:tcBorders>
            <w:shd w:val="clear" w:color="auto" w:fill="auto"/>
            <w:vAlign w:val="center"/>
            <w:hideMark/>
          </w:tcPr>
          <w:p w14:paraId="0A16D474"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60" w:type="dxa"/>
            <w:tcBorders>
              <w:top w:val="nil"/>
              <w:left w:val="single" w:sz="4" w:space="0" w:color="auto"/>
              <w:bottom w:val="single" w:sz="4" w:space="0" w:color="auto"/>
              <w:right w:val="nil"/>
            </w:tcBorders>
            <w:shd w:val="clear" w:color="auto" w:fill="auto"/>
            <w:vAlign w:val="center"/>
            <w:hideMark/>
          </w:tcPr>
          <w:p w14:paraId="28E1098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5C368FE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2BEEEC9D" w14:textId="77777777" w:rsidTr="00F56356">
        <w:trPr>
          <w:trHeight w:val="615"/>
        </w:trPr>
        <w:tc>
          <w:tcPr>
            <w:tcW w:w="340" w:type="dxa"/>
            <w:tcBorders>
              <w:top w:val="nil"/>
              <w:left w:val="nil"/>
              <w:bottom w:val="nil"/>
              <w:right w:val="nil"/>
            </w:tcBorders>
            <w:shd w:val="clear" w:color="auto" w:fill="auto"/>
            <w:noWrap/>
            <w:vAlign w:val="bottom"/>
            <w:hideMark/>
          </w:tcPr>
          <w:p w14:paraId="3EB8D017"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440" w:type="dxa"/>
            <w:tcBorders>
              <w:top w:val="nil"/>
              <w:left w:val="single" w:sz="4" w:space="0" w:color="auto"/>
              <w:bottom w:val="single" w:sz="4" w:space="0" w:color="auto"/>
              <w:right w:val="single" w:sz="4" w:space="0" w:color="auto"/>
            </w:tcBorders>
            <w:shd w:val="clear" w:color="auto" w:fill="auto"/>
            <w:vAlign w:val="center"/>
            <w:hideMark/>
          </w:tcPr>
          <w:p w14:paraId="5313EA5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1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12836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360" w:type="dxa"/>
            <w:tcBorders>
              <w:top w:val="nil"/>
              <w:left w:val="nil"/>
              <w:bottom w:val="single" w:sz="4" w:space="0" w:color="auto"/>
              <w:right w:val="single" w:sz="4" w:space="0" w:color="auto"/>
            </w:tcBorders>
            <w:shd w:val="clear" w:color="auto" w:fill="auto"/>
            <w:noWrap/>
            <w:vAlign w:val="center"/>
            <w:hideMark/>
          </w:tcPr>
          <w:p w14:paraId="67478777"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60" w:type="dxa"/>
            <w:tcBorders>
              <w:top w:val="nil"/>
              <w:left w:val="nil"/>
              <w:bottom w:val="single" w:sz="4" w:space="0" w:color="auto"/>
              <w:right w:val="nil"/>
            </w:tcBorders>
            <w:shd w:val="clear" w:color="auto" w:fill="auto"/>
            <w:vAlign w:val="center"/>
            <w:hideMark/>
          </w:tcPr>
          <w:p w14:paraId="3E24CEE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60" w:type="dxa"/>
            <w:tcBorders>
              <w:top w:val="nil"/>
              <w:left w:val="single" w:sz="4" w:space="0" w:color="auto"/>
              <w:bottom w:val="single" w:sz="4" w:space="0" w:color="auto"/>
              <w:right w:val="single" w:sz="4" w:space="0" w:color="auto"/>
            </w:tcBorders>
            <w:shd w:val="clear" w:color="auto" w:fill="auto"/>
            <w:vAlign w:val="center"/>
            <w:hideMark/>
          </w:tcPr>
          <w:p w14:paraId="2522324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r>
    </w:tbl>
    <w:p w14:paraId="07F80653"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511755F9" w14:textId="77777777" w:rsidR="00F56356" w:rsidRPr="00F56356" w:rsidRDefault="00F56356" w:rsidP="00F56356">
      <w:pPr>
        <w:ind w:left="426"/>
        <w:rPr>
          <w:rFonts w:ascii="Times New Roman" w:eastAsia="Times New Roman" w:hAnsi="Times New Roman" w:cs="Times New Roman"/>
          <w:b/>
          <w:bCs/>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321753BD" wp14:editId="43F43F6B">
            <wp:extent cx="5829300" cy="8667750"/>
            <wp:effectExtent l="0" t="0" r="0"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829350" cy="8667824"/>
                    </a:xfrm>
                    <a:prstGeom prst="rect">
                      <a:avLst/>
                    </a:prstGeom>
                    <a:noFill/>
                    <a:ln>
                      <a:noFill/>
                    </a:ln>
                  </pic:spPr>
                </pic:pic>
              </a:graphicData>
            </a:graphic>
          </wp:inline>
        </w:drawing>
      </w:r>
    </w:p>
    <w:p w14:paraId="074A17AA" w14:textId="77777777" w:rsidR="00F56356" w:rsidRPr="00F56356" w:rsidRDefault="00F56356" w:rsidP="00F56356">
      <w:pPr>
        <w:ind w:left="426"/>
        <w:rPr>
          <w:rFonts w:ascii="Times New Roman" w:eastAsia="Times New Roman" w:hAnsi="Times New Roman" w:cs="Times New Roman"/>
          <w:b/>
          <w:bCs/>
          <w:color w:val="000000" w:themeColor="text1"/>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0C31C9D6" wp14:editId="6D18C1AC">
            <wp:extent cx="5838825" cy="8601075"/>
            <wp:effectExtent l="0" t="0" r="9525"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838837" cy="8601092"/>
                    </a:xfrm>
                    <a:prstGeom prst="rect">
                      <a:avLst/>
                    </a:prstGeom>
                    <a:noFill/>
                    <a:ln>
                      <a:noFill/>
                    </a:ln>
                  </pic:spPr>
                </pic:pic>
              </a:graphicData>
            </a:graphic>
          </wp:inline>
        </w:drawing>
      </w:r>
    </w:p>
    <w:p w14:paraId="407A7EF1" w14:textId="77777777" w:rsidR="00F56356" w:rsidRPr="00F56356" w:rsidRDefault="00F56356" w:rsidP="00F56356">
      <w:pPr>
        <w:ind w:left="2960"/>
        <w:rPr>
          <w:rFonts w:ascii="Times New Roman" w:eastAsia="Times New Roman" w:hAnsi="Times New Roman" w:cs="Times New Roman"/>
          <w:b/>
          <w:bCs/>
          <w:color w:val="000000" w:themeColor="text1"/>
          <w:sz w:val="24"/>
          <w:szCs w:val="24"/>
          <w:lang w:eastAsia="it-IT"/>
        </w:rPr>
      </w:pPr>
    </w:p>
    <w:p w14:paraId="3664C782"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20 “Politiche in favore delle persone con disabilità”</w:t>
      </w:r>
    </w:p>
    <w:p w14:paraId="5346858A"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p>
    <w:p w14:paraId="537DEBA1"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20C559EE"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 xml:space="preserve">Presidenza del Consiglio dei ministri </w:t>
      </w:r>
    </w:p>
    <w:p w14:paraId="4E17BC27" w14:textId="77777777" w:rsidR="00F56356" w:rsidRPr="00F56356" w:rsidRDefault="00F56356" w:rsidP="00F56356">
      <w:pPr>
        <w:spacing w:after="0" w:line="360" w:lineRule="auto"/>
        <w:ind w:left="284"/>
        <w:jc w:val="both"/>
        <w:rPr>
          <w:rFonts w:ascii="Times New Roman" w:eastAsiaTheme="minorEastAsia" w:hAnsi="Times New Roman" w:cs="Times New Roman"/>
          <w:sz w:val="18"/>
          <w:szCs w:val="24"/>
          <w:lang w:eastAsia="it-IT"/>
        </w:rPr>
      </w:pPr>
    </w:p>
    <w:p w14:paraId="7F9A02F3" w14:textId="77777777" w:rsidR="00F56356" w:rsidRPr="00F56356" w:rsidRDefault="00F56356" w:rsidP="00F56356">
      <w:pPr>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MISSIONE 24 - </w:t>
      </w:r>
      <w:r w:rsidRPr="00F56356">
        <w:rPr>
          <w:rFonts w:ascii="Times New Roman" w:eastAsia="Times New Roman" w:hAnsi="Times New Roman" w:cs="Times New Roman"/>
          <w:color w:val="000000" w:themeColor="text1"/>
          <w:sz w:val="24"/>
          <w:szCs w:val="24"/>
          <w:lang w:eastAsia="it-IT"/>
        </w:rPr>
        <w:t xml:space="preserve">Diritti sociali, politiche sociali e famiglia </w:t>
      </w:r>
    </w:p>
    <w:p w14:paraId="52701BDD" w14:textId="77777777" w:rsidR="00F56356" w:rsidRPr="00F56356" w:rsidRDefault="00F56356" w:rsidP="00F56356">
      <w:pPr>
        <w:spacing w:after="0" w:line="360" w:lineRule="auto"/>
        <w:ind w:left="284"/>
        <w:jc w:val="both"/>
        <w:rPr>
          <w:rFonts w:ascii="Times New Roman" w:eastAsia="Times New Roman" w:hAnsi="Times New Roman" w:cs="Times New Roman"/>
          <w:i/>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Programma 24.5 – </w:t>
      </w:r>
      <w:r w:rsidRPr="00F56356">
        <w:rPr>
          <w:rFonts w:ascii="Times New Roman" w:eastAsia="Times New Roman" w:hAnsi="Times New Roman" w:cs="Times New Roman"/>
          <w:color w:val="000000" w:themeColor="text1"/>
          <w:sz w:val="24"/>
          <w:szCs w:val="24"/>
          <w:lang w:eastAsia="it-IT"/>
        </w:rPr>
        <w:t xml:space="preserve">Famiglia, pari opportunità e situazioni di disagio </w:t>
      </w:r>
    </w:p>
    <w:p w14:paraId="31E9C33B"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p>
    <w:p w14:paraId="6FF36F05"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i/>
          <w:sz w:val="24"/>
          <w:szCs w:val="24"/>
          <w:lang w:eastAsia="it-IT"/>
        </w:rPr>
      </w:pPr>
      <w:r w:rsidRPr="00F56356">
        <w:rPr>
          <w:rFonts w:ascii="Times New Roman" w:eastAsiaTheme="minorEastAsia" w:hAnsi="Times New Roman" w:cs="Times New Roman"/>
          <w:b/>
          <w:sz w:val="24"/>
          <w:szCs w:val="24"/>
          <w:lang w:eastAsia="it-IT"/>
        </w:rPr>
        <w:t>1.</w:t>
      </w:r>
      <w:r w:rsidRPr="00F56356">
        <w:rPr>
          <w:rFonts w:ascii="Times New Roman" w:eastAsiaTheme="minorEastAsia" w:hAnsi="Times New Roman" w:cs="Times New Roman"/>
          <w:b/>
          <w:i/>
          <w:sz w:val="24"/>
          <w:szCs w:val="24"/>
          <w:lang w:eastAsia="it-IT"/>
        </w:rPr>
        <w:t xml:space="preserve">  Mission</w:t>
      </w:r>
    </w:p>
    <w:p w14:paraId="68F702AF"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sz w:val="24"/>
          <w:szCs w:val="24"/>
          <w:lang w:eastAsia="it-IT"/>
        </w:rPr>
        <w:t xml:space="preserve">Il Centro di responsabilità 20 “Politiche in favore delle persone con disabilità” </w:t>
      </w:r>
      <w:r w:rsidRPr="00F56356">
        <w:rPr>
          <w:rFonts w:ascii="Times New Roman" w:eastAsia="Times New Roman" w:hAnsi="Times New Roman" w:cs="Times New Roman"/>
          <w:color w:val="000000" w:themeColor="text1"/>
          <w:sz w:val="24"/>
          <w:szCs w:val="24"/>
          <w:lang w:eastAsia="it-IT"/>
        </w:rPr>
        <w:t>è la struttura di supporto al Presidente del Consiglio dei ministri che opera nell’area funzionale relativa alla promozione e al coordinamento delle politiche in favore delle persone con disabilità. In particolare, cura gli adempimenti necessari per la realizzazione degli interventi connessi all’attuazione delle politiche volte a garantire la tutela e la promozione dei diritti delle persone con disabilità e a favorire la loro piena ed effettiva partecipazione e inclusione sociale, nonché la loro autonomia, in coerenza con la Convenzione delle Nazioni Unite sui diritti delle persone con disabilità e la Carta dei diritti fondamentali dell’Unione europea; cura la gestione e il supporto amministrativo per il funzionamento e l’esercizio dei compiti dell’Osservatorio nazionale sulla condizione delle persone con disabilità, di cui al comma 5 dell’</w:t>
      </w:r>
      <w:hyperlink r:id="rId255" w:anchor="id=10LX0000641115ART15,__m=document" w:history="1">
        <w:r w:rsidRPr="00F56356">
          <w:rPr>
            <w:rFonts w:ascii="Times New Roman" w:eastAsia="Times New Roman" w:hAnsi="Times New Roman" w:cs="Times New Roman"/>
            <w:iCs/>
            <w:color w:val="000000" w:themeColor="text1"/>
            <w:sz w:val="24"/>
            <w:szCs w:val="24"/>
            <w:lang w:eastAsia="it-IT"/>
          </w:rPr>
          <w:t>articolo 3 della legge 3 marzo 2009, n. 18</w:t>
        </w:r>
      </w:hyperlink>
      <w:r w:rsidRPr="00F56356">
        <w:rPr>
          <w:rFonts w:ascii="Times New Roman" w:eastAsia="Times New Roman" w:hAnsi="Times New Roman" w:cs="Times New Roman"/>
          <w:color w:val="000000" w:themeColor="text1"/>
          <w:sz w:val="24"/>
          <w:szCs w:val="24"/>
          <w:lang w:eastAsia="it-IT"/>
        </w:rPr>
        <w:t>; svolge le attività istruttorie connesse all’adozione degli atti, anche normativi, di competenza in materia di disabilità e quella ai fini della promozione di intese in sede di Conferenza Unificata, di cui all’</w:t>
      </w:r>
      <w:hyperlink r:id="rId256" w:anchor="id=10LX0000114903ART9,__m=document" w:history="1">
        <w:r w:rsidRPr="00F56356">
          <w:rPr>
            <w:rFonts w:ascii="Times New Roman" w:eastAsia="Times New Roman" w:hAnsi="Times New Roman" w:cs="Times New Roman"/>
            <w:iCs/>
            <w:color w:val="000000" w:themeColor="text1"/>
            <w:sz w:val="24"/>
            <w:szCs w:val="24"/>
            <w:lang w:eastAsia="it-IT"/>
          </w:rPr>
          <w:t>articolo 8 del decreto legislativo 28 agosto 1997, n. 281</w:t>
        </w:r>
      </w:hyperlink>
      <w:r w:rsidRPr="00F56356">
        <w:rPr>
          <w:rFonts w:ascii="Times New Roman" w:eastAsia="Times New Roman" w:hAnsi="Times New Roman" w:cs="Times New Roman"/>
          <w:i/>
          <w:color w:val="000000" w:themeColor="text1"/>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 xml:space="preserve">dirette a sviluppare una </w:t>
      </w:r>
      <w:proofErr w:type="spellStart"/>
      <w:r w:rsidRPr="00F56356">
        <w:rPr>
          <w:rFonts w:ascii="Times New Roman" w:eastAsia="Times New Roman" w:hAnsi="Times New Roman" w:cs="Times New Roman"/>
          <w:i/>
          <w:color w:val="000000" w:themeColor="text1"/>
          <w:sz w:val="24"/>
          <w:szCs w:val="24"/>
          <w:lang w:eastAsia="it-IT"/>
        </w:rPr>
        <w:t>governance</w:t>
      </w:r>
      <w:proofErr w:type="spellEnd"/>
      <w:r w:rsidRPr="00F56356">
        <w:rPr>
          <w:rFonts w:ascii="Times New Roman" w:eastAsia="Times New Roman" w:hAnsi="Times New Roman" w:cs="Times New Roman"/>
          <w:color w:val="000000" w:themeColor="text1"/>
          <w:sz w:val="24"/>
          <w:szCs w:val="24"/>
          <w:lang w:eastAsia="it-IT"/>
        </w:rPr>
        <w:t xml:space="preserve"> coordinata tra i diversi livelli di governo delle prestazioni e dei servizi socio-sanitari ed educativi in favore delle persone con disabilità; cura l’attività di informazione e di comunicazione istituzionale nelle materie di propria competenza, ivi compresa la divulgazione delle azioni positive e delle migliori pratiche; assicura la rappresentanza del Governo negli organismi nazionali, europei e internazionali competenti negli ambiti sopra indicati e fornisce il necessario supporto all’Autorità politica nell’esercizio delle medesime funzioni. Promuove, inoltre, in collaborazione con l’ISTAT e con l’INPS, l’attività di raccolta dei dati concernenti le persone con disabilità, cura l’istruttoria delle istanze inerenti quesiti o segnalazioni sulla condizione di disabilità e promuove attività di studio e ricerca nell’ambito delle suddette politiche.</w:t>
      </w:r>
    </w:p>
    <w:p w14:paraId="672ED4C1"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p>
    <w:p w14:paraId="0AA4E082"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lastRenderedPageBreak/>
        <w:t xml:space="preserve">2. Ricostruzione flussi finanziari e aspetti rilevanti della gestione </w:t>
      </w:r>
    </w:p>
    <w:p w14:paraId="7245A062"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highlight w:val="yellow"/>
          <w:lang w:eastAsia="it-IT"/>
        </w:rPr>
      </w:pPr>
      <w:r w:rsidRPr="00F56356">
        <w:rPr>
          <w:rFonts w:ascii="Times New Roman" w:eastAsia="Times New Roman" w:hAnsi="Times New Roman" w:cs="Times New Roman"/>
          <w:b/>
          <w:color w:val="000000" w:themeColor="text1"/>
          <w:sz w:val="24"/>
          <w:szCs w:val="24"/>
          <w:lang w:eastAsia="it-IT"/>
        </w:rPr>
        <w:t xml:space="preserve">2.1 </w:t>
      </w:r>
      <w:r w:rsidRPr="00F56356">
        <w:rPr>
          <w:rFonts w:ascii="Times New Roman" w:eastAsia="Times New Roman" w:hAnsi="Times New Roman" w:cs="Times New Roman"/>
          <w:color w:val="000000" w:themeColor="text1"/>
          <w:sz w:val="24"/>
          <w:szCs w:val="24"/>
          <w:lang w:eastAsia="it-IT"/>
        </w:rPr>
        <w:t>Le risorse complessivamente stanziate sono state pari a euro 557.729.227,32, nell’ambito delle quali euro 132.392.386,10 riferiti a riassegnazioni dall’avanzo di esercizio 2021.</w:t>
      </w:r>
      <w:r w:rsidRPr="00F56356">
        <w:rPr>
          <w:rFonts w:ascii="Times New Roman" w:eastAsia="Times New Roman" w:hAnsi="Times New Roman" w:cs="Times New Roman"/>
          <w:color w:val="000000" w:themeColor="text1"/>
          <w:sz w:val="24"/>
          <w:szCs w:val="24"/>
          <w:highlight w:val="yellow"/>
          <w:lang w:eastAsia="it-IT"/>
        </w:rPr>
        <w:t xml:space="preserve"> </w:t>
      </w:r>
    </w:p>
    <w:p w14:paraId="7426C28A"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358.327.681,70, con un’economia di bilancio di euro 199.401.545,62. Il totale dei pagamenti riferiti alla competenza è stato pari a euro 317.116.984,05, con un indice di capacità di pagamento (rapporto pagato/impegnato) che si attesta all’88,50 per cento.</w:t>
      </w:r>
    </w:p>
    <w:p w14:paraId="0E021A8D"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I residui passivi al 1° gennaio 2022 erano pari a euro 6.536.623,32. Su questi sono stati effettuati pagamenti per euro 5.175.727,03 e realizzate economie per euro 7.941,28.</w:t>
      </w:r>
    </w:p>
    <w:p w14:paraId="01C154CA"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Indicatori di bilancio</w:t>
      </w:r>
    </w:p>
    <w:tbl>
      <w:tblPr>
        <w:tblW w:w="6860" w:type="dxa"/>
        <w:jc w:val="center"/>
        <w:tblCellMar>
          <w:left w:w="70" w:type="dxa"/>
          <w:right w:w="70" w:type="dxa"/>
        </w:tblCellMar>
        <w:tblLook w:val="04A0" w:firstRow="1" w:lastRow="0" w:firstColumn="1" w:lastColumn="0" w:noHBand="0" w:noVBand="1"/>
      </w:tblPr>
      <w:tblGrid>
        <w:gridCol w:w="471"/>
        <w:gridCol w:w="1546"/>
        <w:gridCol w:w="1530"/>
        <w:gridCol w:w="978"/>
        <w:gridCol w:w="1198"/>
        <w:gridCol w:w="1137"/>
      </w:tblGrid>
      <w:tr w:rsidR="00F56356" w:rsidRPr="00F56356" w14:paraId="2209F9DE" w14:textId="77777777" w:rsidTr="00F56356">
        <w:trPr>
          <w:trHeight w:val="420"/>
          <w:jc w:val="center"/>
        </w:trPr>
        <w:tc>
          <w:tcPr>
            <w:tcW w:w="686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E7A62" w14:textId="77777777" w:rsidR="00F56356" w:rsidRPr="00F56356" w:rsidRDefault="00F56356" w:rsidP="00F56356">
            <w:pPr>
              <w:spacing w:after="0" w:line="240" w:lineRule="auto"/>
              <w:jc w:val="center"/>
              <w:rPr>
                <w:rFonts w:ascii="Calibri" w:eastAsia="Times New Roman" w:hAnsi="Calibri" w:cs="Calibri"/>
                <w:b/>
                <w:bCs/>
                <w:color w:val="000000"/>
                <w:sz w:val="20"/>
                <w:szCs w:val="20"/>
                <w:lang w:eastAsia="it-IT"/>
              </w:rPr>
            </w:pPr>
            <w:r w:rsidRPr="00F56356">
              <w:rPr>
                <w:rFonts w:ascii="Calibri" w:eastAsia="Times New Roman" w:hAnsi="Calibri" w:cs="Calibri"/>
                <w:b/>
                <w:bCs/>
                <w:color w:val="000000"/>
                <w:sz w:val="20"/>
                <w:szCs w:val="20"/>
                <w:lang w:eastAsia="it-IT"/>
              </w:rPr>
              <w:t>SPESE PER INTERVENTI</w:t>
            </w:r>
          </w:p>
        </w:tc>
      </w:tr>
      <w:tr w:rsidR="00F56356" w:rsidRPr="00F56356" w14:paraId="170E4EB3" w14:textId="77777777" w:rsidTr="00F56356">
        <w:trPr>
          <w:trHeight w:val="465"/>
          <w:jc w:val="center"/>
        </w:trPr>
        <w:tc>
          <w:tcPr>
            <w:tcW w:w="4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C37237"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Cap.</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2C01AD81"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accertati all’01/01/2022</w:t>
            </w:r>
          </w:p>
        </w:tc>
        <w:tc>
          <w:tcPr>
            <w:tcW w:w="1530" w:type="dxa"/>
            <w:vMerge w:val="restart"/>
            <w:tcBorders>
              <w:top w:val="nil"/>
              <w:left w:val="single" w:sz="4" w:space="0" w:color="auto"/>
              <w:bottom w:val="single" w:sz="4" w:space="0" w:color="auto"/>
              <w:right w:val="single" w:sz="4" w:space="0" w:color="auto"/>
            </w:tcBorders>
            <w:shd w:val="clear" w:color="auto" w:fill="auto"/>
            <w:vAlign w:val="center"/>
            <w:hideMark/>
          </w:tcPr>
          <w:p w14:paraId="5769FBB6" w14:textId="77777777" w:rsidR="00F56356" w:rsidRPr="00F56356" w:rsidRDefault="00F56356" w:rsidP="00F56356">
            <w:pPr>
              <w:spacing w:after="0" w:line="240" w:lineRule="auto"/>
              <w:jc w:val="center"/>
              <w:rPr>
                <w:rFonts w:ascii="Calibri" w:eastAsia="Times New Roman" w:hAnsi="Calibri" w:cs="Calibri"/>
                <w:b/>
                <w:bCs/>
                <w:i/>
                <w:iCs/>
                <w:color w:val="000000"/>
                <w:sz w:val="16"/>
                <w:szCs w:val="16"/>
                <w:lang w:eastAsia="it-IT"/>
              </w:rPr>
            </w:pPr>
            <w:r w:rsidRPr="00F56356">
              <w:rPr>
                <w:rFonts w:ascii="Calibri" w:eastAsia="Times New Roman" w:hAnsi="Calibri" w:cs="Calibri"/>
                <w:b/>
                <w:bCs/>
                <w:i/>
                <w:iCs/>
                <w:color w:val="000000"/>
                <w:sz w:val="16"/>
                <w:szCs w:val="16"/>
                <w:lang w:eastAsia="it-IT"/>
              </w:rPr>
              <w:t>Residui correnti       al 31/12/2022</w:t>
            </w:r>
          </w:p>
        </w:tc>
        <w:tc>
          <w:tcPr>
            <w:tcW w:w="3313" w:type="dxa"/>
            <w:gridSpan w:val="3"/>
            <w:tcBorders>
              <w:top w:val="single" w:sz="4" w:space="0" w:color="auto"/>
              <w:left w:val="nil"/>
              <w:bottom w:val="single" w:sz="4" w:space="0" w:color="auto"/>
              <w:right w:val="single" w:sz="4" w:space="0" w:color="000000"/>
            </w:tcBorders>
            <w:shd w:val="clear" w:color="auto" w:fill="auto"/>
            <w:vAlign w:val="center"/>
            <w:hideMark/>
          </w:tcPr>
          <w:p w14:paraId="17EA6AC2"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b/>
                <w:bCs/>
                <w:color w:val="000000"/>
                <w:sz w:val="16"/>
                <w:szCs w:val="16"/>
                <w:lang w:eastAsia="it-IT"/>
              </w:rPr>
              <w:t>CAPACITA’ SMALTIMENTO RESIDUI</w:t>
            </w:r>
            <w:r w:rsidRPr="00F56356">
              <w:rPr>
                <w:rFonts w:ascii="Calibri" w:eastAsia="Times New Roman" w:hAnsi="Calibri" w:cs="Calibri"/>
                <w:color w:val="000000"/>
                <w:sz w:val="12"/>
                <w:szCs w:val="12"/>
                <w:lang w:eastAsia="it-IT"/>
              </w:rPr>
              <w:t xml:space="preserve">                                                       </w:t>
            </w:r>
            <w:proofErr w:type="spellStart"/>
            <w:r w:rsidRPr="00F56356">
              <w:rPr>
                <w:rFonts w:ascii="Calibri" w:eastAsia="Times New Roman" w:hAnsi="Calibri" w:cs="Calibri"/>
                <w:color w:val="000000"/>
                <w:sz w:val="12"/>
                <w:szCs w:val="12"/>
                <w:lang w:eastAsia="it-IT"/>
              </w:rPr>
              <w:t>residui</w:t>
            </w:r>
            <w:proofErr w:type="spellEnd"/>
            <w:r w:rsidRPr="00F56356">
              <w:rPr>
                <w:rFonts w:ascii="Calibri" w:eastAsia="Times New Roman" w:hAnsi="Calibri" w:cs="Calibri"/>
                <w:color w:val="000000"/>
                <w:sz w:val="12"/>
                <w:szCs w:val="12"/>
                <w:lang w:eastAsia="it-IT"/>
              </w:rPr>
              <w:t xml:space="preserve"> </w:t>
            </w:r>
            <w:proofErr w:type="gramStart"/>
            <w:r w:rsidRPr="00F56356">
              <w:rPr>
                <w:rFonts w:ascii="Calibri" w:eastAsia="Times New Roman" w:hAnsi="Calibri" w:cs="Calibri"/>
                <w:color w:val="000000"/>
                <w:sz w:val="12"/>
                <w:szCs w:val="12"/>
                <w:lang w:eastAsia="it-IT"/>
              </w:rPr>
              <w:t xml:space="preserve">accertati  </w:t>
            </w:r>
            <w:r w:rsidRPr="00F56356">
              <w:rPr>
                <w:rFonts w:ascii="Calibri" w:eastAsia="Times New Roman" w:hAnsi="Calibri" w:cs="Calibri"/>
                <w:b/>
                <w:bCs/>
                <w:color w:val="000000"/>
                <w:sz w:val="12"/>
                <w:szCs w:val="12"/>
                <w:lang w:eastAsia="it-IT"/>
              </w:rPr>
              <w:t>meno</w:t>
            </w:r>
            <w:proofErr w:type="gramEnd"/>
            <w:r w:rsidRPr="00F56356">
              <w:rPr>
                <w:rFonts w:ascii="Calibri" w:eastAsia="Times New Roman" w:hAnsi="Calibri" w:cs="Calibri"/>
                <w:color w:val="000000"/>
                <w:sz w:val="12"/>
                <w:szCs w:val="12"/>
                <w:lang w:eastAsia="it-IT"/>
              </w:rPr>
              <w:t xml:space="preserve"> residui correnti </w:t>
            </w:r>
            <w:r w:rsidRPr="00F56356">
              <w:rPr>
                <w:rFonts w:ascii="Calibri" w:eastAsia="Times New Roman" w:hAnsi="Calibri" w:cs="Calibri"/>
                <w:b/>
                <w:bCs/>
                <w:color w:val="000000"/>
                <w:sz w:val="12"/>
                <w:szCs w:val="12"/>
                <w:lang w:eastAsia="it-IT"/>
              </w:rPr>
              <w:t>diviso</w:t>
            </w:r>
            <w:r w:rsidRPr="00F56356">
              <w:rPr>
                <w:rFonts w:ascii="Calibri" w:eastAsia="Times New Roman" w:hAnsi="Calibri" w:cs="Calibri"/>
                <w:color w:val="000000"/>
                <w:sz w:val="12"/>
                <w:szCs w:val="12"/>
                <w:lang w:eastAsia="it-IT"/>
              </w:rPr>
              <w:t xml:space="preserve"> residui accertati</w:t>
            </w:r>
          </w:p>
        </w:tc>
      </w:tr>
      <w:tr w:rsidR="00F56356" w:rsidRPr="00F56356" w14:paraId="17D32B82" w14:textId="77777777" w:rsidTr="00F56356">
        <w:trPr>
          <w:trHeight w:val="300"/>
          <w:jc w:val="center"/>
        </w:trPr>
        <w:tc>
          <w:tcPr>
            <w:tcW w:w="471" w:type="dxa"/>
            <w:vMerge/>
            <w:tcBorders>
              <w:top w:val="nil"/>
              <w:left w:val="single" w:sz="4" w:space="0" w:color="auto"/>
              <w:bottom w:val="single" w:sz="4" w:space="0" w:color="auto"/>
              <w:right w:val="single" w:sz="4" w:space="0" w:color="auto"/>
            </w:tcBorders>
            <w:vAlign w:val="center"/>
            <w:hideMark/>
          </w:tcPr>
          <w:p w14:paraId="1AEDE1AD" w14:textId="77777777" w:rsidR="00F56356" w:rsidRPr="00F56356" w:rsidRDefault="00F56356" w:rsidP="00F56356">
            <w:pPr>
              <w:spacing w:after="0" w:line="240" w:lineRule="auto"/>
              <w:rPr>
                <w:rFonts w:ascii="Calibri" w:eastAsia="Times New Roman" w:hAnsi="Calibri" w:cs="Calibri"/>
                <w:b/>
                <w:bCs/>
                <w:color w:val="000000"/>
                <w:sz w:val="18"/>
                <w:szCs w:val="18"/>
                <w:lang w:eastAsia="it-IT"/>
              </w:rPr>
            </w:pPr>
          </w:p>
        </w:tc>
        <w:tc>
          <w:tcPr>
            <w:tcW w:w="1546" w:type="dxa"/>
            <w:vMerge/>
            <w:tcBorders>
              <w:top w:val="nil"/>
              <w:left w:val="single" w:sz="4" w:space="0" w:color="auto"/>
              <w:bottom w:val="single" w:sz="4" w:space="0" w:color="auto"/>
              <w:right w:val="single" w:sz="4" w:space="0" w:color="auto"/>
            </w:tcBorders>
            <w:vAlign w:val="center"/>
            <w:hideMark/>
          </w:tcPr>
          <w:p w14:paraId="32F7699D"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1530" w:type="dxa"/>
            <w:vMerge/>
            <w:tcBorders>
              <w:top w:val="nil"/>
              <w:left w:val="single" w:sz="4" w:space="0" w:color="auto"/>
              <w:bottom w:val="single" w:sz="4" w:space="0" w:color="auto"/>
              <w:right w:val="single" w:sz="4" w:space="0" w:color="auto"/>
            </w:tcBorders>
            <w:vAlign w:val="center"/>
            <w:hideMark/>
          </w:tcPr>
          <w:p w14:paraId="589B759D" w14:textId="77777777" w:rsidR="00F56356" w:rsidRPr="00F56356" w:rsidRDefault="00F56356" w:rsidP="00F56356">
            <w:pPr>
              <w:spacing w:after="0" w:line="240" w:lineRule="auto"/>
              <w:rPr>
                <w:rFonts w:ascii="Calibri" w:eastAsia="Times New Roman" w:hAnsi="Calibri" w:cs="Calibri"/>
                <w:b/>
                <w:bCs/>
                <w:i/>
                <w:iCs/>
                <w:color w:val="000000"/>
                <w:sz w:val="16"/>
                <w:szCs w:val="16"/>
                <w:lang w:eastAsia="it-IT"/>
              </w:rPr>
            </w:pPr>
          </w:p>
        </w:tc>
        <w:tc>
          <w:tcPr>
            <w:tcW w:w="978" w:type="dxa"/>
            <w:tcBorders>
              <w:top w:val="nil"/>
              <w:left w:val="nil"/>
              <w:bottom w:val="single" w:sz="4" w:space="0" w:color="auto"/>
              <w:right w:val="single" w:sz="4" w:space="0" w:color="auto"/>
            </w:tcBorders>
            <w:shd w:val="clear" w:color="auto" w:fill="auto"/>
            <w:vAlign w:val="center"/>
            <w:hideMark/>
          </w:tcPr>
          <w:p w14:paraId="5EFBF01C"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attesa (%)</w:t>
            </w:r>
          </w:p>
        </w:tc>
        <w:tc>
          <w:tcPr>
            <w:tcW w:w="1198" w:type="dxa"/>
            <w:tcBorders>
              <w:top w:val="nil"/>
              <w:left w:val="nil"/>
              <w:bottom w:val="single" w:sz="4" w:space="0" w:color="auto"/>
              <w:right w:val="single" w:sz="4" w:space="0" w:color="auto"/>
            </w:tcBorders>
            <w:shd w:val="clear" w:color="auto" w:fill="auto"/>
            <w:vAlign w:val="center"/>
            <w:hideMark/>
          </w:tcPr>
          <w:p w14:paraId="0237477B"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realizzata (%)</w:t>
            </w:r>
          </w:p>
        </w:tc>
        <w:tc>
          <w:tcPr>
            <w:tcW w:w="1137" w:type="dxa"/>
            <w:tcBorders>
              <w:top w:val="nil"/>
              <w:left w:val="nil"/>
              <w:bottom w:val="single" w:sz="4" w:space="0" w:color="auto"/>
              <w:right w:val="single" w:sz="4" w:space="0" w:color="auto"/>
            </w:tcBorders>
            <w:shd w:val="clear" w:color="auto" w:fill="auto"/>
            <w:vAlign w:val="center"/>
            <w:hideMark/>
          </w:tcPr>
          <w:p w14:paraId="1DBDDCFA" w14:textId="77777777" w:rsidR="00F56356" w:rsidRPr="00F56356" w:rsidRDefault="00F56356" w:rsidP="00F56356">
            <w:pPr>
              <w:spacing w:after="0" w:line="240" w:lineRule="auto"/>
              <w:jc w:val="center"/>
              <w:rPr>
                <w:rFonts w:ascii="Calibri" w:eastAsia="Times New Roman" w:hAnsi="Calibri" w:cs="Calibri"/>
                <w:b/>
                <w:bCs/>
                <w:color w:val="000000"/>
                <w:sz w:val="14"/>
                <w:szCs w:val="14"/>
                <w:lang w:eastAsia="it-IT"/>
              </w:rPr>
            </w:pPr>
            <w:r w:rsidRPr="00F56356">
              <w:rPr>
                <w:rFonts w:ascii="Calibri" w:eastAsia="Times New Roman" w:hAnsi="Calibri" w:cs="Calibri"/>
                <w:b/>
                <w:bCs/>
                <w:color w:val="000000"/>
                <w:sz w:val="14"/>
                <w:szCs w:val="14"/>
                <w:lang w:eastAsia="it-IT"/>
              </w:rPr>
              <w:t>scost.to (%)</w:t>
            </w:r>
          </w:p>
        </w:tc>
      </w:tr>
      <w:tr w:rsidR="00F56356" w:rsidRPr="00F56356" w14:paraId="5EF1AEB3"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B38C5B0"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836</w:t>
            </w:r>
          </w:p>
        </w:tc>
        <w:tc>
          <w:tcPr>
            <w:tcW w:w="1546" w:type="dxa"/>
            <w:tcBorders>
              <w:top w:val="nil"/>
              <w:left w:val="nil"/>
              <w:bottom w:val="single" w:sz="4" w:space="0" w:color="auto"/>
              <w:right w:val="single" w:sz="4" w:space="0" w:color="auto"/>
            </w:tcBorders>
            <w:shd w:val="clear" w:color="auto" w:fill="auto"/>
            <w:noWrap/>
            <w:vAlign w:val="center"/>
            <w:hideMark/>
          </w:tcPr>
          <w:p w14:paraId="6C04B1E6"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2.340.237,10</w:t>
            </w:r>
          </w:p>
        </w:tc>
        <w:tc>
          <w:tcPr>
            <w:tcW w:w="1530" w:type="dxa"/>
            <w:tcBorders>
              <w:top w:val="nil"/>
              <w:left w:val="nil"/>
              <w:bottom w:val="single" w:sz="4" w:space="0" w:color="auto"/>
              <w:right w:val="single" w:sz="4" w:space="0" w:color="auto"/>
            </w:tcBorders>
            <w:shd w:val="clear" w:color="auto" w:fill="auto"/>
            <w:noWrap/>
            <w:vAlign w:val="center"/>
            <w:hideMark/>
          </w:tcPr>
          <w:p w14:paraId="0B29B0E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1.208.955,01</w:t>
            </w:r>
          </w:p>
        </w:tc>
        <w:tc>
          <w:tcPr>
            <w:tcW w:w="978" w:type="dxa"/>
            <w:tcBorders>
              <w:top w:val="nil"/>
              <w:left w:val="nil"/>
              <w:bottom w:val="single" w:sz="4" w:space="0" w:color="auto"/>
              <w:right w:val="single" w:sz="4" w:space="0" w:color="auto"/>
            </w:tcBorders>
            <w:shd w:val="clear" w:color="auto" w:fill="auto"/>
            <w:noWrap/>
            <w:vAlign w:val="center"/>
            <w:hideMark/>
          </w:tcPr>
          <w:p w14:paraId="59745A92"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5FC365E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48,34</w:t>
            </w:r>
          </w:p>
        </w:tc>
        <w:tc>
          <w:tcPr>
            <w:tcW w:w="1137" w:type="dxa"/>
            <w:tcBorders>
              <w:top w:val="nil"/>
              <w:left w:val="nil"/>
              <w:bottom w:val="single" w:sz="4" w:space="0" w:color="auto"/>
              <w:right w:val="single" w:sz="4" w:space="0" w:color="auto"/>
            </w:tcBorders>
            <w:shd w:val="clear" w:color="auto" w:fill="auto"/>
            <w:noWrap/>
            <w:vAlign w:val="center"/>
            <w:hideMark/>
          </w:tcPr>
          <w:p w14:paraId="6629716F"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-51,66</w:t>
            </w:r>
          </w:p>
        </w:tc>
      </w:tr>
      <w:tr w:rsidR="00F56356" w:rsidRPr="00F56356" w14:paraId="6F065CEF"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78C80122"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837</w:t>
            </w:r>
          </w:p>
        </w:tc>
        <w:tc>
          <w:tcPr>
            <w:tcW w:w="1546" w:type="dxa"/>
            <w:tcBorders>
              <w:top w:val="nil"/>
              <w:left w:val="nil"/>
              <w:bottom w:val="single" w:sz="4" w:space="0" w:color="auto"/>
              <w:right w:val="single" w:sz="4" w:space="0" w:color="auto"/>
            </w:tcBorders>
            <w:shd w:val="clear" w:color="auto" w:fill="auto"/>
            <w:noWrap/>
            <w:vAlign w:val="center"/>
            <w:hideMark/>
          </w:tcPr>
          <w:p w14:paraId="2BE07C13"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4.000.000,00</w:t>
            </w:r>
          </w:p>
        </w:tc>
        <w:tc>
          <w:tcPr>
            <w:tcW w:w="1530" w:type="dxa"/>
            <w:tcBorders>
              <w:top w:val="nil"/>
              <w:left w:val="nil"/>
              <w:bottom w:val="single" w:sz="4" w:space="0" w:color="auto"/>
              <w:right w:val="single" w:sz="4" w:space="0" w:color="auto"/>
            </w:tcBorders>
            <w:shd w:val="clear" w:color="auto" w:fill="auto"/>
            <w:noWrap/>
            <w:vAlign w:val="center"/>
            <w:hideMark/>
          </w:tcPr>
          <w:p w14:paraId="5E04AF28"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0,00</w:t>
            </w:r>
          </w:p>
        </w:tc>
        <w:tc>
          <w:tcPr>
            <w:tcW w:w="978" w:type="dxa"/>
            <w:tcBorders>
              <w:top w:val="nil"/>
              <w:left w:val="nil"/>
              <w:bottom w:val="single" w:sz="4" w:space="0" w:color="auto"/>
              <w:right w:val="single" w:sz="4" w:space="0" w:color="auto"/>
            </w:tcBorders>
            <w:shd w:val="clear" w:color="auto" w:fill="auto"/>
            <w:noWrap/>
            <w:vAlign w:val="center"/>
            <w:hideMark/>
          </w:tcPr>
          <w:p w14:paraId="74C06B98"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c>
          <w:tcPr>
            <w:tcW w:w="1198" w:type="dxa"/>
            <w:tcBorders>
              <w:top w:val="nil"/>
              <w:left w:val="nil"/>
              <w:bottom w:val="single" w:sz="4" w:space="0" w:color="auto"/>
              <w:right w:val="single" w:sz="4" w:space="0" w:color="auto"/>
            </w:tcBorders>
            <w:shd w:val="clear" w:color="auto" w:fill="auto"/>
            <w:noWrap/>
            <w:vAlign w:val="center"/>
            <w:hideMark/>
          </w:tcPr>
          <w:p w14:paraId="14EC8CC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37" w:type="dxa"/>
            <w:tcBorders>
              <w:top w:val="nil"/>
              <w:left w:val="nil"/>
              <w:bottom w:val="single" w:sz="4" w:space="0" w:color="auto"/>
              <w:right w:val="single" w:sz="4" w:space="0" w:color="auto"/>
            </w:tcBorders>
            <w:shd w:val="clear" w:color="auto" w:fill="auto"/>
            <w:noWrap/>
            <w:vAlign w:val="center"/>
            <w:hideMark/>
          </w:tcPr>
          <w:p w14:paraId="51E23B36"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w:t>
            </w:r>
          </w:p>
        </w:tc>
      </w:tr>
      <w:tr w:rsidR="00F56356" w:rsidRPr="00F56356" w14:paraId="653FB586" w14:textId="77777777" w:rsidTr="00F56356">
        <w:trPr>
          <w:trHeight w:val="240"/>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2282041" w14:textId="77777777" w:rsidR="00F56356" w:rsidRPr="00F56356" w:rsidRDefault="00F56356" w:rsidP="00F56356">
            <w:pPr>
              <w:spacing w:after="0" w:line="240" w:lineRule="auto"/>
              <w:jc w:val="center"/>
              <w:rPr>
                <w:rFonts w:ascii="Calibri" w:eastAsia="Times New Roman" w:hAnsi="Calibri" w:cs="Calibri"/>
                <w:sz w:val="18"/>
                <w:szCs w:val="18"/>
                <w:lang w:eastAsia="it-IT"/>
              </w:rPr>
            </w:pPr>
            <w:r w:rsidRPr="00F56356">
              <w:rPr>
                <w:rFonts w:ascii="Calibri" w:eastAsia="Times New Roman" w:hAnsi="Calibri" w:cs="Calibri"/>
                <w:sz w:val="18"/>
                <w:szCs w:val="18"/>
                <w:lang w:eastAsia="it-IT"/>
              </w:rPr>
              <w:t>862</w:t>
            </w:r>
          </w:p>
        </w:tc>
        <w:tc>
          <w:tcPr>
            <w:tcW w:w="1546" w:type="dxa"/>
            <w:tcBorders>
              <w:top w:val="nil"/>
              <w:left w:val="nil"/>
              <w:bottom w:val="single" w:sz="4" w:space="0" w:color="auto"/>
              <w:right w:val="single" w:sz="4" w:space="0" w:color="auto"/>
            </w:tcBorders>
            <w:shd w:val="clear" w:color="auto" w:fill="auto"/>
            <w:noWrap/>
            <w:vAlign w:val="center"/>
            <w:hideMark/>
          </w:tcPr>
          <w:p w14:paraId="386A38F4"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196.386,22</w:t>
            </w:r>
          </w:p>
        </w:tc>
        <w:tc>
          <w:tcPr>
            <w:tcW w:w="1530" w:type="dxa"/>
            <w:tcBorders>
              <w:top w:val="nil"/>
              <w:left w:val="nil"/>
              <w:bottom w:val="single" w:sz="4" w:space="0" w:color="auto"/>
              <w:right w:val="single" w:sz="4" w:space="0" w:color="auto"/>
            </w:tcBorders>
            <w:shd w:val="clear" w:color="auto" w:fill="auto"/>
            <w:noWrap/>
            <w:vAlign w:val="center"/>
            <w:hideMark/>
          </w:tcPr>
          <w:p w14:paraId="5E17AC39" w14:textId="77777777" w:rsidR="00F56356" w:rsidRPr="00F56356" w:rsidRDefault="00F56356" w:rsidP="00F56356">
            <w:pPr>
              <w:spacing w:after="0" w:line="240" w:lineRule="auto"/>
              <w:jc w:val="right"/>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144.000,00</w:t>
            </w:r>
          </w:p>
        </w:tc>
        <w:tc>
          <w:tcPr>
            <w:tcW w:w="978" w:type="dxa"/>
            <w:tcBorders>
              <w:top w:val="nil"/>
              <w:left w:val="nil"/>
              <w:bottom w:val="single" w:sz="4" w:space="0" w:color="auto"/>
              <w:right w:val="single" w:sz="4" w:space="0" w:color="auto"/>
            </w:tcBorders>
            <w:shd w:val="clear" w:color="auto" w:fill="auto"/>
            <w:noWrap/>
            <w:vAlign w:val="center"/>
            <w:hideMark/>
          </w:tcPr>
          <w:p w14:paraId="4D3700C4"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100</w:t>
            </w:r>
          </w:p>
        </w:tc>
        <w:tc>
          <w:tcPr>
            <w:tcW w:w="1198" w:type="dxa"/>
            <w:tcBorders>
              <w:top w:val="nil"/>
              <w:left w:val="nil"/>
              <w:bottom w:val="single" w:sz="4" w:space="0" w:color="auto"/>
              <w:right w:val="single" w:sz="4" w:space="0" w:color="auto"/>
            </w:tcBorders>
            <w:shd w:val="clear" w:color="auto" w:fill="auto"/>
            <w:noWrap/>
            <w:vAlign w:val="center"/>
            <w:hideMark/>
          </w:tcPr>
          <w:p w14:paraId="522534EC"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26,68</w:t>
            </w:r>
          </w:p>
        </w:tc>
        <w:tc>
          <w:tcPr>
            <w:tcW w:w="1137" w:type="dxa"/>
            <w:tcBorders>
              <w:top w:val="nil"/>
              <w:left w:val="nil"/>
              <w:bottom w:val="single" w:sz="4" w:space="0" w:color="auto"/>
              <w:right w:val="single" w:sz="4" w:space="0" w:color="auto"/>
            </w:tcBorders>
            <w:shd w:val="clear" w:color="auto" w:fill="auto"/>
            <w:noWrap/>
            <w:vAlign w:val="center"/>
            <w:hideMark/>
          </w:tcPr>
          <w:p w14:paraId="786C13C7" w14:textId="77777777" w:rsidR="00F56356" w:rsidRPr="00F56356" w:rsidRDefault="00F56356" w:rsidP="00F56356">
            <w:pPr>
              <w:spacing w:after="0" w:line="240" w:lineRule="auto"/>
              <w:jc w:val="center"/>
              <w:rPr>
                <w:rFonts w:ascii="Calibri" w:eastAsia="Times New Roman" w:hAnsi="Calibri" w:cs="Calibri"/>
                <w:color w:val="000000"/>
                <w:sz w:val="18"/>
                <w:szCs w:val="18"/>
                <w:lang w:eastAsia="it-IT"/>
              </w:rPr>
            </w:pPr>
            <w:r w:rsidRPr="00F56356">
              <w:rPr>
                <w:rFonts w:ascii="Calibri" w:eastAsia="Times New Roman" w:hAnsi="Calibri" w:cs="Calibri"/>
                <w:color w:val="000000"/>
                <w:sz w:val="18"/>
                <w:szCs w:val="18"/>
                <w:lang w:eastAsia="it-IT"/>
              </w:rPr>
              <w:t>-73,32</w:t>
            </w:r>
          </w:p>
        </w:tc>
      </w:tr>
      <w:tr w:rsidR="00F56356" w:rsidRPr="00F56356" w14:paraId="581F9969" w14:textId="77777777" w:rsidTr="00F56356">
        <w:trPr>
          <w:trHeight w:val="315"/>
          <w:jc w:val="center"/>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823B5D0" w14:textId="77777777" w:rsidR="00F56356" w:rsidRPr="00F56356" w:rsidRDefault="00F56356" w:rsidP="00F56356">
            <w:pPr>
              <w:spacing w:after="0" w:line="240" w:lineRule="auto"/>
              <w:jc w:val="center"/>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Tot.</w:t>
            </w:r>
          </w:p>
        </w:tc>
        <w:tc>
          <w:tcPr>
            <w:tcW w:w="1546" w:type="dxa"/>
            <w:tcBorders>
              <w:top w:val="nil"/>
              <w:left w:val="nil"/>
              <w:bottom w:val="single" w:sz="4" w:space="0" w:color="auto"/>
              <w:right w:val="single" w:sz="4" w:space="0" w:color="auto"/>
            </w:tcBorders>
            <w:shd w:val="clear" w:color="auto" w:fill="auto"/>
            <w:noWrap/>
            <w:vAlign w:val="center"/>
            <w:hideMark/>
          </w:tcPr>
          <w:p w14:paraId="6D02C81F"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6.536.623,32</w:t>
            </w:r>
          </w:p>
        </w:tc>
        <w:tc>
          <w:tcPr>
            <w:tcW w:w="1530" w:type="dxa"/>
            <w:tcBorders>
              <w:top w:val="nil"/>
              <w:left w:val="nil"/>
              <w:bottom w:val="single" w:sz="4" w:space="0" w:color="auto"/>
              <w:right w:val="single" w:sz="4" w:space="0" w:color="auto"/>
            </w:tcBorders>
            <w:shd w:val="clear" w:color="auto" w:fill="auto"/>
            <w:noWrap/>
            <w:vAlign w:val="center"/>
            <w:hideMark/>
          </w:tcPr>
          <w:p w14:paraId="1EC44C1E" w14:textId="77777777" w:rsidR="00F56356" w:rsidRPr="00F56356" w:rsidRDefault="00F56356" w:rsidP="00F56356">
            <w:pPr>
              <w:spacing w:after="0" w:line="240" w:lineRule="auto"/>
              <w:jc w:val="right"/>
              <w:rPr>
                <w:rFonts w:ascii="Calibri" w:eastAsia="Times New Roman" w:hAnsi="Calibri" w:cs="Calibri"/>
                <w:b/>
                <w:bCs/>
                <w:color w:val="000000"/>
                <w:sz w:val="18"/>
                <w:szCs w:val="18"/>
                <w:lang w:eastAsia="it-IT"/>
              </w:rPr>
            </w:pPr>
            <w:r w:rsidRPr="00F56356">
              <w:rPr>
                <w:rFonts w:ascii="Calibri" w:eastAsia="Times New Roman" w:hAnsi="Calibri" w:cs="Calibri"/>
                <w:b/>
                <w:bCs/>
                <w:color w:val="000000"/>
                <w:sz w:val="18"/>
                <w:szCs w:val="18"/>
                <w:lang w:eastAsia="it-IT"/>
              </w:rPr>
              <w:t>1.352.955,01</w:t>
            </w:r>
          </w:p>
        </w:tc>
        <w:tc>
          <w:tcPr>
            <w:tcW w:w="978" w:type="dxa"/>
            <w:tcBorders>
              <w:top w:val="nil"/>
              <w:left w:val="nil"/>
              <w:bottom w:val="nil"/>
              <w:right w:val="nil"/>
            </w:tcBorders>
            <w:shd w:val="clear" w:color="auto" w:fill="auto"/>
            <w:noWrap/>
            <w:vAlign w:val="center"/>
            <w:hideMark/>
          </w:tcPr>
          <w:p w14:paraId="6BA8E24E"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98" w:type="dxa"/>
            <w:tcBorders>
              <w:top w:val="nil"/>
              <w:left w:val="nil"/>
              <w:bottom w:val="nil"/>
              <w:right w:val="nil"/>
            </w:tcBorders>
            <w:shd w:val="clear" w:color="auto" w:fill="auto"/>
            <w:noWrap/>
            <w:vAlign w:val="center"/>
            <w:hideMark/>
          </w:tcPr>
          <w:p w14:paraId="48FEA825"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c>
          <w:tcPr>
            <w:tcW w:w="1137" w:type="dxa"/>
            <w:tcBorders>
              <w:top w:val="nil"/>
              <w:left w:val="nil"/>
              <w:bottom w:val="nil"/>
              <w:right w:val="nil"/>
            </w:tcBorders>
            <w:shd w:val="clear" w:color="auto" w:fill="auto"/>
            <w:noWrap/>
            <w:vAlign w:val="center"/>
            <w:hideMark/>
          </w:tcPr>
          <w:p w14:paraId="6C857D2A" w14:textId="77777777" w:rsidR="00F56356" w:rsidRPr="00F56356" w:rsidRDefault="00F56356" w:rsidP="00F56356">
            <w:pPr>
              <w:spacing w:after="0" w:line="240" w:lineRule="auto"/>
              <w:jc w:val="center"/>
              <w:rPr>
                <w:rFonts w:ascii="Calibri" w:eastAsia="Times New Roman" w:hAnsi="Calibri" w:cs="Calibri"/>
                <w:color w:val="000000"/>
                <w:sz w:val="16"/>
                <w:szCs w:val="16"/>
                <w:lang w:eastAsia="it-IT"/>
              </w:rPr>
            </w:pPr>
            <w:r w:rsidRPr="00F56356">
              <w:rPr>
                <w:rFonts w:ascii="Calibri" w:eastAsia="Times New Roman" w:hAnsi="Calibri" w:cs="Calibri"/>
                <w:color w:val="000000"/>
                <w:sz w:val="16"/>
                <w:szCs w:val="16"/>
                <w:lang w:eastAsia="it-IT"/>
              </w:rPr>
              <w:t> </w:t>
            </w:r>
          </w:p>
        </w:tc>
      </w:tr>
    </w:tbl>
    <w:p w14:paraId="4F4D3360"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b/>
          <w:color w:val="000000" w:themeColor="text1"/>
          <w:sz w:val="24"/>
          <w:szCs w:val="24"/>
          <w:lang w:eastAsia="it-IT"/>
        </w:rPr>
      </w:pPr>
    </w:p>
    <w:p w14:paraId="5FB8C8BC"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358.327.681,70 sono state destinate per euro 514.854,73 al funzionamento e per euro 357.812.826,97 agli interventi. </w:t>
      </w:r>
    </w:p>
    <w:p w14:paraId="4EF9AC7D"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di euro 514.854,73 si riferiscono al rimborso delle spese per missioni sul territorio nazionale e all’estero, ivi comprese quelle del Ministro (cap. 830) e alle spese per il funzionamento della Struttura di missione denominata Segreteria tecnica per le politiche in materia di disabilità (cap. 839).</w:t>
      </w:r>
    </w:p>
    <w:p w14:paraId="5B5B093B" w14:textId="77777777" w:rsidR="00F56356" w:rsidRPr="00F56356" w:rsidRDefault="00F56356" w:rsidP="00F56356">
      <w:pPr>
        <w:shd w:val="clear" w:color="auto" w:fill="FFFFFF"/>
        <w:spacing w:before="100" w:beforeAutospacing="1"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30944" behindDoc="1" locked="0" layoutInCell="1" allowOverlap="1" wp14:anchorId="69CAE6C2" wp14:editId="2803834F">
            <wp:simplePos x="0" y="0"/>
            <wp:positionH relativeFrom="margin">
              <wp:align>right</wp:align>
            </wp:positionH>
            <wp:positionV relativeFrom="paragraph">
              <wp:posOffset>620395</wp:posOffset>
            </wp:positionV>
            <wp:extent cx="5743575" cy="1360805"/>
            <wp:effectExtent l="0" t="0" r="9525" b="0"/>
            <wp:wrapTight wrapText="bothSides">
              <wp:wrapPolygon edited="0">
                <wp:start x="0" y="0"/>
                <wp:lineTo x="0" y="21167"/>
                <wp:lineTo x="11964" y="21167"/>
                <wp:lineTo x="11964" y="19352"/>
                <wp:lineTo x="21564" y="18445"/>
                <wp:lineTo x="21564" y="0"/>
                <wp:lineTo x="0" y="0"/>
              </wp:wrapPolygon>
            </wp:wrapTight>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43575" cy="13608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4E7E03C2"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p>
    <w:p w14:paraId="536315D2"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b/>
          <w:color w:val="000000" w:themeColor="text1"/>
          <w:sz w:val="24"/>
          <w:szCs w:val="24"/>
          <w:lang w:eastAsia="it-IT"/>
        </w:rPr>
      </w:pPr>
    </w:p>
    <w:p w14:paraId="1B490C28"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b/>
          <w:color w:val="000000" w:themeColor="text1"/>
          <w:sz w:val="24"/>
          <w:szCs w:val="24"/>
          <w:lang w:eastAsia="it-IT"/>
        </w:rPr>
      </w:pPr>
    </w:p>
    <w:p w14:paraId="5C641F77"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2.2.2 </w:t>
      </w:r>
      <w:r w:rsidRPr="00F56356">
        <w:rPr>
          <w:rFonts w:ascii="Times New Roman" w:eastAsia="Times New Roman" w:hAnsi="Times New Roman" w:cs="Times New Roman"/>
          <w:color w:val="000000" w:themeColor="text1"/>
          <w:sz w:val="24"/>
          <w:szCs w:val="24"/>
          <w:lang w:eastAsia="it-IT"/>
        </w:rPr>
        <w:t>Le risorse impegnate per gli interventi di euro 357.812.826,97 sono state destinate:</w:t>
      </w:r>
    </w:p>
    <w:p w14:paraId="0817F645"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a) “</w:t>
      </w:r>
      <w:r w:rsidRPr="00F56356">
        <w:rPr>
          <w:rFonts w:ascii="Times New Roman" w:eastAsia="Times New Roman" w:hAnsi="Times New Roman" w:cs="Times New Roman"/>
          <w:i/>
          <w:color w:val="000000" w:themeColor="text1"/>
          <w:sz w:val="24"/>
          <w:szCs w:val="24"/>
          <w:lang w:eastAsia="it-IT"/>
        </w:rPr>
        <w:t>Fondo per l’inclusione delle persone con disabilità</w:t>
      </w:r>
      <w:r w:rsidRPr="00F56356">
        <w:rPr>
          <w:rFonts w:ascii="Times New Roman" w:eastAsia="Times New Roman" w:hAnsi="Times New Roman" w:cs="Times New Roman"/>
          <w:color w:val="000000" w:themeColor="text1"/>
          <w:sz w:val="24"/>
          <w:szCs w:val="24"/>
          <w:lang w:eastAsia="it-IT"/>
        </w:rPr>
        <w:t>” (cap. 270)</w:t>
      </w:r>
    </w:p>
    <w:p w14:paraId="1A4F66F9"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87.340.000,00, di cui:  </w:t>
      </w:r>
    </w:p>
    <w:p w14:paraId="732E10E2"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60.000.000,00, previo riparto tra le Regioni, per interventi volti alla realizzazione o riqualificazione di infrastrutture per attività ludico-sportive, per la riqualificazione di centri diurni e per interventi volti a favorire la pratica sportiva inclusiva; </w:t>
      </w:r>
    </w:p>
    <w:p w14:paraId="494A914E"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27.340.000,00 per progetti presentati dalle Regioni relativi alla promozione del turismo accessibile;</w:t>
      </w:r>
    </w:p>
    <w:p w14:paraId="4CB54A0E"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w:t>
      </w:r>
      <w:r w:rsidRPr="00F56356">
        <w:rPr>
          <w:rFonts w:ascii="Times New Roman" w:eastAsia="Times New Roman" w:hAnsi="Times New Roman" w:cs="Times New Roman"/>
          <w:i/>
          <w:color w:val="000000" w:themeColor="text1"/>
          <w:sz w:val="24"/>
          <w:szCs w:val="24"/>
          <w:lang w:eastAsia="it-IT"/>
        </w:rPr>
        <w:t>“Fondo per l’assistenza all’autonomia e alla comunicazione per gli alunni con disabilità</w:t>
      </w:r>
      <w:r w:rsidRPr="00F56356">
        <w:rPr>
          <w:rFonts w:ascii="Times New Roman" w:eastAsia="Times New Roman" w:hAnsi="Times New Roman" w:cs="Times New Roman"/>
          <w:color w:val="000000" w:themeColor="text1"/>
          <w:sz w:val="24"/>
          <w:szCs w:val="24"/>
          <w:lang w:eastAsia="it-IT"/>
        </w:rPr>
        <w:t>” (cap. 842)</w:t>
      </w:r>
    </w:p>
    <w:p w14:paraId="61E6EA6D"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199.999.997,52, alle Regioni a statuto ordinario e ai Comuni per l’esercizio delle funzioni relative all’assistenza per l’autonomia e la comunicazione personale degli alunni con disabilità fisiche o sensoriali;</w:t>
      </w:r>
    </w:p>
    <w:p w14:paraId="72BC54A6"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c) “</w:t>
      </w:r>
      <w:r w:rsidRPr="00F56356">
        <w:rPr>
          <w:rFonts w:ascii="Times New Roman" w:eastAsia="Times New Roman" w:hAnsi="Times New Roman" w:cs="Times New Roman"/>
          <w:i/>
          <w:color w:val="000000" w:themeColor="text1"/>
          <w:sz w:val="24"/>
          <w:szCs w:val="24"/>
          <w:lang w:eastAsia="it-IT"/>
        </w:rPr>
        <w:t xml:space="preserve">Fondo per il sostegno del ruolo di cura e di assistenza del </w:t>
      </w:r>
      <w:proofErr w:type="spellStart"/>
      <w:r w:rsidRPr="00F56356">
        <w:rPr>
          <w:rFonts w:ascii="Times New Roman" w:eastAsia="Times New Roman" w:hAnsi="Times New Roman" w:cs="Times New Roman"/>
          <w:i/>
          <w:color w:val="000000" w:themeColor="text1"/>
          <w:sz w:val="24"/>
          <w:szCs w:val="24"/>
          <w:lang w:eastAsia="it-IT"/>
        </w:rPr>
        <w:t>caregiver</w:t>
      </w:r>
      <w:proofErr w:type="spellEnd"/>
      <w:r w:rsidRPr="00F56356">
        <w:rPr>
          <w:rFonts w:ascii="Times New Roman" w:eastAsia="Times New Roman" w:hAnsi="Times New Roman" w:cs="Times New Roman"/>
          <w:i/>
          <w:color w:val="000000" w:themeColor="text1"/>
          <w:sz w:val="24"/>
          <w:szCs w:val="24"/>
          <w:lang w:eastAsia="it-IT"/>
        </w:rPr>
        <w:t xml:space="preserve"> familiare</w:t>
      </w:r>
      <w:r w:rsidRPr="00F56356">
        <w:rPr>
          <w:rFonts w:ascii="Times New Roman" w:eastAsia="Times New Roman" w:hAnsi="Times New Roman" w:cs="Times New Roman"/>
          <w:color w:val="000000" w:themeColor="text1"/>
          <w:sz w:val="24"/>
          <w:szCs w:val="24"/>
          <w:lang w:eastAsia="it-IT"/>
        </w:rPr>
        <w:t>” (cap. 861)</w:t>
      </w:r>
    </w:p>
    <w:p w14:paraId="3E086A94"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70.452.966,00, di cui: </w:t>
      </w:r>
    </w:p>
    <w:p w14:paraId="63ED766C"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22.801.496,00 quale somma riassegnata al MEF in base a quanto disposto dall’art. 1, comma 484 della legge n. 145/2018; </w:t>
      </w:r>
    </w:p>
    <w:p w14:paraId="27E4F217"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euro 47.651.470,00 a favore delle Regioni per l’anno 2021 (a seguito della riassegnazione del MEF al bilancio della PCM) e per l’anno 2022; </w:t>
      </w:r>
    </w:p>
    <w:p w14:paraId="15282291"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d) </w:t>
      </w:r>
      <w:r w:rsidRPr="00F56356">
        <w:rPr>
          <w:rFonts w:ascii="Times New Roman" w:eastAsia="Times New Roman" w:hAnsi="Times New Roman" w:cs="Times New Roman"/>
          <w:i/>
          <w:color w:val="000000" w:themeColor="text1"/>
          <w:sz w:val="24"/>
          <w:szCs w:val="24"/>
          <w:lang w:eastAsia="it-IT"/>
        </w:rPr>
        <w:t>“Somme da destinare all’Osservatorio nazionale sulla condizione delle persone con disabilità</w:t>
      </w:r>
      <w:r w:rsidRPr="00F56356">
        <w:rPr>
          <w:rFonts w:ascii="Times New Roman" w:eastAsia="Times New Roman" w:hAnsi="Times New Roman" w:cs="Times New Roman"/>
          <w:color w:val="000000" w:themeColor="text1"/>
          <w:sz w:val="24"/>
          <w:szCs w:val="24"/>
          <w:lang w:eastAsia="it-IT"/>
        </w:rPr>
        <w:t>” (cap. 862)</w:t>
      </w:r>
    </w:p>
    <w:p w14:paraId="3FC2CFB8"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euro 19.863,45 per rimborsi delle missioni dei componenti l’Osservatorio, per il servizio di interpretariato lingua dei segni, per il servizio di sottotitolazione in tempo reale.</w:t>
      </w:r>
    </w:p>
    <w:p w14:paraId="2FA7A4C7" w14:textId="77777777" w:rsidR="00F56356" w:rsidRPr="00F56356" w:rsidRDefault="00F56356" w:rsidP="00F56356">
      <w:pPr>
        <w:shd w:val="clear" w:color="auto" w:fill="FFFFFF"/>
        <w:spacing w:before="100" w:beforeAutospacing="1" w:after="0" w:line="36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31968" behindDoc="1" locked="0" layoutInCell="1" allowOverlap="1" wp14:anchorId="29D13795" wp14:editId="5A4E065A">
            <wp:simplePos x="0" y="0"/>
            <wp:positionH relativeFrom="margin">
              <wp:align>right</wp:align>
            </wp:positionH>
            <wp:positionV relativeFrom="paragraph">
              <wp:posOffset>618490</wp:posOffset>
            </wp:positionV>
            <wp:extent cx="5753100" cy="2084705"/>
            <wp:effectExtent l="0" t="0" r="0" b="0"/>
            <wp:wrapTight wrapText="bothSides">
              <wp:wrapPolygon edited="0">
                <wp:start x="0" y="0"/>
                <wp:lineTo x="0" y="21317"/>
                <wp:lineTo x="11944" y="21317"/>
                <wp:lineTo x="21457" y="19541"/>
                <wp:lineTo x="21528" y="19146"/>
                <wp:lineTo x="21528" y="13422"/>
                <wp:lineTo x="20956" y="12632"/>
                <wp:lineTo x="21528" y="12238"/>
                <wp:lineTo x="21528" y="10461"/>
                <wp:lineTo x="21028" y="9474"/>
                <wp:lineTo x="21528" y="9277"/>
                <wp:lineTo x="21528" y="0"/>
                <wp:lineTo x="0" y="0"/>
              </wp:wrapPolygon>
            </wp:wrapTight>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53100" cy="208470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Indicatori di bilancio</w:t>
      </w:r>
    </w:p>
    <w:p w14:paraId="4D694574"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p>
    <w:p w14:paraId="5A9A40D7"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6AB65FCE"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30E8A7B1"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14344EA4"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2D40CE75"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07431531"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4F6D5A21"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54241367"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054E1402"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175DF663" w14:textId="77777777" w:rsidR="00673DBE" w:rsidRDefault="00673DBE"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71864AA8" w14:textId="1F6240D5"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Gli scostamenti tra gli indicatori di bilancio attesi e realizzati sono stati determinati:</w:t>
      </w:r>
    </w:p>
    <w:p w14:paraId="47EB13A7"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a) per il capitolo 839 - </w:t>
      </w:r>
      <w:r w:rsidRPr="00F56356">
        <w:rPr>
          <w:rFonts w:ascii="Times New Roman" w:eastAsia="Times New Roman" w:hAnsi="Times New Roman" w:cs="Times New Roman"/>
          <w:i/>
          <w:color w:val="000000" w:themeColor="text1"/>
          <w:sz w:val="24"/>
          <w:szCs w:val="24"/>
          <w:lang w:eastAsia="it-IT"/>
        </w:rPr>
        <w:t>Spesa per il funzionamento della Struttura di missione denominata Segreteria tecnica per le politiche in materia di disabilità</w:t>
      </w:r>
      <w:r w:rsidRPr="00F56356">
        <w:rPr>
          <w:rFonts w:ascii="Times New Roman" w:eastAsia="Times New Roman" w:hAnsi="Times New Roman" w:cs="Times New Roman"/>
          <w:color w:val="000000" w:themeColor="text1"/>
          <w:sz w:val="24"/>
          <w:szCs w:val="24"/>
          <w:lang w:eastAsia="it-IT"/>
        </w:rPr>
        <w:t>, dal fatto che non sono stati attribuiti, nel corso dell’anno, tutti gli incarichi disponibili presso la Segreteria tecnica per le politiche in materia di disabilità;</w:t>
      </w:r>
    </w:p>
    <w:p w14:paraId="205DDAFE"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862 - </w:t>
      </w:r>
      <w:r w:rsidRPr="00F56356">
        <w:rPr>
          <w:rFonts w:ascii="Times New Roman" w:eastAsia="Times New Roman" w:hAnsi="Times New Roman" w:cs="Times New Roman"/>
          <w:i/>
          <w:color w:val="000000" w:themeColor="text1"/>
          <w:sz w:val="24"/>
          <w:szCs w:val="24"/>
          <w:lang w:eastAsia="it-IT"/>
        </w:rPr>
        <w:t>Somme da destinare all’Osservatorio nazionale sulla condizione delle persone con disabilità,</w:t>
      </w:r>
      <w:r w:rsidRPr="00F56356">
        <w:rPr>
          <w:rFonts w:ascii="Times New Roman" w:eastAsia="Times New Roman" w:hAnsi="Times New Roman" w:cs="Times New Roman"/>
          <w:color w:val="000000" w:themeColor="text1"/>
          <w:sz w:val="24"/>
          <w:szCs w:val="24"/>
          <w:lang w:eastAsia="it-IT"/>
        </w:rPr>
        <w:t xml:space="preserve"> dal ridotto numero di riunioni dell’Osservatorio nazionale sulla condizione delle persone con disabilità, per il ricorso generalizzato alla videoconferenza e per non aver deliberato l’Osservatorio stesso attività aggiuntive.</w:t>
      </w:r>
      <w:r w:rsidRPr="00F56356">
        <w:rPr>
          <w:rFonts w:ascii="Times New Roman" w:eastAsia="Times New Roman" w:hAnsi="Times New Roman" w:cs="Times New Roman"/>
          <w:sz w:val="24"/>
          <w:szCs w:val="24"/>
          <w:lang w:eastAsia="it-IT"/>
        </w:rPr>
        <w:t xml:space="preserve"> </w:t>
      </w:r>
      <w:r w:rsidRPr="00F56356">
        <w:rPr>
          <w:rFonts w:ascii="Times New Roman" w:eastAsia="Times New Roman" w:hAnsi="Times New Roman" w:cs="Times New Roman"/>
          <w:color w:val="000000" w:themeColor="text1"/>
          <w:sz w:val="24"/>
          <w:szCs w:val="24"/>
          <w:lang w:eastAsia="it-IT"/>
        </w:rPr>
        <w:t>Pertanto la creazione di riporti di stanziamento per questo capitolo riveste carattere strutturale.</w:t>
      </w:r>
    </w:p>
    <w:p w14:paraId="4BA6F646"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p>
    <w:p w14:paraId="5F42B784"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Si evidenzia, inoltre, che:</w:t>
      </w:r>
    </w:p>
    <w:p w14:paraId="1D8725DC" w14:textId="77777777" w:rsidR="00F56356" w:rsidRPr="00F56356" w:rsidRDefault="00F56356" w:rsidP="00F56356">
      <w:pPr>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heme="minorEastAsia" w:hAnsi="Times New Roman" w:cs="Times New Roman"/>
          <w:color w:val="000000" w:themeColor="text1"/>
          <w:sz w:val="24"/>
          <w:szCs w:val="24"/>
          <w:lang w:eastAsia="it-IT"/>
        </w:rPr>
        <w:t xml:space="preserve">a) </w:t>
      </w:r>
      <w:r w:rsidRPr="00F56356">
        <w:rPr>
          <w:rFonts w:ascii="Times New Roman" w:eastAsia="Times New Roman" w:hAnsi="Times New Roman" w:cs="Times New Roman"/>
          <w:color w:val="000000" w:themeColor="text1"/>
          <w:sz w:val="24"/>
          <w:szCs w:val="24"/>
          <w:lang w:eastAsia="it-IT"/>
        </w:rPr>
        <w:t xml:space="preserve">per il capitolo 836 - </w:t>
      </w:r>
      <w:r w:rsidRPr="00F56356">
        <w:rPr>
          <w:rFonts w:ascii="Times New Roman" w:eastAsia="Times New Roman" w:hAnsi="Times New Roman" w:cs="Times New Roman"/>
          <w:i/>
          <w:color w:val="000000" w:themeColor="text1"/>
          <w:sz w:val="24"/>
          <w:szCs w:val="24"/>
          <w:lang w:eastAsia="it-IT"/>
        </w:rPr>
        <w:t>Fondo per l’inclusione delle persone sorde e con ipoacusia,</w:t>
      </w:r>
      <w:r w:rsidRPr="00F56356">
        <w:rPr>
          <w:rFonts w:ascii="Times New Roman" w:eastAsia="Times New Roman" w:hAnsi="Times New Roman" w:cs="Times New Roman"/>
          <w:color w:val="000000" w:themeColor="text1"/>
          <w:sz w:val="24"/>
          <w:szCs w:val="24"/>
          <w:lang w:eastAsia="it-IT"/>
        </w:rPr>
        <w:t xml:space="preserve"> non si è proceduto all’impegno delle risorse in quanto l’Autorità politica, insediatasi a ottobre 2022, ha dato indicazioni di procedere a una programmazione delle risorse per le annualità 2021 e 2022 e in data 14 febbraio 2023 è stato adottato un decreto interministeriale concernente il riparto tra le Regioni e le Province autonome delle due annualità;</w:t>
      </w:r>
    </w:p>
    <w:p w14:paraId="64C439C5"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837 - </w:t>
      </w:r>
      <w:r w:rsidRPr="00F56356">
        <w:rPr>
          <w:rFonts w:ascii="Times New Roman" w:eastAsia="Times New Roman" w:hAnsi="Times New Roman" w:cs="Times New Roman"/>
          <w:i/>
          <w:color w:val="000000" w:themeColor="text1"/>
          <w:sz w:val="24"/>
          <w:szCs w:val="24"/>
          <w:lang w:eastAsia="it-IT"/>
        </w:rPr>
        <w:t>Somme destinate al rilascio della carta europea per la disabilità</w:t>
      </w:r>
      <w:r w:rsidRPr="00F56356">
        <w:rPr>
          <w:rFonts w:ascii="Times New Roman" w:eastAsia="Times New Roman" w:hAnsi="Times New Roman" w:cs="Times New Roman"/>
          <w:color w:val="000000" w:themeColor="text1"/>
          <w:sz w:val="24"/>
          <w:szCs w:val="24"/>
          <w:lang w:eastAsia="it-IT"/>
        </w:rPr>
        <w:t>, non sono state impegnate le risorse dal momento che sono attualmente in fase di studio le campagne di comunicazione cui sono destinate le somme assegnate sul capitolo;</w:t>
      </w:r>
    </w:p>
    <w:p w14:paraId="56E91408"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b) per il capitolo 845 - </w:t>
      </w:r>
      <w:r w:rsidRPr="00F56356">
        <w:rPr>
          <w:rFonts w:ascii="Times New Roman" w:eastAsia="Times New Roman" w:hAnsi="Times New Roman" w:cs="Times New Roman"/>
          <w:i/>
          <w:color w:val="000000" w:themeColor="text1"/>
          <w:sz w:val="24"/>
          <w:szCs w:val="24"/>
          <w:lang w:eastAsia="it-IT"/>
        </w:rPr>
        <w:t>Contributo straordinario per i sovraccosti energetici in favore degli enti che erogano servizi alle persone con disabilità</w:t>
      </w:r>
      <w:r w:rsidRPr="00F56356">
        <w:rPr>
          <w:rFonts w:ascii="Times New Roman" w:eastAsia="Times New Roman" w:hAnsi="Times New Roman" w:cs="Times New Roman"/>
          <w:color w:val="000000" w:themeColor="text1"/>
          <w:sz w:val="24"/>
          <w:szCs w:val="24"/>
          <w:lang w:eastAsia="it-IT"/>
        </w:rPr>
        <w:t xml:space="preserve">, non sono state impegnate le risorse in quanto il contributo è stato previsto dall’articolo 8 del decreto-legge 23 settembre 2022, n. 144 e la dotazione finanziaria sul capitolo è stata allocata il 30 dicembre 2022; ugualmente per il capitolo 856 - </w:t>
      </w:r>
      <w:r w:rsidRPr="00F56356">
        <w:rPr>
          <w:rFonts w:ascii="Times New Roman" w:eastAsia="Times New Roman" w:hAnsi="Times New Roman" w:cs="Times New Roman"/>
          <w:i/>
          <w:color w:val="000000" w:themeColor="text1"/>
          <w:sz w:val="24"/>
          <w:szCs w:val="24"/>
          <w:lang w:eastAsia="it-IT"/>
        </w:rPr>
        <w:t>Sostegno ai costi energetici per le persone che utilizzano apparecchiature mediche necessarie per il mantenimento in vita</w:t>
      </w:r>
      <w:r w:rsidRPr="00F56356">
        <w:rPr>
          <w:rFonts w:ascii="Times New Roman" w:eastAsia="Times New Roman" w:hAnsi="Times New Roman" w:cs="Times New Roman"/>
          <w:color w:val="000000" w:themeColor="text1"/>
          <w:sz w:val="24"/>
          <w:szCs w:val="24"/>
          <w:lang w:eastAsia="it-IT"/>
        </w:rPr>
        <w:t>, non sono state impegnate le risorse per la liquidazione del contributo previsto dall’articolo 14-bis del decreto-legge 27 gennaio 2022, n. 4 in quanto la dotazione finanziaria sul capitolo è stata allocata soltanto il 30 dicembre 2022;</w:t>
      </w:r>
    </w:p>
    <w:p w14:paraId="46B24C1A"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bookmarkStart w:id="64" w:name="_Hlk133486048"/>
    </w:p>
    <w:p w14:paraId="411E4914"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p>
    <w:bookmarkEnd w:id="64"/>
    <w:p w14:paraId="41E6509E"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p>
    <w:p w14:paraId="3BAF9AC2"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color w:val="000000" w:themeColor="text1"/>
          <w:sz w:val="24"/>
          <w:szCs w:val="24"/>
          <w:lang w:eastAsia="it-IT"/>
        </w:rPr>
      </w:pPr>
    </w:p>
    <w:p w14:paraId="5AD0EAC1"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r w:rsidRPr="00F56356">
        <w:rPr>
          <w:rFonts w:eastAsiaTheme="minorEastAsia" w:cs="Times New Roman"/>
          <w:noProof/>
          <w:lang w:eastAsia="it-IT"/>
        </w:rPr>
        <w:lastRenderedPageBreak/>
        <w:drawing>
          <wp:anchor distT="0" distB="0" distL="114300" distR="114300" simplePos="0" relativeHeight="251732992" behindDoc="1" locked="0" layoutInCell="1" allowOverlap="1" wp14:anchorId="7E567F83" wp14:editId="5766B61B">
            <wp:simplePos x="0" y="0"/>
            <wp:positionH relativeFrom="column">
              <wp:posOffset>185420</wp:posOffset>
            </wp:positionH>
            <wp:positionV relativeFrom="paragraph">
              <wp:posOffset>603250</wp:posOffset>
            </wp:positionV>
            <wp:extent cx="5890260" cy="2752725"/>
            <wp:effectExtent l="0" t="0" r="0" b="9525"/>
            <wp:wrapTight wrapText="bothSides">
              <wp:wrapPolygon edited="0">
                <wp:start x="0" y="0"/>
                <wp:lineTo x="0" y="20329"/>
                <wp:lineTo x="629" y="21525"/>
                <wp:lineTo x="19700" y="21525"/>
                <wp:lineTo x="21027" y="21376"/>
                <wp:lineTo x="21516" y="20778"/>
                <wp:lineTo x="21516" y="0"/>
                <wp:lineTo x="0" y="0"/>
              </wp:wrapPolygon>
            </wp:wrapTight>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890260" cy="2752725"/>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sz w:val="24"/>
          <w:szCs w:val="24"/>
          <w:lang w:eastAsia="it-IT"/>
        </w:rPr>
        <w:t>Nella tabella sottostante è indicata la ripartizione delle risorse relative agli interventi per destinatari finali:</w:t>
      </w:r>
    </w:p>
    <w:p w14:paraId="1BCAC5A2"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4D0C9152"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762FDCD7"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25380D15"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725AA489"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1A6707AB"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7D9DF42C"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2FAD4002"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247D68AA"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7A2516B9"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7BE5B6A8"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369D4A2F"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4B33D05B"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1DCD0063"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5C949AD3"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4C0467B8"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600BDA3B"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1A650AD8" wp14:editId="315DBC90">
            <wp:extent cx="5962650" cy="8696325"/>
            <wp:effectExtent l="0" t="0" r="0" b="9525"/>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962650" cy="8696325"/>
                    </a:xfrm>
                    <a:prstGeom prst="rect">
                      <a:avLst/>
                    </a:prstGeom>
                    <a:noFill/>
                    <a:ln>
                      <a:noFill/>
                    </a:ln>
                  </pic:spPr>
                </pic:pic>
              </a:graphicData>
            </a:graphic>
          </wp:inline>
        </w:drawing>
      </w:r>
    </w:p>
    <w:p w14:paraId="41BFE1D9"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7417ADB6" wp14:editId="4B70114F">
            <wp:extent cx="5962650" cy="8210550"/>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62650" cy="8210550"/>
                    </a:xfrm>
                    <a:prstGeom prst="rect">
                      <a:avLst/>
                    </a:prstGeom>
                    <a:noFill/>
                    <a:ln>
                      <a:noFill/>
                    </a:ln>
                  </pic:spPr>
                </pic:pic>
              </a:graphicData>
            </a:graphic>
          </wp:inline>
        </w:drawing>
      </w:r>
    </w:p>
    <w:p w14:paraId="7948288E"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p>
    <w:p w14:paraId="6048D0E9"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2554D6A6" wp14:editId="42BB54B4">
            <wp:extent cx="5902325" cy="8720920"/>
            <wp:effectExtent l="0" t="0" r="3175" b="4445"/>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08559" cy="8730130"/>
                    </a:xfrm>
                    <a:prstGeom prst="rect">
                      <a:avLst/>
                    </a:prstGeom>
                    <a:noFill/>
                    <a:ln>
                      <a:noFill/>
                    </a:ln>
                  </pic:spPr>
                </pic:pic>
              </a:graphicData>
            </a:graphic>
          </wp:inline>
        </w:drawing>
      </w:r>
    </w:p>
    <w:p w14:paraId="64836843"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sz w:val="24"/>
          <w:szCs w:val="24"/>
          <w:lang w:eastAsia="it-IT"/>
        </w:rPr>
      </w:pPr>
      <w:r w:rsidRPr="00F56356">
        <w:rPr>
          <w:rFonts w:ascii="Times New Roman" w:eastAsia="Times New Roman" w:hAnsi="Times New Roman" w:cs="Times New Roman"/>
          <w:noProof/>
          <w:sz w:val="24"/>
          <w:szCs w:val="24"/>
          <w:lang w:eastAsia="it-IT"/>
        </w:rPr>
        <w:lastRenderedPageBreak/>
        <w:drawing>
          <wp:inline distT="0" distB="0" distL="0" distR="0" wp14:anchorId="27AD5249" wp14:editId="3F3A8CA4">
            <wp:extent cx="5902897" cy="8768687"/>
            <wp:effectExtent l="0" t="0" r="3175"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10097" cy="8779382"/>
                    </a:xfrm>
                    <a:prstGeom prst="rect">
                      <a:avLst/>
                    </a:prstGeom>
                    <a:noFill/>
                    <a:ln>
                      <a:noFill/>
                    </a:ln>
                  </pic:spPr>
                </pic:pic>
              </a:graphicData>
            </a:graphic>
          </wp:inline>
        </w:drawing>
      </w:r>
    </w:p>
    <w:tbl>
      <w:tblPr>
        <w:tblW w:w="9720" w:type="dxa"/>
        <w:tblCellMar>
          <w:left w:w="70" w:type="dxa"/>
          <w:right w:w="70" w:type="dxa"/>
        </w:tblCellMar>
        <w:tblLook w:val="04A0" w:firstRow="1" w:lastRow="0" w:firstColumn="1" w:lastColumn="0" w:noHBand="0" w:noVBand="1"/>
      </w:tblPr>
      <w:tblGrid>
        <w:gridCol w:w="340"/>
        <w:gridCol w:w="2280"/>
        <w:gridCol w:w="540"/>
        <w:gridCol w:w="1240"/>
        <w:gridCol w:w="1380"/>
        <w:gridCol w:w="1180"/>
        <w:gridCol w:w="1340"/>
        <w:gridCol w:w="1420"/>
      </w:tblGrid>
      <w:tr w:rsidR="00F56356" w:rsidRPr="00F56356" w14:paraId="3FA5778D" w14:textId="77777777" w:rsidTr="00F56356">
        <w:trPr>
          <w:trHeight w:val="510"/>
        </w:trPr>
        <w:tc>
          <w:tcPr>
            <w:tcW w:w="340" w:type="dxa"/>
            <w:tcBorders>
              <w:top w:val="nil"/>
              <w:left w:val="nil"/>
              <w:bottom w:val="nil"/>
              <w:right w:val="nil"/>
            </w:tcBorders>
            <w:shd w:val="clear" w:color="auto" w:fill="auto"/>
            <w:noWrap/>
            <w:vAlign w:val="bottom"/>
            <w:hideMark/>
          </w:tcPr>
          <w:p w14:paraId="2043C894" w14:textId="77777777" w:rsidR="00F56356" w:rsidRPr="00F56356" w:rsidRDefault="00F56356" w:rsidP="00F56356">
            <w:pPr>
              <w:spacing w:after="0" w:line="240" w:lineRule="auto"/>
              <w:rPr>
                <w:rFonts w:ascii="Times New Roman" w:eastAsia="Times New Roman" w:hAnsi="Times New Roman" w:cs="Times New Roman"/>
                <w:sz w:val="24"/>
                <w:szCs w:val="24"/>
                <w:lang w:eastAsia="it-IT"/>
              </w:rPr>
            </w:pPr>
          </w:p>
        </w:tc>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72A15E"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r w:rsidRPr="00F56356">
              <w:rPr>
                <w:rFonts w:ascii="Times New Roman" w:eastAsia="Times New Roman" w:hAnsi="Times New Roman" w:cs="Times New Roman"/>
                <w:b/>
                <w:bCs/>
                <w:i/>
                <w:iCs/>
                <w:color w:val="000000"/>
                <w:sz w:val="28"/>
                <w:szCs w:val="28"/>
                <w:lang w:eastAsia="it-IT"/>
              </w:rPr>
              <w:t>SCHEDA OBIETTIVO</w:t>
            </w:r>
          </w:p>
        </w:tc>
      </w:tr>
      <w:tr w:rsidR="00F56356" w:rsidRPr="00F56356" w14:paraId="21F2B35B" w14:textId="77777777" w:rsidTr="00F56356">
        <w:trPr>
          <w:trHeight w:val="603"/>
        </w:trPr>
        <w:tc>
          <w:tcPr>
            <w:tcW w:w="340" w:type="dxa"/>
            <w:tcBorders>
              <w:top w:val="nil"/>
              <w:left w:val="nil"/>
              <w:bottom w:val="nil"/>
              <w:right w:val="nil"/>
            </w:tcBorders>
            <w:shd w:val="clear" w:color="auto" w:fill="auto"/>
            <w:noWrap/>
            <w:vAlign w:val="center"/>
            <w:hideMark/>
          </w:tcPr>
          <w:p w14:paraId="49E8455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28"/>
                <w:szCs w:val="28"/>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6EB93B19"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MISSIONE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531D312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24 - Diritti sociali, politiche sociali e famiglia</w:t>
            </w:r>
          </w:p>
        </w:tc>
      </w:tr>
      <w:tr w:rsidR="00F56356" w:rsidRPr="00F56356" w14:paraId="01CD1046" w14:textId="77777777" w:rsidTr="00F56356">
        <w:trPr>
          <w:trHeight w:val="570"/>
        </w:trPr>
        <w:tc>
          <w:tcPr>
            <w:tcW w:w="340" w:type="dxa"/>
            <w:tcBorders>
              <w:top w:val="nil"/>
              <w:left w:val="nil"/>
              <w:bottom w:val="nil"/>
              <w:right w:val="nil"/>
            </w:tcBorders>
            <w:shd w:val="clear" w:color="auto" w:fill="auto"/>
            <w:noWrap/>
            <w:vAlign w:val="center"/>
            <w:hideMark/>
          </w:tcPr>
          <w:p w14:paraId="76D760E7"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FAD7C9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PROGRAMMA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D92BF97"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24.5 - Famiglia, pari opportunità e situazioni di disagio</w:t>
            </w:r>
          </w:p>
        </w:tc>
      </w:tr>
      <w:tr w:rsidR="00F56356" w:rsidRPr="00F56356" w14:paraId="492AE1CB" w14:textId="77777777" w:rsidTr="00F56356">
        <w:trPr>
          <w:trHeight w:val="750"/>
        </w:trPr>
        <w:tc>
          <w:tcPr>
            <w:tcW w:w="340" w:type="dxa"/>
            <w:tcBorders>
              <w:top w:val="nil"/>
              <w:left w:val="nil"/>
              <w:bottom w:val="nil"/>
              <w:right w:val="nil"/>
            </w:tcBorders>
            <w:shd w:val="clear" w:color="auto" w:fill="auto"/>
            <w:noWrap/>
            <w:vAlign w:val="center"/>
            <w:hideMark/>
          </w:tcPr>
          <w:p w14:paraId="32F6103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24D7FB9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CENTRO DI RESPONSABILITA’</w:t>
            </w:r>
          </w:p>
        </w:tc>
        <w:tc>
          <w:tcPr>
            <w:tcW w:w="710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CDB03B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20 - Politiche in favore delle persone con disabilità</w:t>
            </w:r>
          </w:p>
        </w:tc>
      </w:tr>
      <w:tr w:rsidR="00F56356" w:rsidRPr="00F56356" w14:paraId="3185E107" w14:textId="77777777" w:rsidTr="00F56356">
        <w:trPr>
          <w:trHeight w:val="540"/>
        </w:trPr>
        <w:tc>
          <w:tcPr>
            <w:tcW w:w="340" w:type="dxa"/>
            <w:tcBorders>
              <w:top w:val="nil"/>
              <w:left w:val="nil"/>
              <w:bottom w:val="nil"/>
              <w:right w:val="nil"/>
            </w:tcBorders>
            <w:shd w:val="clear" w:color="auto" w:fill="auto"/>
            <w:noWrap/>
            <w:vAlign w:val="center"/>
            <w:hideMark/>
          </w:tcPr>
          <w:p w14:paraId="0D24FFD1"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5F76AAF3"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STRUTTURALE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668904B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Funzionamento dell’Osservatorio nazionale sulla condizione delle persone con disabilità</w:t>
            </w:r>
          </w:p>
        </w:tc>
      </w:tr>
      <w:tr w:rsidR="00F56356" w:rsidRPr="00F56356" w14:paraId="51848F6D" w14:textId="77777777" w:rsidTr="00F56356">
        <w:trPr>
          <w:trHeight w:val="1530"/>
        </w:trPr>
        <w:tc>
          <w:tcPr>
            <w:tcW w:w="340" w:type="dxa"/>
            <w:tcBorders>
              <w:top w:val="nil"/>
              <w:left w:val="nil"/>
              <w:bottom w:val="nil"/>
              <w:right w:val="nil"/>
            </w:tcBorders>
            <w:shd w:val="clear" w:color="auto" w:fill="auto"/>
            <w:noWrap/>
            <w:vAlign w:val="center"/>
            <w:hideMark/>
          </w:tcPr>
          <w:p w14:paraId="7816A48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17B1D65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1C78634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Promozione dell’attuazione della Convenzione delle Nazioni Unite sui diritti delle persone con disabilità; predisposizione di un programma di azione biennale per la promozione dei diritti e l’integrazione delle persone con disabilità, in attuazione della legislazione nazionale ed internazionale; promozione della raccolta dei dati statistici e della realizzazione di studi e ricerche sul tema; predisposizione della relazione sullo stato di attuazione delle politiche sulla disabilità. </w:t>
            </w:r>
          </w:p>
        </w:tc>
      </w:tr>
      <w:tr w:rsidR="00F56356" w:rsidRPr="00F56356" w14:paraId="41883733" w14:textId="77777777" w:rsidTr="00F56356">
        <w:trPr>
          <w:trHeight w:val="480"/>
        </w:trPr>
        <w:tc>
          <w:tcPr>
            <w:tcW w:w="340" w:type="dxa"/>
            <w:tcBorders>
              <w:top w:val="nil"/>
              <w:left w:val="nil"/>
              <w:bottom w:val="nil"/>
              <w:right w:val="nil"/>
            </w:tcBorders>
            <w:shd w:val="clear" w:color="auto" w:fill="auto"/>
            <w:noWrap/>
            <w:vAlign w:val="center"/>
            <w:hideMark/>
          </w:tcPr>
          <w:p w14:paraId="657F282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A336A88"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OBIETTIVO STRATEGICO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018AB682"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41BB3005" w14:textId="77777777" w:rsidTr="00F56356">
        <w:trPr>
          <w:trHeight w:val="468"/>
        </w:trPr>
        <w:tc>
          <w:tcPr>
            <w:tcW w:w="340" w:type="dxa"/>
            <w:tcBorders>
              <w:top w:val="nil"/>
              <w:left w:val="nil"/>
              <w:bottom w:val="nil"/>
              <w:right w:val="nil"/>
            </w:tcBorders>
            <w:shd w:val="clear" w:color="auto" w:fill="auto"/>
            <w:noWrap/>
            <w:vAlign w:val="center"/>
            <w:hideMark/>
          </w:tcPr>
          <w:p w14:paraId="21BA6C2F"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07D4FF0D"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11493D2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722E2AF8" w14:textId="77777777" w:rsidTr="00F56356">
        <w:trPr>
          <w:trHeight w:val="510"/>
        </w:trPr>
        <w:tc>
          <w:tcPr>
            <w:tcW w:w="340" w:type="dxa"/>
            <w:tcBorders>
              <w:top w:val="nil"/>
              <w:left w:val="nil"/>
              <w:bottom w:val="nil"/>
              <w:right w:val="nil"/>
            </w:tcBorders>
            <w:shd w:val="clear" w:color="auto" w:fill="auto"/>
            <w:noWrap/>
            <w:vAlign w:val="bottom"/>
            <w:hideMark/>
          </w:tcPr>
          <w:p w14:paraId="452E1485"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13D610F4"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STANZIAMENTI IN C/COMPETENZA PER LA REALIZZAZIONE DELL’OBIETTIVO</w:t>
            </w:r>
          </w:p>
        </w:tc>
        <w:tc>
          <w:tcPr>
            <w:tcW w:w="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65523EE"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Cap. 862</w:t>
            </w: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501948"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Previsioni 2022</w:t>
            </w:r>
          </w:p>
        </w:tc>
        <w:tc>
          <w:tcPr>
            <w:tcW w:w="39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E6C55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Consuntivo 2022</w:t>
            </w:r>
          </w:p>
        </w:tc>
      </w:tr>
      <w:tr w:rsidR="00F56356" w:rsidRPr="00F56356" w14:paraId="23405D3D" w14:textId="77777777" w:rsidTr="00F56356">
        <w:trPr>
          <w:trHeight w:val="1305"/>
        </w:trPr>
        <w:tc>
          <w:tcPr>
            <w:tcW w:w="340" w:type="dxa"/>
            <w:tcBorders>
              <w:top w:val="nil"/>
              <w:left w:val="nil"/>
              <w:bottom w:val="nil"/>
              <w:right w:val="nil"/>
            </w:tcBorders>
            <w:shd w:val="clear" w:color="auto" w:fill="auto"/>
            <w:noWrap/>
            <w:vAlign w:val="bottom"/>
            <w:hideMark/>
          </w:tcPr>
          <w:p w14:paraId="7033500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2280" w:type="dxa"/>
            <w:vMerge/>
            <w:tcBorders>
              <w:top w:val="nil"/>
              <w:left w:val="single" w:sz="4" w:space="0" w:color="auto"/>
              <w:bottom w:val="single" w:sz="4" w:space="0" w:color="000000"/>
              <w:right w:val="single" w:sz="4" w:space="0" w:color="auto"/>
            </w:tcBorders>
            <w:vAlign w:val="center"/>
            <w:hideMark/>
          </w:tcPr>
          <w:p w14:paraId="7B92C22F"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48307F9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vAlign w:val="center"/>
            <w:hideMark/>
          </w:tcPr>
          <w:p w14:paraId="079B505F"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iniziale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1)</w:t>
            </w:r>
          </w:p>
        </w:tc>
        <w:tc>
          <w:tcPr>
            <w:tcW w:w="1380" w:type="dxa"/>
            <w:tcBorders>
              <w:top w:val="nil"/>
              <w:left w:val="nil"/>
              <w:bottom w:val="single" w:sz="4" w:space="0" w:color="auto"/>
              <w:right w:val="single" w:sz="4" w:space="0" w:color="auto"/>
            </w:tcBorders>
            <w:shd w:val="clear" w:color="auto" w:fill="auto"/>
            <w:vAlign w:val="center"/>
            <w:hideMark/>
          </w:tcPr>
          <w:p w14:paraId="6C670CCC"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Stanziamento definitivo di 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2)</w:t>
            </w:r>
          </w:p>
        </w:tc>
        <w:tc>
          <w:tcPr>
            <w:tcW w:w="1180" w:type="dxa"/>
            <w:tcBorders>
              <w:top w:val="nil"/>
              <w:left w:val="nil"/>
              <w:bottom w:val="single" w:sz="4" w:space="0" w:color="auto"/>
              <w:right w:val="single" w:sz="4" w:space="0" w:color="auto"/>
            </w:tcBorders>
            <w:shd w:val="clear" w:color="auto" w:fill="auto"/>
            <w:vAlign w:val="center"/>
            <w:hideMark/>
          </w:tcPr>
          <w:p w14:paraId="4862E87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Pagamento c/competenza</w:t>
            </w:r>
            <w:r w:rsidRPr="00F56356">
              <w:rPr>
                <w:rFonts w:ascii="Times New Roman" w:eastAsia="Times New Roman" w:hAnsi="Times New Roman" w:cs="Times New Roman"/>
                <w:color w:val="000000"/>
                <w:sz w:val="16"/>
                <w:szCs w:val="16"/>
                <w:lang w:eastAsia="it-IT"/>
              </w:rPr>
              <w:t xml:space="preserve">                         </w:t>
            </w:r>
            <w:proofErr w:type="gramStart"/>
            <w:r w:rsidRPr="00F56356">
              <w:rPr>
                <w:rFonts w:ascii="Times New Roman" w:eastAsia="Times New Roman" w:hAnsi="Times New Roman" w:cs="Times New Roman"/>
                <w:color w:val="000000"/>
                <w:sz w:val="16"/>
                <w:szCs w:val="16"/>
                <w:lang w:eastAsia="it-IT"/>
              </w:rPr>
              <w:t xml:space="preserve">   (</w:t>
            </w:r>
            <w:proofErr w:type="gramEnd"/>
            <w:r w:rsidRPr="00F56356">
              <w:rPr>
                <w:rFonts w:ascii="Times New Roman" w:eastAsia="Times New Roman" w:hAnsi="Times New Roman" w:cs="Times New Roman"/>
                <w:color w:val="000000"/>
                <w:sz w:val="16"/>
                <w:szCs w:val="16"/>
                <w:lang w:eastAsia="it-IT"/>
              </w:rPr>
              <w:t>3)</w:t>
            </w:r>
          </w:p>
        </w:tc>
        <w:tc>
          <w:tcPr>
            <w:tcW w:w="1340" w:type="dxa"/>
            <w:tcBorders>
              <w:top w:val="nil"/>
              <w:left w:val="nil"/>
              <w:bottom w:val="single" w:sz="4" w:space="0" w:color="auto"/>
              <w:right w:val="single" w:sz="4" w:space="0" w:color="auto"/>
            </w:tcBorders>
            <w:shd w:val="clear" w:color="auto" w:fill="auto"/>
            <w:vAlign w:val="center"/>
            <w:hideMark/>
          </w:tcPr>
          <w:p w14:paraId="157D0EE6"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Somme rimaste da pagare in c/competenza                             </w:t>
            </w:r>
            <w:proofErr w:type="gramStart"/>
            <w:r w:rsidRPr="00F56356">
              <w:rPr>
                <w:rFonts w:ascii="Times New Roman" w:eastAsia="Times New Roman" w:hAnsi="Times New Roman" w:cs="Times New Roman"/>
                <w:color w:val="000000"/>
                <w:sz w:val="18"/>
                <w:szCs w:val="18"/>
                <w:lang w:eastAsia="it-IT"/>
              </w:rPr>
              <w:t xml:space="preserve">   </w:t>
            </w:r>
            <w:r w:rsidRPr="00F56356">
              <w:rPr>
                <w:rFonts w:ascii="Times New Roman" w:eastAsia="Times New Roman" w:hAnsi="Times New Roman" w:cs="Times New Roman"/>
                <w:color w:val="000000"/>
                <w:sz w:val="16"/>
                <w:szCs w:val="16"/>
                <w:lang w:eastAsia="it-IT"/>
              </w:rPr>
              <w:t>(</w:t>
            </w:r>
            <w:proofErr w:type="gramEnd"/>
            <w:r w:rsidRPr="00F56356">
              <w:rPr>
                <w:rFonts w:ascii="Times New Roman" w:eastAsia="Times New Roman" w:hAnsi="Times New Roman" w:cs="Times New Roman"/>
                <w:color w:val="000000"/>
                <w:sz w:val="16"/>
                <w:szCs w:val="16"/>
                <w:lang w:eastAsia="it-IT"/>
              </w:rPr>
              <w:t>4)</w:t>
            </w:r>
          </w:p>
        </w:tc>
        <w:tc>
          <w:tcPr>
            <w:tcW w:w="1420" w:type="dxa"/>
            <w:tcBorders>
              <w:top w:val="nil"/>
              <w:left w:val="nil"/>
              <w:bottom w:val="single" w:sz="4" w:space="0" w:color="auto"/>
              <w:right w:val="single" w:sz="4" w:space="0" w:color="auto"/>
            </w:tcBorders>
            <w:shd w:val="clear" w:color="auto" w:fill="auto"/>
            <w:vAlign w:val="center"/>
            <w:hideMark/>
          </w:tcPr>
          <w:p w14:paraId="79B15615"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Totale impegnato</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3) + (4)</w:t>
            </w:r>
          </w:p>
        </w:tc>
      </w:tr>
      <w:tr w:rsidR="00F56356" w:rsidRPr="00F56356" w14:paraId="71B4A7F3" w14:textId="77777777" w:rsidTr="00F56356">
        <w:trPr>
          <w:trHeight w:val="675"/>
        </w:trPr>
        <w:tc>
          <w:tcPr>
            <w:tcW w:w="340" w:type="dxa"/>
            <w:tcBorders>
              <w:top w:val="nil"/>
              <w:left w:val="nil"/>
              <w:bottom w:val="nil"/>
              <w:right w:val="nil"/>
            </w:tcBorders>
            <w:shd w:val="clear" w:color="auto" w:fill="auto"/>
            <w:noWrap/>
            <w:vAlign w:val="bottom"/>
            <w:hideMark/>
          </w:tcPr>
          <w:p w14:paraId="7745BF81"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280" w:type="dxa"/>
            <w:vMerge/>
            <w:tcBorders>
              <w:top w:val="nil"/>
              <w:left w:val="single" w:sz="4" w:space="0" w:color="auto"/>
              <w:bottom w:val="single" w:sz="4" w:space="0" w:color="000000"/>
              <w:right w:val="single" w:sz="4" w:space="0" w:color="auto"/>
            </w:tcBorders>
            <w:vAlign w:val="center"/>
            <w:hideMark/>
          </w:tcPr>
          <w:p w14:paraId="49D0A99B"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p>
        </w:tc>
        <w:tc>
          <w:tcPr>
            <w:tcW w:w="540" w:type="dxa"/>
            <w:vMerge/>
            <w:tcBorders>
              <w:top w:val="nil"/>
              <w:left w:val="single" w:sz="4" w:space="0" w:color="auto"/>
              <w:bottom w:val="single" w:sz="4" w:space="0" w:color="000000"/>
              <w:right w:val="single" w:sz="4" w:space="0" w:color="auto"/>
            </w:tcBorders>
            <w:vAlign w:val="center"/>
            <w:hideMark/>
          </w:tcPr>
          <w:p w14:paraId="65076EF5"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1240" w:type="dxa"/>
            <w:tcBorders>
              <w:top w:val="nil"/>
              <w:left w:val="nil"/>
              <w:bottom w:val="single" w:sz="4" w:space="0" w:color="auto"/>
              <w:right w:val="single" w:sz="4" w:space="0" w:color="auto"/>
            </w:tcBorders>
            <w:shd w:val="clear" w:color="auto" w:fill="auto"/>
            <w:noWrap/>
            <w:vAlign w:val="center"/>
            <w:hideMark/>
          </w:tcPr>
          <w:p w14:paraId="69388A10"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484.977,00</w:t>
            </w:r>
          </w:p>
        </w:tc>
        <w:tc>
          <w:tcPr>
            <w:tcW w:w="1380" w:type="dxa"/>
            <w:tcBorders>
              <w:top w:val="nil"/>
              <w:left w:val="nil"/>
              <w:bottom w:val="single" w:sz="4" w:space="0" w:color="auto"/>
              <w:right w:val="single" w:sz="4" w:space="0" w:color="auto"/>
            </w:tcBorders>
            <w:shd w:val="clear" w:color="auto" w:fill="auto"/>
            <w:noWrap/>
            <w:vAlign w:val="center"/>
            <w:hideMark/>
          </w:tcPr>
          <w:p w14:paraId="3915789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1.454.420,10</w:t>
            </w:r>
          </w:p>
        </w:tc>
        <w:tc>
          <w:tcPr>
            <w:tcW w:w="1180" w:type="dxa"/>
            <w:tcBorders>
              <w:top w:val="nil"/>
              <w:left w:val="nil"/>
              <w:bottom w:val="single" w:sz="4" w:space="0" w:color="auto"/>
              <w:right w:val="single" w:sz="4" w:space="0" w:color="auto"/>
            </w:tcBorders>
            <w:shd w:val="clear" w:color="auto" w:fill="auto"/>
            <w:noWrap/>
            <w:vAlign w:val="center"/>
            <w:hideMark/>
          </w:tcPr>
          <w:p w14:paraId="07BFADC5"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2.059,99</w:t>
            </w:r>
          </w:p>
        </w:tc>
        <w:tc>
          <w:tcPr>
            <w:tcW w:w="1340" w:type="dxa"/>
            <w:tcBorders>
              <w:top w:val="nil"/>
              <w:left w:val="nil"/>
              <w:bottom w:val="single" w:sz="4" w:space="0" w:color="auto"/>
              <w:right w:val="single" w:sz="4" w:space="0" w:color="auto"/>
            </w:tcBorders>
            <w:shd w:val="clear" w:color="auto" w:fill="auto"/>
            <w:noWrap/>
            <w:vAlign w:val="center"/>
            <w:hideMark/>
          </w:tcPr>
          <w:p w14:paraId="5F7A1689"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17.803,46</w:t>
            </w:r>
          </w:p>
        </w:tc>
        <w:tc>
          <w:tcPr>
            <w:tcW w:w="1420" w:type="dxa"/>
            <w:tcBorders>
              <w:top w:val="nil"/>
              <w:left w:val="nil"/>
              <w:bottom w:val="single" w:sz="4" w:space="0" w:color="auto"/>
              <w:right w:val="single" w:sz="4" w:space="0" w:color="auto"/>
            </w:tcBorders>
            <w:shd w:val="clear" w:color="auto" w:fill="auto"/>
            <w:noWrap/>
            <w:vAlign w:val="center"/>
            <w:hideMark/>
          </w:tcPr>
          <w:p w14:paraId="69BF79E8"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19.863,45</w:t>
            </w:r>
          </w:p>
        </w:tc>
      </w:tr>
      <w:tr w:rsidR="00F56356" w:rsidRPr="00F56356" w14:paraId="728A7658" w14:textId="77777777" w:rsidTr="00F56356">
        <w:trPr>
          <w:trHeight w:val="240"/>
        </w:trPr>
        <w:tc>
          <w:tcPr>
            <w:tcW w:w="340" w:type="dxa"/>
            <w:tcBorders>
              <w:top w:val="nil"/>
              <w:left w:val="nil"/>
              <w:bottom w:val="nil"/>
              <w:right w:val="nil"/>
            </w:tcBorders>
            <w:shd w:val="clear" w:color="auto" w:fill="auto"/>
            <w:noWrap/>
            <w:vAlign w:val="bottom"/>
            <w:hideMark/>
          </w:tcPr>
          <w:p w14:paraId="3A9BF9FB" w14:textId="77777777" w:rsidR="00F56356" w:rsidRPr="00F56356" w:rsidRDefault="00F56356" w:rsidP="00F56356">
            <w:pPr>
              <w:spacing w:after="0" w:line="240" w:lineRule="auto"/>
              <w:jc w:val="right"/>
              <w:rPr>
                <w:rFonts w:ascii="Times New Roman" w:eastAsia="Times New Roman" w:hAnsi="Times New Roman" w:cs="Times New Roman"/>
                <w:color w:val="000000"/>
                <w:sz w:val="18"/>
                <w:szCs w:val="18"/>
                <w:lang w:eastAsia="it-IT"/>
              </w:rPr>
            </w:pPr>
          </w:p>
        </w:tc>
        <w:tc>
          <w:tcPr>
            <w:tcW w:w="2280" w:type="dxa"/>
            <w:tcBorders>
              <w:top w:val="nil"/>
              <w:left w:val="single" w:sz="4" w:space="0" w:color="auto"/>
              <w:bottom w:val="nil"/>
              <w:right w:val="nil"/>
            </w:tcBorders>
            <w:shd w:val="clear" w:color="auto" w:fill="auto"/>
            <w:noWrap/>
            <w:vAlign w:val="center"/>
            <w:hideMark/>
          </w:tcPr>
          <w:p w14:paraId="0CD1F0D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r w:rsidRPr="00F56356">
              <w:rPr>
                <w:rFonts w:ascii="Times New Roman" w:eastAsia="Times New Roman" w:hAnsi="Times New Roman" w:cs="Times New Roman"/>
                <w:b/>
                <w:bCs/>
                <w:color w:val="000000"/>
                <w:sz w:val="18"/>
                <w:szCs w:val="18"/>
                <w:lang w:eastAsia="it-IT"/>
              </w:rPr>
              <w:t>LEGENDA</w:t>
            </w:r>
          </w:p>
        </w:tc>
        <w:tc>
          <w:tcPr>
            <w:tcW w:w="540" w:type="dxa"/>
            <w:tcBorders>
              <w:top w:val="nil"/>
              <w:left w:val="nil"/>
              <w:bottom w:val="nil"/>
              <w:right w:val="nil"/>
            </w:tcBorders>
            <w:shd w:val="clear" w:color="auto" w:fill="auto"/>
            <w:noWrap/>
            <w:vAlign w:val="bottom"/>
            <w:hideMark/>
          </w:tcPr>
          <w:p w14:paraId="6D106B92" w14:textId="77777777" w:rsidR="00F56356" w:rsidRPr="00F56356" w:rsidRDefault="00F56356" w:rsidP="00F56356">
            <w:pPr>
              <w:spacing w:after="0" w:line="240" w:lineRule="auto"/>
              <w:rPr>
                <w:rFonts w:ascii="Times New Roman" w:eastAsia="Times New Roman" w:hAnsi="Times New Roman" w:cs="Times New Roman"/>
                <w:b/>
                <w:bCs/>
                <w:color w:val="000000"/>
                <w:sz w:val="18"/>
                <w:szCs w:val="18"/>
                <w:lang w:eastAsia="it-IT"/>
              </w:rPr>
            </w:pPr>
          </w:p>
        </w:tc>
        <w:tc>
          <w:tcPr>
            <w:tcW w:w="1240" w:type="dxa"/>
            <w:tcBorders>
              <w:top w:val="nil"/>
              <w:left w:val="nil"/>
              <w:bottom w:val="nil"/>
              <w:right w:val="nil"/>
            </w:tcBorders>
            <w:shd w:val="clear" w:color="auto" w:fill="auto"/>
            <w:noWrap/>
            <w:vAlign w:val="bottom"/>
            <w:hideMark/>
          </w:tcPr>
          <w:p w14:paraId="29FBC497"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80" w:type="dxa"/>
            <w:tcBorders>
              <w:top w:val="nil"/>
              <w:left w:val="nil"/>
              <w:bottom w:val="nil"/>
              <w:right w:val="nil"/>
            </w:tcBorders>
            <w:shd w:val="clear" w:color="auto" w:fill="auto"/>
            <w:noWrap/>
            <w:vAlign w:val="bottom"/>
            <w:hideMark/>
          </w:tcPr>
          <w:p w14:paraId="3AB194C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180" w:type="dxa"/>
            <w:tcBorders>
              <w:top w:val="nil"/>
              <w:left w:val="nil"/>
              <w:bottom w:val="nil"/>
              <w:right w:val="nil"/>
            </w:tcBorders>
            <w:shd w:val="clear" w:color="auto" w:fill="auto"/>
            <w:noWrap/>
            <w:vAlign w:val="bottom"/>
            <w:hideMark/>
          </w:tcPr>
          <w:p w14:paraId="49A52115"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340" w:type="dxa"/>
            <w:tcBorders>
              <w:top w:val="nil"/>
              <w:left w:val="nil"/>
              <w:bottom w:val="nil"/>
              <w:right w:val="nil"/>
            </w:tcBorders>
            <w:shd w:val="clear" w:color="auto" w:fill="auto"/>
            <w:noWrap/>
            <w:vAlign w:val="bottom"/>
            <w:hideMark/>
          </w:tcPr>
          <w:p w14:paraId="5EF30276" w14:textId="77777777" w:rsidR="00F56356" w:rsidRPr="00F56356" w:rsidRDefault="00F56356" w:rsidP="00F56356">
            <w:pPr>
              <w:spacing w:after="0" w:line="240" w:lineRule="auto"/>
              <w:rPr>
                <w:rFonts w:ascii="Times New Roman" w:eastAsia="Times New Roman" w:hAnsi="Times New Roman" w:cs="Times New Roman"/>
                <w:sz w:val="20"/>
                <w:szCs w:val="20"/>
                <w:lang w:eastAsia="it-IT"/>
              </w:rPr>
            </w:pPr>
          </w:p>
        </w:tc>
        <w:tc>
          <w:tcPr>
            <w:tcW w:w="1420" w:type="dxa"/>
            <w:tcBorders>
              <w:top w:val="nil"/>
              <w:left w:val="nil"/>
              <w:bottom w:val="nil"/>
              <w:right w:val="single" w:sz="4" w:space="0" w:color="auto"/>
            </w:tcBorders>
            <w:shd w:val="clear" w:color="auto" w:fill="auto"/>
            <w:noWrap/>
            <w:vAlign w:val="bottom"/>
            <w:hideMark/>
          </w:tcPr>
          <w:p w14:paraId="2BB24EEC"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w:t>
            </w:r>
          </w:p>
        </w:tc>
      </w:tr>
      <w:tr w:rsidR="00F56356" w:rsidRPr="00F56356" w14:paraId="673CB89D" w14:textId="77777777" w:rsidTr="00F56356">
        <w:trPr>
          <w:trHeight w:val="555"/>
        </w:trPr>
        <w:tc>
          <w:tcPr>
            <w:tcW w:w="340" w:type="dxa"/>
            <w:tcBorders>
              <w:top w:val="nil"/>
              <w:left w:val="nil"/>
              <w:bottom w:val="nil"/>
              <w:right w:val="nil"/>
            </w:tcBorders>
            <w:shd w:val="clear" w:color="auto" w:fill="auto"/>
            <w:noWrap/>
            <w:vAlign w:val="bottom"/>
            <w:hideMark/>
          </w:tcPr>
          <w:p w14:paraId="44EAFA2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80" w:type="dxa"/>
            <w:gridSpan w:val="7"/>
            <w:tcBorders>
              <w:top w:val="nil"/>
              <w:left w:val="single" w:sz="4" w:space="0" w:color="auto"/>
              <w:bottom w:val="nil"/>
              <w:right w:val="single" w:sz="4" w:space="0" w:color="000000"/>
            </w:tcBorders>
            <w:shd w:val="clear" w:color="auto" w:fill="auto"/>
            <w:vAlign w:val="center"/>
            <w:hideMark/>
          </w:tcPr>
          <w:p w14:paraId="058C0231"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 e (2) risorse finanziarie destinate alla realizzazione dell’obiettivo in termini di stanziamenti c/competenza iniziali e definitivi</w:t>
            </w:r>
          </w:p>
        </w:tc>
      </w:tr>
      <w:tr w:rsidR="00F56356" w:rsidRPr="00F56356" w14:paraId="14A09BB9" w14:textId="77777777" w:rsidTr="00F56356">
        <w:trPr>
          <w:trHeight w:val="300"/>
        </w:trPr>
        <w:tc>
          <w:tcPr>
            <w:tcW w:w="340" w:type="dxa"/>
            <w:tcBorders>
              <w:top w:val="nil"/>
              <w:left w:val="nil"/>
              <w:bottom w:val="nil"/>
              <w:right w:val="nil"/>
            </w:tcBorders>
            <w:shd w:val="clear" w:color="auto" w:fill="auto"/>
            <w:noWrap/>
            <w:vAlign w:val="bottom"/>
            <w:hideMark/>
          </w:tcPr>
          <w:p w14:paraId="1F833C53"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9380" w:type="dxa"/>
            <w:gridSpan w:val="7"/>
            <w:tcBorders>
              <w:top w:val="nil"/>
              <w:left w:val="single" w:sz="4" w:space="0" w:color="auto"/>
              <w:bottom w:val="nil"/>
              <w:right w:val="single" w:sz="4" w:space="0" w:color="000000"/>
            </w:tcBorders>
            <w:shd w:val="clear" w:color="auto" w:fill="auto"/>
            <w:vAlign w:val="center"/>
            <w:hideMark/>
          </w:tcPr>
          <w:p w14:paraId="08ADF51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(3) risorse finanziarie impiegate nell’anno per realizzare l’obiettivo in termini di pagamenti in c/competenza</w:t>
            </w:r>
          </w:p>
        </w:tc>
      </w:tr>
      <w:tr w:rsidR="00F56356" w:rsidRPr="00F56356" w14:paraId="723C2226" w14:textId="77777777" w:rsidTr="00F56356">
        <w:trPr>
          <w:trHeight w:val="300"/>
        </w:trPr>
        <w:tc>
          <w:tcPr>
            <w:tcW w:w="340" w:type="dxa"/>
            <w:tcBorders>
              <w:top w:val="nil"/>
              <w:left w:val="nil"/>
              <w:bottom w:val="nil"/>
              <w:right w:val="nil"/>
            </w:tcBorders>
            <w:shd w:val="clear" w:color="auto" w:fill="auto"/>
            <w:noWrap/>
            <w:vAlign w:val="bottom"/>
            <w:hideMark/>
          </w:tcPr>
          <w:p w14:paraId="7082C14D"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80" w:type="dxa"/>
            <w:gridSpan w:val="7"/>
            <w:tcBorders>
              <w:top w:val="nil"/>
              <w:left w:val="single" w:sz="4" w:space="0" w:color="auto"/>
              <w:bottom w:val="single" w:sz="4" w:space="0" w:color="auto"/>
              <w:right w:val="single" w:sz="4" w:space="0" w:color="000000"/>
            </w:tcBorders>
            <w:shd w:val="clear" w:color="auto" w:fill="auto"/>
            <w:vAlign w:val="center"/>
            <w:hideMark/>
          </w:tcPr>
          <w:p w14:paraId="633E908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(4) impegni rimasti da pagare in c/competenza al termine dell’esercizio.</w:t>
            </w:r>
          </w:p>
        </w:tc>
      </w:tr>
      <w:tr w:rsidR="00F56356" w:rsidRPr="00F56356" w14:paraId="416C2434" w14:textId="77777777" w:rsidTr="00F56356">
        <w:trPr>
          <w:trHeight w:val="390"/>
        </w:trPr>
        <w:tc>
          <w:tcPr>
            <w:tcW w:w="340" w:type="dxa"/>
            <w:tcBorders>
              <w:top w:val="nil"/>
              <w:left w:val="nil"/>
              <w:bottom w:val="nil"/>
              <w:right w:val="nil"/>
            </w:tcBorders>
            <w:shd w:val="clear" w:color="auto" w:fill="auto"/>
            <w:noWrap/>
            <w:vAlign w:val="bottom"/>
            <w:hideMark/>
          </w:tcPr>
          <w:p w14:paraId="07F6FD1A"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938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587423"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r w:rsidRPr="00F56356">
              <w:rPr>
                <w:rFonts w:ascii="Times New Roman" w:eastAsia="Times New Roman" w:hAnsi="Times New Roman" w:cs="Times New Roman"/>
                <w:b/>
                <w:bCs/>
                <w:i/>
                <w:iCs/>
                <w:color w:val="000000"/>
                <w:sz w:val="18"/>
                <w:szCs w:val="18"/>
                <w:lang w:eastAsia="it-IT"/>
              </w:rPr>
              <w:t>INDICATORI DI RISULTATO</w:t>
            </w:r>
          </w:p>
        </w:tc>
      </w:tr>
      <w:tr w:rsidR="00F56356" w:rsidRPr="00F56356" w14:paraId="549D75B4" w14:textId="77777777" w:rsidTr="00F56356">
        <w:trPr>
          <w:trHeight w:val="493"/>
        </w:trPr>
        <w:tc>
          <w:tcPr>
            <w:tcW w:w="340" w:type="dxa"/>
            <w:tcBorders>
              <w:top w:val="nil"/>
              <w:left w:val="nil"/>
              <w:bottom w:val="nil"/>
              <w:right w:val="nil"/>
            </w:tcBorders>
            <w:shd w:val="clear" w:color="auto" w:fill="auto"/>
            <w:noWrap/>
            <w:vAlign w:val="center"/>
            <w:hideMark/>
          </w:tcPr>
          <w:p w14:paraId="6CB5AF49" w14:textId="77777777" w:rsidR="00F56356" w:rsidRPr="00F56356" w:rsidRDefault="00F56356" w:rsidP="00F56356">
            <w:pPr>
              <w:spacing w:after="0" w:line="240" w:lineRule="auto"/>
              <w:jc w:val="center"/>
              <w:rPr>
                <w:rFonts w:ascii="Times New Roman" w:eastAsia="Times New Roman" w:hAnsi="Times New Roman" w:cs="Times New Roman"/>
                <w:b/>
                <w:bCs/>
                <w:i/>
                <w:iCs/>
                <w:color w:val="000000"/>
                <w:sz w:val="18"/>
                <w:szCs w:val="18"/>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11127FE7"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DESCRIZIONE</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0DC1887A"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 xml:space="preserve">Grado di attuazione finanziaria degli interventi </w:t>
            </w:r>
          </w:p>
        </w:tc>
      </w:tr>
      <w:tr w:rsidR="00F56356" w:rsidRPr="00F56356" w14:paraId="37A2ED6F" w14:textId="77777777" w:rsidTr="00F56356">
        <w:trPr>
          <w:trHeight w:val="445"/>
        </w:trPr>
        <w:tc>
          <w:tcPr>
            <w:tcW w:w="340" w:type="dxa"/>
            <w:tcBorders>
              <w:top w:val="nil"/>
              <w:left w:val="nil"/>
              <w:bottom w:val="nil"/>
              <w:right w:val="nil"/>
            </w:tcBorders>
            <w:shd w:val="clear" w:color="auto" w:fill="auto"/>
            <w:noWrap/>
            <w:vAlign w:val="center"/>
            <w:hideMark/>
          </w:tcPr>
          <w:p w14:paraId="37B95BE0"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5D065FE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FONTE DEL DATO</w:t>
            </w:r>
          </w:p>
        </w:tc>
        <w:tc>
          <w:tcPr>
            <w:tcW w:w="7100" w:type="dxa"/>
            <w:gridSpan w:val="6"/>
            <w:tcBorders>
              <w:top w:val="single" w:sz="4" w:space="0" w:color="auto"/>
              <w:left w:val="nil"/>
              <w:bottom w:val="single" w:sz="4" w:space="0" w:color="auto"/>
              <w:right w:val="single" w:sz="4" w:space="0" w:color="000000"/>
            </w:tcBorders>
            <w:shd w:val="clear" w:color="auto" w:fill="auto"/>
            <w:vAlign w:val="center"/>
            <w:hideMark/>
          </w:tcPr>
          <w:p w14:paraId="589A6F0B"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SICOGE; PROTOCOLLO INFORMATICO</w:t>
            </w:r>
          </w:p>
        </w:tc>
      </w:tr>
      <w:tr w:rsidR="00F56356" w:rsidRPr="00F56356" w14:paraId="2ECCDE33" w14:textId="77777777" w:rsidTr="00F56356">
        <w:trPr>
          <w:trHeight w:val="1320"/>
        </w:trPr>
        <w:tc>
          <w:tcPr>
            <w:tcW w:w="340" w:type="dxa"/>
            <w:tcBorders>
              <w:top w:val="nil"/>
              <w:left w:val="nil"/>
              <w:bottom w:val="nil"/>
              <w:right w:val="nil"/>
            </w:tcBorders>
            <w:shd w:val="clear" w:color="auto" w:fill="auto"/>
            <w:noWrap/>
            <w:vAlign w:val="center"/>
            <w:hideMark/>
          </w:tcPr>
          <w:p w14:paraId="007B9F82" w14:textId="77777777" w:rsidR="00F56356" w:rsidRPr="00F56356" w:rsidRDefault="00F56356" w:rsidP="00F56356">
            <w:pPr>
              <w:spacing w:after="0" w:line="240" w:lineRule="auto"/>
              <w:rPr>
                <w:rFonts w:ascii="Times New Roman" w:eastAsia="Times New Roman" w:hAnsi="Times New Roman" w:cs="Times New Roman"/>
                <w:color w:val="000000"/>
                <w:sz w:val="20"/>
                <w:szCs w:val="20"/>
                <w:lang w:eastAsia="it-IT"/>
              </w:rPr>
            </w:pPr>
          </w:p>
        </w:tc>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21A2EC16"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METODO DI CALCOLO</w:t>
            </w:r>
          </w:p>
        </w:tc>
        <w:tc>
          <w:tcPr>
            <w:tcW w:w="3160" w:type="dxa"/>
            <w:gridSpan w:val="3"/>
            <w:tcBorders>
              <w:top w:val="single" w:sz="4" w:space="0" w:color="auto"/>
              <w:left w:val="nil"/>
              <w:bottom w:val="single" w:sz="4" w:space="0" w:color="auto"/>
              <w:right w:val="single" w:sz="4" w:space="0" w:color="000000"/>
            </w:tcBorders>
            <w:shd w:val="clear" w:color="auto" w:fill="auto"/>
            <w:vAlign w:val="center"/>
            <w:hideMark/>
          </w:tcPr>
          <w:p w14:paraId="0247C1C4" w14:textId="77777777" w:rsidR="00F56356" w:rsidRPr="00F56356" w:rsidRDefault="00F56356" w:rsidP="00F56356">
            <w:pPr>
              <w:spacing w:after="0" w:line="240" w:lineRule="auto"/>
              <w:jc w:val="both"/>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Livello di conformità alle previsioni di impegno/pagamento/smaltimento residui contenute nella Nota preliminare al bilancio per l’anno 2022</w:t>
            </w:r>
          </w:p>
        </w:tc>
        <w:tc>
          <w:tcPr>
            <w:tcW w:w="1180" w:type="dxa"/>
            <w:tcBorders>
              <w:top w:val="nil"/>
              <w:left w:val="nil"/>
              <w:bottom w:val="single" w:sz="4" w:space="0" w:color="auto"/>
              <w:right w:val="nil"/>
            </w:tcBorders>
            <w:shd w:val="clear" w:color="auto" w:fill="auto"/>
            <w:vAlign w:val="center"/>
            <w:hideMark/>
          </w:tcPr>
          <w:p w14:paraId="15E13CE8"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preventivo</w:t>
            </w:r>
          </w:p>
        </w:tc>
        <w:tc>
          <w:tcPr>
            <w:tcW w:w="1340" w:type="dxa"/>
            <w:tcBorders>
              <w:top w:val="nil"/>
              <w:left w:val="single" w:sz="4" w:space="0" w:color="auto"/>
              <w:bottom w:val="single" w:sz="4" w:space="0" w:color="auto"/>
              <w:right w:val="nil"/>
            </w:tcBorders>
            <w:shd w:val="clear" w:color="auto" w:fill="auto"/>
            <w:vAlign w:val="center"/>
            <w:hideMark/>
          </w:tcPr>
          <w:p w14:paraId="7CEA510E"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Valori target a consuntivo</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4348B32"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Scostamento</w:t>
            </w:r>
          </w:p>
        </w:tc>
      </w:tr>
      <w:tr w:rsidR="00F56356" w:rsidRPr="00F56356" w14:paraId="3677F81B" w14:textId="77777777" w:rsidTr="00F56356">
        <w:trPr>
          <w:trHeight w:val="615"/>
        </w:trPr>
        <w:tc>
          <w:tcPr>
            <w:tcW w:w="340" w:type="dxa"/>
            <w:tcBorders>
              <w:top w:val="nil"/>
              <w:left w:val="nil"/>
              <w:bottom w:val="nil"/>
              <w:right w:val="nil"/>
            </w:tcBorders>
            <w:shd w:val="clear" w:color="auto" w:fill="auto"/>
            <w:noWrap/>
            <w:vAlign w:val="bottom"/>
            <w:hideMark/>
          </w:tcPr>
          <w:p w14:paraId="047506A0" w14:textId="77777777" w:rsidR="00F56356" w:rsidRPr="00F56356" w:rsidRDefault="00F56356" w:rsidP="00F56356">
            <w:pPr>
              <w:spacing w:after="0" w:line="240" w:lineRule="auto"/>
              <w:jc w:val="center"/>
              <w:rPr>
                <w:rFonts w:ascii="Times New Roman" w:eastAsia="Times New Roman" w:hAnsi="Times New Roman" w:cs="Times New Roman"/>
                <w:color w:val="000000"/>
                <w:sz w:val="18"/>
                <w:szCs w:val="18"/>
                <w:lang w:eastAsia="it-IT"/>
              </w:rPr>
            </w:pP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188BCF2A" w14:textId="77777777" w:rsidR="00F56356" w:rsidRPr="00F56356" w:rsidRDefault="00F56356" w:rsidP="00F56356">
            <w:pPr>
              <w:spacing w:after="0" w:line="240" w:lineRule="auto"/>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 xml:space="preserve">UNITA’ DI MISURA           </w:t>
            </w:r>
            <w:proofErr w:type="gramStart"/>
            <w:r w:rsidRPr="00F56356">
              <w:rPr>
                <w:rFonts w:ascii="Times New Roman" w:eastAsia="Times New Roman" w:hAnsi="Times New Roman" w:cs="Times New Roman"/>
                <w:color w:val="000000"/>
                <w:sz w:val="18"/>
                <w:szCs w:val="18"/>
                <w:lang w:eastAsia="it-IT"/>
              </w:rPr>
              <w:t xml:space="preserve">   (</w:t>
            </w:r>
            <w:proofErr w:type="gramEnd"/>
            <w:r w:rsidRPr="00F56356">
              <w:rPr>
                <w:rFonts w:ascii="Times New Roman" w:eastAsia="Times New Roman" w:hAnsi="Times New Roman" w:cs="Times New Roman"/>
                <w:color w:val="000000"/>
                <w:sz w:val="18"/>
                <w:szCs w:val="18"/>
                <w:lang w:eastAsia="it-IT"/>
              </w:rPr>
              <w:t>valore in)</w:t>
            </w:r>
          </w:p>
        </w:tc>
        <w:tc>
          <w:tcPr>
            <w:tcW w:w="31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6974A16"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w:t>
            </w:r>
          </w:p>
        </w:tc>
        <w:tc>
          <w:tcPr>
            <w:tcW w:w="1180" w:type="dxa"/>
            <w:tcBorders>
              <w:top w:val="nil"/>
              <w:left w:val="nil"/>
              <w:bottom w:val="single" w:sz="4" w:space="0" w:color="auto"/>
              <w:right w:val="single" w:sz="4" w:space="0" w:color="auto"/>
            </w:tcBorders>
            <w:shd w:val="clear" w:color="auto" w:fill="auto"/>
            <w:noWrap/>
            <w:vAlign w:val="center"/>
            <w:hideMark/>
          </w:tcPr>
          <w:p w14:paraId="350200F0"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c>
          <w:tcPr>
            <w:tcW w:w="1340" w:type="dxa"/>
            <w:tcBorders>
              <w:top w:val="nil"/>
              <w:left w:val="nil"/>
              <w:bottom w:val="single" w:sz="4" w:space="0" w:color="auto"/>
              <w:right w:val="nil"/>
            </w:tcBorders>
            <w:shd w:val="clear" w:color="auto" w:fill="auto"/>
            <w:vAlign w:val="center"/>
            <w:hideMark/>
          </w:tcPr>
          <w:p w14:paraId="28EAD3F3"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0</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53D1E62C"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r w:rsidRPr="00F56356">
              <w:rPr>
                <w:rFonts w:ascii="Times New Roman" w:eastAsia="Times New Roman" w:hAnsi="Times New Roman" w:cs="Times New Roman"/>
                <w:color w:val="000000"/>
                <w:sz w:val="20"/>
                <w:szCs w:val="20"/>
                <w:lang w:eastAsia="it-IT"/>
              </w:rPr>
              <w:t>100</w:t>
            </w:r>
          </w:p>
        </w:tc>
      </w:tr>
      <w:tr w:rsidR="00F56356" w:rsidRPr="00F56356" w14:paraId="1196CDD7" w14:textId="77777777" w:rsidTr="00F56356">
        <w:trPr>
          <w:trHeight w:val="705"/>
        </w:trPr>
        <w:tc>
          <w:tcPr>
            <w:tcW w:w="340" w:type="dxa"/>
            <w:tcBorders>
              <w:top w:val="nil"/>
              <w:left w:val="nil"/>
              <w:bottom w:val="nil"/>
              <w:right w:val="nil"/>
            </w:tcBorders>
            <w:shd w:val="clear" w:color="auto" w:fill="auto"/>
            <w:noWrap/>
            <w:vAlign w:val="bottom"/>
            <w:hideMark/>
          </w:tcPr>
          <w:p w14:paraId="337600A5" w14:textId="77777777" w:rsidR="00F56356" w:rsidRPr="00F56356" w:rsidRDefault="00F56356" w:rsidP="00F56356">
            <w:pPr>
              <w:spacing w:after="0" w:line="240" w:lineRule="auto"/>
              <w:jc w:val="center"/>
              <w:rPr>
                <w:rFonts w:ascii="Times New Roman" w:eastAsia="Times New Roman" w:hAnsi="Times New Roman" w:cs="Times New Roman"/>
                <w:color w:val="000000"/>
                <w:sz w:val="20"/>
                <w:szCs w:val="20"/>
                <w:lang w:eastAsia="it-IT"/>
              </w:rPr>
            </w:pPr>
          </w:p>
        </w:tc>
        <w:tc>
          <w:tcPr>
            <w:tcW w:w="938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10395CE" w14:textId="77777777" w:rsidR="00F56356" w:rsidRPr="00F56356" w:rsidRDefault="00F56356" w:rsidP="00F56356">
            <w:pPr>
              <w:spacing w:after="0" w:line="240" w:lineRule="auto"/>
              <w:jc w:val="both"/>
              <w:rPr>
                <w:rFonts w:ascii="Times New Roman" w:eastAsia="Times New Roman" w:hAnsi="Times New Roman" w:cs="Times New Roman"/>
                <w:color w:val="000000"/>
                <w:sz w:val="18"/>
                <w:szCs w:val="18"/>
                <w:lang w:eastAsia="it-IT"/>
              </w:rPr>
            </w:pPr>
            <w:r w:rsidRPr="00F56356">
              <w:rPr>
                <w:rFonts w:ascii="Times New Roman" w:eastAsia="Times New Roman" w:hAnsi="Times New Roman" w:cs="Times New Roman"/>
                <w:color w:val="000000"/>
                <w:sz w:val="18"/>
                <w:szCs w:val="18"/>
                <w:lang w:eastAsia="it-IT"/>
              </w:rPr>
              <w:t>La creazione di riporti di stanziamento per questo capitolo di spesa riveste carattere strutturale, per il ridotto numero di riunioni dell’Osservatorio e per il ricorso generalizzato alla videoconferenza e per non aver deliberato l’Osservatorio stesso attività aggiuntive.</w:t>
            </w:r>
          </w:p>
        </w:tc>
      </w:tr>
    </w:tbl>
    <w:p w14:paraId="616367F4" w14:textId="77777777" w:rsidR="00F56356" w:rsidRPr="00F56356" w:rsidRDefault="00F56356" w:rsidP="00F56356">
      <w:pPr>
        <w:spacing w:after="120" w:line="360" w:lineRule="auto"/>
        <w:jc w:val="both"/>
        <w:rPr>
          <w:rFonts w:ascii="Times New Roman" w:eastAsia="Times New Roman" w:hAnsi="Times New Roman" w:cs="Times New Roman"/>
          <w:color w:val="000000"/>
          <w:sz w:val="24"/>
          <w:szCs w:val="24"/>
          <w:highlight w:val="yellow"/>
          <w:lang w:eastAsia="it-IT"/>
        </w:rPr>
      </w:pPr>
    </w:p>
    <w:p w14:paraId="0FCD5AA6" w14:textId="77777777" w:rsidR="003F497A" w:rsidRDefault="003F497A" w:rsidP="00F56356">
      <w:pPr>
        <w:spacing w:after="0" w:line="360" w:lineRule="auto"/>
        <w:ind w:left="284"/>
        <w:jc w:val="both"/>
        <w:rPr>
          <w:rFonts w:ascii="Times New Roman" w:eastAsiaTheme="minorEastAsia" w:hAnsi="Times New Roman" w:cs="Times New Roman"/>
          <w:b/>
          <w:sz w:val="24"/>
          <w:szCs w:val="24"/>
          <w:lang w:eastAsia="it-IT"/>
        </w:rPr>
      </w:pPr>
    </w:p>
    <w:p w14:paraId="3D97D3FB" w14:textId="255382CB"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r w:rsidRPr="00F56356">
        <w:rPr>
          <w:rFonts w:ascii="Times New Roman" w:eastAsiaTheme="minorEastAsia" w:hAnsi="Times New Roman" w:cs="Times New Roman"/>
          <w:b/>
          <w:sz w:val="24"/>
          <w:szCs w:val="24"/>
          <w:lang w:eastAsia="it-IT"/>
        </w:rPr>
        <w:lastRenderedPageBreak/>
        <w:t>CDR  21 “Politiche spaziali e aerospaziali”</w:t>
      </w:r>
    </w:p>
    <w:p w14:paraId="04AC23F2" w14:textId="77777777" w:rsidR="00F56356" w:rsidRPr="00F56356" w:rsidRDefault="00F56356" w:rsidP="00F56356">
      <w:pPr>
        <w:spacing w:after="0" w:line="360" w:lineRule="auto"/>
        <w:ind w:left="284"/>
        <w:jc w:val="both"/>
        <w:rPr>
          <w:rFonts w:ascii="Times New Roman" w:eastAsiaTheme="minorEastAsia" w:hAnsi="Times New Roman" w:cs="Times New Roman"/>
          <w:b/>
          <w:sz w:val="24"/>
          <w:szCs w:val="24"/>
          <w:lang w:eastAsia="it-IT"/>
        </w:rPr>
      </w:pPr>
    </w:p>
    <w:p w14:paraId="5AEBB3A2"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1 - </w:t>
      </w:r>
      <w:r w:rsidRPr="00F56356">
        <w:rPr>
          <w:rFonts w:ascii="Times New Roman" w:eastAsiaTheme="minorEastAsia" w:hAnsi="Times New Roman" w:cs="Times New Roman"/>
          <w:sz w:val="24"/>
          <w:szCs w:val="24"/>
          <w:lang w:eastAsia="it-IT"/>
        </w:rPr>
        <w:t xml:space="preserve">Organi costituzionali, a rilevanza costituzionale e Presidenza del Consiglio dei ministri </w:t>
      </w:r>
    </w:p>
    <w:p w14:paraId="1F573AF3" w14:textId="77777777" w:rsidR="00F56356" w:rsidRPr="00F56356" w:rsidRDefault="00F56356" w:rsidP="00F56356">
      <w:pPr>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1.3 - </w:t>
      </w:r>
      <w:r w:rsidRPr="00F56356">
        <w:rPr>
          <w:rFonts w:ascii="Times New Roman" w:eastAsiaTheme="minorEastAsia" w:hAnsi="Times New Roman" w:cs="Times New Roman"/>
          <w:sz w:val="24"/>
          <w:szCs w:val="24"/>
          <w:lang w:eastAsia="it-IT"/>
        </w:rPr>
        <w:t xml:space="preserve">Presidenza del Consiglio dei ministri </w:t>
      </w:r>
    </w:p>
    <w:p w14:paraId="707D41BC" w14:textId="77777777" w:rsidR="00F56356" w:rsidRPr="00F56356" w:rsidRDefault="00F56356" w:rsidP="00F56356">
      <w:pPr>
        <w:spacing w:after="0" w:line="360" w:lineRule="auto"/>
        <w:ind w:left="284"/>
        <w:jc w:val="both"/>
        <w:rPr>
          <w:rFonts w:ascii="Times New Roman" w:eastAsiaTheme="minorEastAsia" w:hAnsi="Times New Roman" w:cs="Times New Roman"/>
          <w:sz w:val="18"/>
          <w:szCs w:val="24"/>
          <w:lang w:eastAsia="it-IT"/>
        </w:rPr>
      </w:pPr>
    </w:p>
    <w:p w14:paraId="104FB1C0"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MISSIONE 17 - </w:t>
      </w:r>
      <w:r w:rsidRPr="00F56356">
        <w:rPr>
          <w:rFonts w:ascii="Times New Roman" w:eastAsiaTheme="minorEastAsia" w:hAnsi="Times New Roman" w:cs="Times New Roman"/>
          <w:sz w:val="24"/>
          <w:szCs w:val="24"/>
          <w:lang w:eastAsia="it-IT"/>
        </w:rPr>
        <w:t>Ricerca e innovazione</w:t>
      </w:r>
    </w:p>
    <w:p w14:paraId="5C62CE51"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r w:rsidRPr="00F56356">
        <w:rPr>
          <w:rFonts w:ascii="Times New Roman" w:eastAsiaTheme="minorEastAsia" w:hAnsi="Times New Roman" w:cs="Times New Roman"/>
          <w:b/>
          <w:sz w:val="24"/>
          <w:szCs w:val="24"/>
          <w:lang w:eastAsia="it-IT"/>
        </w:rPr>
        <w:t xml:space="preserve">Programma 17.15 - </w:t>
      </w:r>
      <w:r w:rsidRPr="00F56356">
        <w:rPr>
          <w:rFonts w:ascii="Times New Roman" w:eastAsiaTheme="minorEastAsia" w:hAnsi="Times New Roman" w:cs="Times New Roman"/>
          <w:sz w:val="24"/>
          <w:szCs w:val="24"/>
          <w:lang w:eastAsia="it-IT"/>
        </w:rPr>
        <w:t>Ricerca di base e applicata</w:t>
      </w:r>
    </w:p>
    <w:p w14:paraId="5591E2C6"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sz w:val="24"/>
          <w:szCs w:val="24"/>
          <w:lang w:eastAsia="it-IT"/>
        </w:rPr>
      </w:pPr>
    </w:p>
    <w:p w14:paraId="58B5AE9A" w14:textId="77777777" w:rsidR="00F56356" w:rsidRPr="00F56356" w:rsidRDefault="00F56356" w:rsidP="00F56356">
      <w:pPr>
        <w:autoSpaceDE w:val="0"/>
        <w:autoSpaceDN w:val="0"/>
        <w:adjustRightInd w:val="0"/>
        <w:spacing w:after="0" w:line="360" w:lineRule="auto"/>
        <w:ind w:left="284"/>
        <w:jc w:val="both"/>
        <w:rPr>
          <w:rFonts w:ascii="Times New Roman" w:eastAsiaTheme="minorEastAsia" w:hAnsi="Times New Roman" w:cs="Times New Roman"/>
          <w:b/>
          <w:bCs/>
          <w:i/>
          <w:sz w:val="24"/>
          <w:szCs w:val="24"/>
          <w:lang w:eastAsia="it-IT"/>
        </w:rPr>
      </w:pPr>
      <w:r w:rsidRPr="00F56356">
        <w:rPr>
          <w:rFonts w:ascii="Times New Roman" w:eastAsiaTheme="minorEastAsia" w:hAnsi="Times New Roman" w:cs="Times New Roman"/>
          <w:b/>
          <w:bCs/>
          <w:sz w:val="24"/>
          <w:szCs w:val="24"/>
          <w:lang w:eastAsia="it-IT"/>
        </w:rPr>
        <w:t>1.</w:t>
      </w:r>
      <w:r w:rsidRPr="00F56356">
        <w:rPr>
          <w:rFonts w:ascii="Times New Roman" w:eastAsiaTheme="minorEastAsia" w:hAnsi="Times New Roman" w:cs="Times New Roman"/>
          <w:b/>
          <w:bCs/>
          <w:i/>
          <w:sz w:val="24"/>
          <w:szCs w:val="24"/>
          <w:lang w:eastAsia="it-IT"/>
        </w:rPr>
        <w:t xml:space="preserve">  Mission</w:t>
      </w:r>
    </w:p>
    <w:p w14:paraId="4CF840A2" w14:textId="77777777" w:rsidR="00F56356" w:rsidRPr="00F56356" w:rsidRDefault="00F56356" w:rsidP="00F56356">
      <w:pPr>
        <w:shd w:val="clear" w:color="auto" w:fill="FFFFFF"/>
        <w:spacing w:before="100" w:beforeAutospacing="1" w:after="0" w:line="360" w:lineRule="auto"/>
        <w:ind w:left="284"/>
        <w:jc w:val="both"/>
        <w:rPr>
          <w:rFonts w:ascii="Times New Roman" w:eastAsia="Times New Roman" w:hAnsi="Times New Roman" w:cs="Times New Roman"/>
          <w:sz w:val="24"/>
          <w:szCs w:val="24"/>
          <w:lang w:eastAsia="it-IT"/>
        </w:rPr>
      </w:pPr>
      <w:r w:rsidRPr="00F56356">
        <w:rPr>
          <w:rFonts w:ascii="Times New Roman" w:eastAsia="Times New Roman" w:hAnsi="Times New Roman" w:cs="Times New Roman"/>
          <w:sz w:val="24"/>
          <w:szCs w:val="24"/>
          <w:lang w:eastAsia="it-IT"/>
        </w:rPr>
        <w:t>Il Centro di responsabilità 21 “Politiche spaziali e aerospaziali”, istituito con decreto del Presidente del Consiglio dei ministri del 14 ottobre 2022, garantisce l’operatività dell’Ufficio per le politiche spaziali e aerospaziali, istituito dall’articolo 24-quinquies del decreto del Presidente del Consiglio dei ministri 12 luglio 2022, in attuazione dell’articolo 31 del decreto-legge 30 aprile 2022, n. 36, convertito, con modificazioni, dalla legge 29 giugno 2022, n. 79, quale struttura di supporto al Presidente per l’esercizio delle funzioni di alta direzione, responsabilità politica generale e coordinamento delle politiche dei Ministeri relative ai programmi spaziali e aerospaziali e per ogni altra ulteriore funzione attribuita dalle vigenti disposizioni al Presidente nell’area funzionale delle politiche spaziali e aerospaziali, ivi comprese quelle previste dal decreto legislativo 4 giugno 2003, n. 128, fermo restando quanto previsto dall’articolo 21, comma 2, del decreto legislativo n. 128 del 2003, e fatte salve le competenze del Ministero della difesa in materia di difesa nazionale nonché di realizzazione, mantenimento e ristabilimento della pace e della sicurezza internazionali, di cui agli articoli 88 e 89 del decreto legislativo 15 marzo 2010, n. 66. Cura, altresì, le attività istruttorie connesse all’adozione degli atti in materia di politiche spaziali e aerospaziali; assicura la rappresentanza di Governo negli organismi nazionali, europei e internazionali competenti in materia delle politiche spaziali e aerospaziali, assicurando il supporto all’Autorità politica nell’esercizio delle medesime funzioni e in quelle di indirizzo, coordinamento, programmazione e vigilanza dell’Agenzia Spaziale Italiana, fatte salve le competenze attribuite espressamente al Comitato interministeriale per le politiche relative allo spazio e alla ricerca aerospaziale, dal decreto legislativo 4 giugno 2003, n. 128 e al Ministero dell’università e della ricerca limitatamente all’attività di ricerca scientifica.</w:t>
      </w:r>
    </w:p>
    <w:p w14:paraId="6AD455E6" w14:textId="77777777" w:rsidR="00F56356" w:rsidRPr="00F56356" w:rsidRDefault="00F56356" w:rsidP="00F56356">
      <w:pPr>
        <w:shd w:val="clear" w:color="auto" w:fill="FFFFFF"/>
        <w:spacing w:before="100" w:beforeAutospacing="1" w:after="45" w:line="240" w:lineRule="auto"/>
        <w:jc w:val="both"/>
        <w:rPr>
          <w:rFonts w:ascii="Times New Roman" w:eastAsia="Times New Roman" w:hAnsi="Times New Roman" w:cs="Times New Roman"/>
          <w:color w:val="686868"/>
          <w:sz w:val="18"/>
          <w:szCs w:val="18"/>
          <w:lang w:eastAsia="it-IT"/>
        </w:rPr>
      </w:pPr>
    </w:p>
    <w:p w14:paraId="6EF04A98" w14:textId="77777777" w:rsidR="00F56356" w:rsidRPr="00F56356" w:rsidRDefault="00F56356" w:rsidP="00F56356">
      <w:pPr>
        <w:shd w:val="clear" w:color="auto" w:fill="FFFFFF"/>
        <w:spacing w:before="100" w:beforeAutospacing="1" w:after="45" w:line="240" w:lineRule="auto"/>
        <w:ind w:left="284"/>
        <w:jc w:val="both"/>
        <w:rPr>
          <w:rFonts w:ascii="Times New Roman" w:eastAsia="Times New Roman" w:hAnsi="Times New Roman" w:cs="Times New Roman"/>
          <w:b/>
          <w:color w:val="000000" w:themeColor="text1"/>
          <w:sz w:val="24"/>
          <w:szCs w:val="24"/>
          <w:lang w:eastAsia="it-IT"/>
        </w:rPr>
      </w:pPr>
    </w:p>
    <w:p w14:paraId="136A94BE" w14:textId="77777777" w:rsidR="00F56356" w:rsidRPr="00F56356" w:rsidRDefault="00F56356" w:rsidP="00F56356">
      <w:pPr>
        <w:shd w:val="clear" w:color="auto" w:fill="FFFFFF"/>
        <w:spacing w:before="100" w:beforeAutospacing="1" w:after="45" w:line="240" w:lineRule="auto"/>
        <w:ind w:left="284"/>
        <w:jc w:val="both"/>
        <w:rPr>
          <w:rFonts w:ascii="Times New Roman" w:eastAsia="Times New Roman" w:hAnsi="Times New Roman" w:cs="Times New Roman"/>
          <w:b/>
          <w:color w:val="000000" w:themeColor="text1"/>
          <w:sz w:val="24"/>
          <w:szCs w:val="24"/>
          <w:lang w:eastAsia="it-IT"/>
        </w:rPr>
      </w:pPr>
    </w:p>
    <w:p w14:paraId="7AD909AC"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b/>
          <w:color w:val="000000" w:themeColor="text1"/>
          <w:sz w:val="24"/>
          <w:szCs w:val="24"/>
          <w:lang w:eastAsia="it-IT"/>
        </w:rPr>
      </w:pPr>
      <w:r w:rsidRPr="00F56356">
        <w:rPr>
          <w:rFonts w:ascii="Times New Roman" w:eastAsia="Times New Roman" w:hAnsi="Times New Roman" w:cs="Times New Roman"/>
          <w:b/>
          <w:color w:val="000000" w:themeColor="text1"/>
          <w:sz w:val="24"/>
          <w:szCs w:val="24"/>
          <w:lang w:eastAsia="it-IT"/>
        </w:rPr>
        <w:t xml:space="preserve">2. Ricostruzione flussi finanziari e aspetti rilevanti della gestione </w:t>
      </w:r>
    </w:p>
    <w:p w14:paraId="735504B7" w14:textId="77777777" w:rsidR="00F56356" w:rsidRPr="00F56356" w:rsidRDefault="00F56356" w:rsidP="00F56356">
      <w:pPr>
        <w:shd w:val="clear" w:color="auto" w:fill="FFFFFF"/>
        <w:spacing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2.1</w:t>
      </w:r>
      <w:r w:rsidRPr="00F56356">
        <w:rPr>
          <w:rFonts w:ascii="Times New Roman" w:eastAsia="Times New Roman" w:hAnsi="Times New Roman" w:cs="Times New Roman"/>
          <w:color w:val="000000" w:themeColor="text1"/>
          <w:sz w:val="24"/>
          <w:szCs w:val="24"/>
          <w:lang w:eastAsia="it-IT"/>
        </w:rPr>
        <w:t xml:space="preserve"> Le risorse complessivamente assegnate sono state pari a euro 499.005.000,00. </w:t>
      </w:r>
    </w:p>
    <w:p w14:paraId="1FA2DCCA" w14:textId="77777777" w:rsidR="00F56356" w:rsidRPr="00F56356" w:rsidRDefault="00F56356" w:rsidP="00F56356">
      <w:pPr>
        <w:shd w:val="clear" w:color="auto" w:fill="FFFFFF"/>
        <w:spacing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Gli impegni assunti ammontano a euro 499.004.600,00, con un’economia di bilancio di euro 400,00. Non sono stati effettuati pagamenti.</w:t>
      </w:r>
    </w:p>
    <w:p w14:paraId="45FCF20C" w14:textId="77777777" w:rsidR="00F56356" w:rsidRPr="00F56356" w:rsidRDefault="00F56356" w:rsidP="00F56356">
      <w:pPr>
        <w:shd w:val="clear" w:color="auto" w:fill="FFFFFF"/>
        <w:spacing w:before="100" w:beforeAutospacing="1"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Al 1° gennaio 2022 non risultano residui passivi.</w:t>
      </w:r>
    </w:p>
    <w:p w14:paraId="13DE86D6" w14:textId="77777777" w:rsidR="00F56356" w:rsidRPr="00F56356" w:rsidRDefault="00F56356" w:rsidP="00F56356">
      <w:pPr>
        <w:shd w:val="clear" w:color="auto" w:fill="FFFFFF"/>
        <w:spacing w:before="100" w:beforeAutospacing="1"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t xml:space="preserve"> </w:t>
      </w:r>
      <w:r w:rsidRPr="00F56356">
        <w:rPr>
          <w:rFonts w:ascii="Times New Roman" w:eastAsia="Times New Roman" w:hAnsi="Times New Roman" w:cs="Times New Roman"/>
          <w:b/>
          <w:bCs/>
          <w:color w:val="000000" w:themeColor="text1"/>
          <w:sz w:val="24"/>
          <w:szCs w:val="24"/>
          <w:lang w:eastAsia="it-IT"/>
        </w:rPr>
        <w:t>2.2</w:t>
      </w:r>
      <w:r w:rsidRPr="00F56356">
        <w:rPr>
          <w:rFonts w:ascii="Times New Roman" w:eastAsia="Times New Roman" w:hAnsi="Times New Roman" w:cs="Times New Roman"/>
          <w:color w:val="000000" w:themeColor="text1"/>
          <w:sz w:val="24"/>
          <w:szCs w:val="24"/>
          <w:lang w:eastAsia="it-IT"/>
        </w:rPr>
        <w:t xml:space="preserve"> Le risorse impegnate di euro 499.004.600,00 sono state destinate per euro 4.600,00 al funzionamento e per euro 499.000.000,00 agli interventi.</w:t>
      </w:r>
    </w:p>
    <w:p w14:paraId="5AE7765D" w14:textId="77777777" w:rsidR="00F56356" w:rsidRPr="00F56356" w:rsidRDefault="00F56356" w:rsidP="00F56356">
      <w:pPr>
        <w:shd w:val="clear" w:color="auto" w:fill="FFFFFF"/>
        <w:spacing w:before="100" w:beforeAutospacing="1" w:after="45"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2.2.1</w:t>
      </w:r>
      <w:r w:rsidRPr="00F56356">
        <w:rPr>
          <w:rFonts w:ascii="Times New Roman" w:eastAsia="Times New Roman" w:hAnsi="Times New Roman" w:cs="Times New Roman"/>
          <w:color w:val="000000" w:themeColor="text1"/>
          <w:sz w:val="24"/>
          <w:szCs w:val="24"/>
          <w:lang w:eastAsia="it-IT"/>
        </w:rPr>
        <w:t xml:space="preserve"> Le risorse impegnate per il funzionamento, pari a euro 4.600,00, si riferiscono alle spese per missioni sul territorio nazionale e all’estero, ivi comprese quelle del Ministro, in particolare per la Ministeriale ESA che si è tenuta a Parigi il 22 e il 23 novembre 2022 (cap. 384).</w:t>
      </w:r>
    </w:p>
    <w:p w14:paraId="7CB4B795" w14:textId="77777777" w:rsidR="00F56356" w:rsidRPr="00F56356" w:rsidRDefault="00F56356" w:rsidP="00F56356">
      <w:pPr>
        <w:shd w:val="clear" w:color="auto" w:fill="FFFFFF"/>
        <w:spacing w:before="100" w:beforeAutospacing="1" w:after="45" w:line="24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34016" behindDoc="1" locked="0" layoutInCell="1" allowOverlap="1" wp14:anchorId="44324C6A" wp14:editId="58AA5A5E">
            <wp:simplePos x="0" y="0"/>
            <wp:positionH relativeFrom="margin">
              <wp:align>right</wp:align>
            </wp:positionH>
            <wp:positionV relativeFrom="paragraph">
              <wp:posOffset>500380</wp:posOffset>
            </wp:positionV>
            <wp:extent cx="5934075" cy="1113790"/>
            <wp:effectExtent l="0" t="0" r="9525" b="0"/>
            <wp:wrapTight wrapText="bothSides">
              <wp:wrapPolygon edited="0">
                <wp:start x="0" y="0"/>
                <wp:lineTo x="0" y="21058"/>
                <wp:lineTo x="11996" y="21058"/>
                <wp:lineTo x="11996" y="17733"/>
                <wp:lineTo x="21565" y="17733"/>
                <wp:lineTo x="21565" y="13300"/>
                <wp:lineTo x="20178" y="11822"/>
                <wp:lineTo x="21496" y="11822"/>
                <wp:lineTo x="21565" y="9975"/>
                <wp:lineTo x="21219" y="5911"/>
                <wp:lineTo x="21496" y="5911"/>
                <wp:lineTo x="21565" y="4433"/>
                <wp:lineTo x="21565" y="0"/>
                <wp:lineTo x="0" y="0"/>
              </wp:wrapPolygon>
            </wp:wrapTight>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34075" cy="111379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                                                                Indicatori di bilancio</w:t>
      </w:r>
    </w:p>
    <w:p w14:paraId="3BF3BB40" w14:textId="77777777" w:rsidR="00F56356" w:rsidRPr="00F56356" w:rsidRDefault="00F56356" w:rsidP="00F56356">
      <w:pPr>
        <w:shd w:val="clear" w:color="auto" w:fill="FFFFFF"/>
        <w:spacing w:before="100" w:beforeAutospacing="1" w:after="45" w:line="240" w:lineRule="auto"/>
        <w:ind w:left="284"/>
        <w:jc w:val="both"/>
        <w:rPr>
          <w:rFonts w:ascii="Times New Roman" w:eastAsia="Times New Roman" w:hAnsi="Times New Roman" w:cs="Times New Roman"/>
          <w:color w:val="000000" w:themeColor="text1"/>
          <w:sz w:val="24"/>
          <w:szCs w:val="24"/>
          <w:lang w:eastAsia="it-IT"/>
        </w:rPr>
      </w:pPr>
    </w:p>
    <w:p w14:paraId="1063644A"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b/>
          <w:bCs/>
          <w:color w:val="000000" w:themeColor="text1"/>
          <w:sz w:val="24"/>
          <w:szCs w:val="24"/>
          <w:lang w:eastAsia="it-IT"/>
        </w:rPr>
        <w:t>2.2.2</w:t>
      </w:r>
      <w:r w:rsidRPr="00F56356">
        <w:rPr>
          <w:rFonts w:ascii="Times New Roman" w:eastAsia="Times New Roman" w:hAnsi="Times New Roman" w:cs="Times New Roman"/>
          <w:color w:val="000000" w:themeColor="text1"/>
          <w:sz w:val="24"/>
          <w:szCs w:val="24"/>
          <w:lang w:eastAsia="it-IT"/>
        </w:rPr>
        <w:t xml:space="preserve"> Le risorse impegnate per gli interventi, pari a euro 499.000.000,00, sono state destinate al </w:t>
      </w:r>
      <w:r w:rsidRPr="00F56356">
        <w:rPr>
          <w:rFonts w:ascii="Times New Roman" w:eastAsia="Times New Roman" w:hAnsi="Times New Roman" w:cs="Times New Roman"/>
          <w:iCs/>
          <w:color w:val="000000" w:themeColor="text1"/>
          <w:sz w:val="24"/>
          <w:szCs w:val="24"/>
          <w:lang w:eastAsia="it-IT"/>
        </w:rPr>
        <w:t>Fondo per il finanziamento dell’Agenzia Spaziale Italiana</w:t>
      </w:r>
      <w:r w:rsidRPr="00F56356">
        <w:rPr>
          <w:rFonts w:ascii="Times New Roman" w:eastAsia="Times New Roman" w:hAnsi="Times New Roman" w:cs="Times New Roman"/>
          <w:color w:val="000000" w:themeColor="text1"/>
          <w:sz w:val="24"/>
          <w:szCs w:val="24"/>
          <w:lang w:eastAsia="it-IT"/>
        </w:rPr>
        <w:t xml:space="preserve"> (cap. 389), istituito in corso dell’esercizio finanziario 2022, in particolare alle spese di funzionamento, gestione e attività dell’ASI, ivi comprese quelle di svolgimento dei programmi in collaborazione con l’ESA. Non sono stati effettuati pagamenti in quanto le risorse sono state allocate sul capitolo a fine esercizio finanziario.  </w:t>
      </w:r>
    </w:p>
    <w:p w14:paraId="500B1CC9" w14:textId="77777777" w:rsidR="00F56356" w:rsidRPr="00F56356" w:rsidRDefault="00F56356" w:rsidP="00F56356">
      <w:pPr>
        <w:shd w:val="clear" w:color="auto" w:fill="FFFFFF"/>
        <w:spacing w:before="100" w:beforeAutospacing="1" w:after="45" w:line="240" w:lineRule="auto"/>
        <w:ind w:left="284"/>
        <w:jc w:val="center"/>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35040" behindDoc="1" locked="0" layoutInCell="1" allowOverlap="1" wp14:anchorId="1A59BC84" wp14:editId="7FA1CACC">
            <wp:simplePos x="0" y="0"/>
            <wp:positionH relativeFrom="column">
              <wp:posOffset>184785</wp:posOffset>
            </wp:positionH>
            <wp:positionV relativeFrom="paragraph">
              <wp:posOffset>530860</wp:posOffset>
            </wp:positionV>
            <wp:extent cx="5953125" cy="1113790"/>
            <wp:effectExtent l="0" t="0" r="9525" b="0"/>
            <wp:wrapTight wrapText="bothSides">
              <wp:wrapPolygon edited="0">
                <wp:start x="0" y="0"/>
                <wp:lineTo x="0" y="21058"/>
                <wp:lineTo x="11958" y="21058"/>
                <wp:lineTo x="11958" y="17733"/>
                <wp:lineTo x="21565" y="17733"/>
                <wp:lineTo x="21565" y="13300"/>
                <wp:lineTo x="20183" y="11822"/>
                <wp:lineTo x="21496" y="11822"/>
                <wp:lineTo x="21565" y="9975"/>
                <wp:lineTo x="21220" y="5911"/>
                <wp:lineTo x="21496" y="5911"/>
                <wp:lineTo x="21565" y="4433"/>
                <wp:lineTo x="21565" y="0"/>
                <wp:lineTo x="0" y="0"/>
              </wp:wrapPolygon>
            </wp:wrapTight>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53125" cy="1113790"/>
                    </a:xfrm>
                    <a:prstGeom prst="rect">
                      <a:avLst/>
                    </a:prstGeom>
                    <a:noFill/>
                    <a:ln>
                      <a:noFill/>
                    </a:ln>
                  </pic:spPr>
                </pic:pic>
              </a:graphicData>
            </a:graphic>
            <wp14:sizeRelH relativeFrom="margin">
              <wp14:pctWidth>0</wp14:pctWidth>
            </wp14:sizeRelH>
          </wp:anchor>
        </w:drawing>
      </w:r>
      <w:r w:rsidRPr="00F56356">
        <w:rPr>
          <w:rFonts w:ascii="Times New Roman" w:eastAsia="Times New Roman" w:hAnsi="Times New Roman" w:cs="Times New Roman"/>
          <w:color w:val="000000" w:themeColor="text1"/>
          <w:sz w:val="24"/>
          <w:szCs w:val="24"/>
          <w:lang w:eastAsia="it-IT"/>
        </w:rPr>
        <w:t xml:space="preserve">Indicatori di bilancio </w:t>
      </w:r>
    </w:p>
    <w:p w14:paraId="555C23CF" w14:textId="78CCD7FC" w:rsidR="00F56356" w:rsidRDefault="00F56356" w:rsidP="00F56356">
      <w:pPr>
        <w:shd w:val="clear" w:color="auto" w:fill="FFFFFF"/>
        <w:spacing w:before="100" w:beforeAutospacing="1" w:after="45" w:line="240" w:lineRule="auto"/>
        <w:ind w:left="284"/>
        <w:rPr>
          <w:rFonts w:ascii="Times New Roman" w:eastAsia="Times New Roman" w:hAnsi="Times New Roman" w:cs="Times New Roman"/>
          <w:color w:val="000000" w:themeColor="text1"/>
          <w:sz w:val="24"/>
          <w:szCs w:val="24"/>
          <w:lang w:eastAsia="it-IT"/>
        </w:rPr>
      </w:pPr>
    </w:p>
    <w:p w14:paraId="6586DE4C" w14:textId="77777777" w:rsidR="007377A5" w:rsidRPr="00F56356" w:rsidRDefault="007377A5" w:rsidP="00F56356">
      <w:pPr>
        <w:shd w:val="clear" w:color="auto" w:fill="FFFFFF"/>
        <w:spacing w:before="100" w:beforeAutospacing="1" w:after="45" w:line="240" w:lineRule="auto"/>
        <w:ind w:left="284"/>
        <w:rPr>
          <w:rFonts w:ascii="Times New Roman" w:eastAsia="Times New Roman" w:hAnsi="Times New Roman" w:cs="Times New Roman"/>
          <w:color w:val="000000" w:themeColor="text1"/>
          <w:sz w:val="24"/>
          <w:szCs w:val="24"/>
          <w:lang w:eastAsia="it-IT"/>
        </w:rPr>
      </w:pPr>
    </w:p>
    <w:p w14:paraId="4AD69F67"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color w:val="000000" w:themeColor="text1"/>
          <w:sz w:val="24"/>
          <w:szCs w:val="24"/>
          <w:lang w:eastAsia="it-IT"/>
        </w:rPr>
        <w:lastRenderedPageBreak/>
        <w:t xml:space="preserve">Nelle tabelle seguenti è indicata la ripartizione delle risorse relative a interventi per destinatari finali, comprensive delle risorse relative ai residui passivi perenti </w:t>
      </w:r>
      <w:proofErr w:type="spellStart"/>
      <w:r w:rsidRPr="00F56356">
        <w:rPr>
          <w:rFonts w:ascii="Times New Roman" w:eastAsia="Times New Roman" w:hAnsi="Times New Roman" w:cs="Times New Roman"/>
          <w:color w:val="000000" w:themeColor="text1"/>
          <w:sz w:val="24"/>
          <w:szCs w:val="24"/>
          <w:lang w:eastAsia="it-IT"/>
        </w:rPr>
        <w:t>reiscritti</w:t>
      </w:r>
      <w:proofErr w:type="spellEnd"/>
      <w:r w:rsidRPr="00F56356">
        <w:rPr>
          <w:rFonts w:ascii="Times New Roman" w:eastAsia="Times New Roman" w:hAnsi="Times New Roman" w:cs="Times New Roman"/>
          <w:color w:val="000000" w:themeColor="text1"/>
          <w:sz w:val="24"/>
          <w:szCs w:val="24"/>
          <w:lang w:eastAsia="it-IT"/>
        </w:rPr>
        <w:t>:</w:t>
      </w:r>
    </w:p>
    <w:p w14:paraId="26AE1F24"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000000" w:themeColor="text1"/>
          <w:sz w:val="24"/>
          <w:szCs w:val="24"/>
          <w:lang w:eastAsia="it-IT"/>
        </w:rPr>
      </w:pPr>
      <w:r w:rsidRPr="00F56356">
        <w:rPr>
          <w:rFonts w:ascii="Times New Roman" w:eastAsia="Times New Roman" w:hAnsi="Times New Roman" w:cs="Times New Roman"/>
          <w:noProof/>
          <w:sz w:val="24"/>
          <w:szCs w:val="24"/>
          <w:lang w:eastAsia="it-IT"/>
        </w:rPr>
        <w:drawing>
          <wp:anchor distT="0" distB="0" distL="114300" distR="114300" simplePos="0" relativeHeight="251736064" behindDoc="1" locked="0" layoutInCell="1" allowOverlap="1" wp14:anchorId="7CEDF2CF" wp14:editId="4F88F565">
            <wp:simplePos x="0" y="0"/>
            <wp:positionH relativeFrom="column">
              <wp:posOffset>184785</wp:posOffset>
            </wp:positionH>
            <wp:positionV relativeFrom="paragraph">
              <wp:posOffset>264160</wp:posOffset>
            </wp:positionV>
            <wp:extent cx="5934075" cy="1510030"/>
            <wp:effectExtent l="0" t="0" r="9525" b="0"/>
            <wp:wrapTight wrapText="bothSides">
              <wp:wrapPolygon edited="0">
                <wp:start x="0" y="0"/>
                <wp:lineTo x="0" y="19075"/>
                <wp:lineTo x="624" y="21255"/>
                <wp:lineTo x="19762" y="21255"/>
                <wp:lineTo x="20525" y="20982"/>
                <wp:lineTo x="21565" y="18802"/>
                <wp:lineTo x="21565" y="0"/>
                <wp:lineTo x="0" y="0"/>
              </wp:wrapPolygon>
            </wp:wrapTight>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34075" cy="1510030"/>
                    </a:xfrm>
                    <a:prstGeom prst="rect">
                      <a:avLst/>
                    </a:prstGeom>
                    <a:noFill/>
                    <a:ln>
                      <a:noFill/>
                    </a:ln>
                  </pic:spPr>
                </pic:pic>
              </a:graphicData>
            </a:graphic>
            <wp14:sizeRelH relativeFrom="margin">
              <wp14:pctWidth>0</wp14:pctWidth>
            </wp14:sizeRelH>
          </wp:anchor>
        </w:drawing>
      </w:r>
    </w:p>
    <w:p w14:paraId="00ED7110" w14:textId="77777777" w:rsidR="00F56356" w:rsidRPr="00F56356" w:rsidRDefault="00F56356" w:rsidP="00F56356">
      <w:pPr>
        <w:shd w:val="clear" w:color="auto" w:fill="FFFFFF"/>
        <w:spacing w:after="0" w:line="360" w:lineRule="auto"/>
        <w:ind w:left="284"/>
        <w:jc w:val="both"/>
        <w:rPr>
          <w:rFonts w:ascii="Times New Roman" w:eastAsia="Times New Roman" w:hAnsi="Times New Roman" w:cs="Times New Roman"/>
          <w:color w:val="686868"/>
          <w:sz w:val="24"/>
          <w:szCs w:val="24"/>
          <w:lang w:eastAsia="it-IT"/>
        </w:rPr>
      </w:pPr>
    </w:p>
    <w:p w14:paraId="30172324" w14:textId="77777777" w:rsidR="00F56356" w:rsidRPr="00F56356" w:rsidRDefault="00F56356" w:rsidP="00F56356">
      <w:pPr>
        <w:spacing w:after="0" w:line="360" w:lineRule="auto"/>
        <w:ind w:left="284"/>
        <w:jc w:val="both"/>
        <w:rPr>
          <w:rFonts w:ascii="Times New Roman" w:eastAsiaTheme="minorEastAsia" w:hAnsi="Times New Roman" w:cs="Times New Roman"/>
          <w:i/>
          <w:sz w:val="24"/>
          <w:szCs w:val="24"/>
          <w:lang w:eastAsia="it-IT"/>
        </w:rPr>
      </w:pPr>
    </w:p>
    <w:p w14:paraId="02ABFBFE"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1AEEEB12" w14:textId="77777777" w:rsidR="00F56356" w:rsidRPr="00F56356" w:rsidRDefault="00F56356" w:rsidP="00F56356">
      <w:pPr>
        <w:spacing w:after="0" w:line="360" w:lineRule="auto"/>
        <w:rPr>
          <w:rFonts w:ascii="Times New Roman" w:eastAsia="Times New Roman" w:hAnsi="Times New Roman" w:cs="Times New Roman"/>
          <w:sz w:val="24"/>
          <w:szCs w:val="24"/>
          <w:lang w:eastAsia="it-IT"/>
        </w:rPr>
      </w:pPr>
    </w:p>
    <w:p w14:paraId="5ABCDEAE"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AB796D6"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02254D4"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01D0EA1"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45C6E026"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991EB57"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DFE6B21"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460BB03"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DF33CD5"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17716995"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4EC476D"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277D19AF"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054F166F"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461C5B38" w14:textId="77777777" w:rsidR="00F56356" w:rsidRP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48E44457" w14:textId="50342A5F" w:rsidR="00F56356" w:rsidRDefault="00F56356"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7C4A6C21" w14:textId="4E232439" w:rsidR="00386AC8" w:rsidRDefault="00386AC8"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353190D3" w14:textId="498DBAA1" w:rsidR="00386AC8" w:rsidRDefault="00386AC8"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D3D935E" w14:textId="1E4B7809" w:rsidR="00386AC8" w:rsidRDefault="00386AC8"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5048A08C" w14:textId="0D440C4E" w:rsidR="00386AC8" w:rsidRDefault="00386AC8" w:rsidP="00F56356">
      <w:pPr>
        <w:spacing w:after="120" w:line="360" w:lineRule="auto"/>
        <w:ind w:left="284"/>
        <w:jc w:val="both"/>
        <w:rPr>
          <w:rFonts w:ascii="Times New Roman" w:eastAsia="Times New Roman" w:hAnsi="Times New Roman" w:cs="Times New Roman"/>
          <w:color w:val="000000" w:themeColor="text1"/>
          <w:sz w:val="24"/>
          <w:szCs w:val="24"/>
          <w:lang w:eastAsia="it-IT"/>
        </w:rPr>
      </w:pPr>
    </w:p>
    <w:p w14:paraId="6777463F" w14:textId="77777777" w:rsidR="00386AC8" w:rsidRDefault="00386AC8" w:rsidP="00386AC8">
      <w:pPr>
        <w:spacing w:after="120" w:line="360" w:lineRule="auto"/>
        <w:ind w:left="284"/>
        <w:jc w:val="center"/>
        <w:rPr>
          <w:rFonts w:ascii="TimesNewRomanPSMT" w:hAnsi="TimesNewRomanPSMT" w:cs="TimesNewRomanPSMT"/>
          <w:sz w:val="24"/>
          <w:szCs w:val="24"/>
        </w:rPr>
      </w:pPr>
    </w:p>
    <w:p w14:paraId="49D043DE" w14:textId="77777777" w:rsidR="00386AC8" w:rsidRDefault="00386AC8" w:rsidP="00386AC8">
      <w:pPr>
        <w:spacing w:after="120" w:line="360" w:lineRule="auto"/>
        <w:ind w:left="284"/>
        <w:jc w:val="center"/>
        <w:rPr>
          <w:rFonts w:ascii="TimesNewRomanPSMT" w:hAnsi="TimesNewRomanPSMT" w:cs="TimesNewRomanPSMT"/>
          <w:sz w:val="24"/>
          <w:szCs w:val="24"/>
        </w:rPr>
      </w:pPr>
    </w:p>
    <w:p w14:paraId="05FCB1D6" w14:textId="77777777" w:rsidR="00386AC8" w:rsidRDefault="00386AC8" w:rsidP="00386AC8">
      <w:pPr>
        <w:spacing w:after="120" w:line="360" w:lineRule="auto"/>
        <w:ind w:left="284"/>
        <w:jc w:val="center"/>
        <w:rPr>
          <w:rFonts w:ascii="TimesNewRomanPSMT" w:hAnsi="TimesNewRomanPSMT" w:cs="TimesNewRomanPSMT"/>
          <w:sz w:val="24"/>
          <w:szCs w:val="24"/>
        </w:rPr>
      </w:pPr>
    </w:p>
    <w:p w14:paraId="71431929" w14:textId="77777777" w:rsidR="00386AC8" w:rsidRDefault="00386AC8" w:rsidP="00386AC8">
      <w:pPr>
        <w:spacing w:after="120" w:line="360" w:lineRule="auto"/>
        <w:ind w:left="284"/>
        <w:jc w:val="center"/>
        <w:rPr>
          <w:rFonts w:ascii="TimesNewRomanPSMT" w:hAnsi="TimesNewRomanPSMT" w:cs="TimesNewRomanPSMT"/>
          <w:sz w:val="24"/>
          <w:szCs w:val="24"/>
        </w:rPr>
      </w:pPr>
    </w:p>
    <w:p w14:paraId="6298F197" w14:textId="021FC23A" w:rsidR="00386AC8" w:rsidRDefault="00386AC8" w:rsidP="00386AC8">
      <w:pPr>
        <w:spacing w:after="120" w:line="360" w:lineRule="auto"/>
        <w:ind w:left="284"/>
        <w:jc w:val="center"/>
        <w:rPr>
          <w:rFonts w:ascii="TimesNewRomanPSMT" w:hAnsi="TimesNewRomanPSMT" w:cs="TimesNewRomanPSMT"/>
          <w:sz w:val="24"/>
          <w:szCs w:val="24"/>
        </w:rPr>
      </w:pPr>
    </w:p>
    <w:p w14:paraId="176ADB67" w14:textId="796FB7F6" w:rsidR="00386AC8" w:rsidRDefault="00386AC8" w:rsidP="00386AC8">
      <w:pPr>
        <w:spacing w:after="120" w:line="360" w:lineRule="auto"/>
        <w:ind w:left="284"/>
        <w:jc w:val="center"/>
        <w:rPr>
          <w:rFonts w:ascii="TimesNewRomanPSMT" w:hAnsi="TimesNewRomanPSMT" w:cs="TimesNewRomanPSMT"/>
          <w:sz w:val="24"/>
          <w:szCs w:val="24"/>
        </w:rPr>
      </w:pPr>
    </w:p>
    <w:p w14:paraId="4DF15C64" w14:textId="77777777" w:rsidR="00386AC8" w:rsidRDefault="00386AC8" w:rsidP="00386AC8">
      <w:pPr>
        <w:spacing w:after="120" w:line="360" w:lineRule="auto"/>
        <w:ind w:left="284"/>
        <w:jc w:val="center"/>
        <w:rPr>
          <w:rFonts w:ascii="TimesNewRomanPSMT" w:hAnsi="TimesNewRomanPSMT" w:cs="TimesNewRomanPSMT"/>
          <w:sz w:val="24"/>
          <w:szCs w:val="24"/>
        </w:rPr>
      </w:pPr>
    </w:p>
    <w:p w14:paraId="5EE9A0AB" w14:textId="77777777" w:rsidR="00386AC8" w:rsidRDefault="00386AC8" w:rsidP="00386AC8">
      <w:pPr>
        <w:spacing w:after="120" w:line="360" w:lineRule="auto"/>
        <w:ind w:left="284"/>
        <w:jc w:val="center"/>
        <w:rPr>
          <w:rFonts w:ascii="TimesNewRomanPSMT" w:hAnsi="TimesNewRomanPSMT" w:cs="TimesNewRomanPSMT"/>
          <w:sz w:val="24"/>
          <w:szCs w:val="24"/>
        </w:rPr>
      </w:pPr>
    </w:p>
    <w:p w14:paraId="133C6FAA" w14:textId="77777777" w:rsidR="00386AC8" w:rsidRDefault="00386AC8" w:rsidP="00386AC8">
      <w:pPr>
        <w:spacing w:after="120" w:line="360" w:lineRule="auto"/>
        <w:ind w:left="284"/>
        <w:jc w:val="center"/>
        <w:rPr>
          <w:rFonts w:ascii="TimesNewRomanPSMT" w:hAnsi="TimesNewRomanPSMT" w:cs="TimesNewRomanPSMT"/>
          <w:sz w:val="24"/>
          <w:szCs w:val="24"/>
        </w:rPr>
      </w:pPr>
    </w:p>
    <w:p w14:paraId="2ECE4F87" w14:textId="77777777" w:rsidR="00386AC8" w:rsidRDefault="00386AC8" w:rsidP="00386AC8">
      <w:pPr>
        <w:spacing w:after="120" w:line="360" w:lineRule="auto"/>
        <w:ind w:left="284"/>
        <w:jc w:val="center"/>
        <w:rPr>
          <w:rFonts w:ascii="TimesNewRomanPSMT" w:hAnsi="TimesNewRomanPSMT" w:cs="TimesNewRomanPSMT"/>
          <w:sz w:val="24"/>
          <w:szCs w:val="24"/>
        </w:rPr>
      </w:pPr>
    </w:p>
    <w:p w14:paraId="5D57FEDB" w14:textId="77777777" w:rsidR="00386AC8" w:rsidRDefault="00386AC8" w:rsidP="00386AC8">
      <w:pPr>
        <w:spacing w:after="120" w:line="360" w:lineRule="auto"/>
        <w:ind w:left="284"/>
        <w:jc w:val="center"/>
        <w:rPr>
          <w:rFonts w:ascii="TimesNewRomanPSMT" w:hAnsi="TimesNewRomanPSMT" w:cs="TimesNewRomanPSMT"/>
          <w:sz w:val="24"/>
          <w:szCs w:val="24"/>
        </w:rPr>
      </w:pPr>
    </w:p>
    <w:p w14:paraId="04754A72" w14:textId="77777777" w:rsidR="00386AC8" w:rsidRDefault="00386AC8" w:rsidP="00386AC8">
      <w:pPr>
        <w:spacing w:after="120" w:line="360" w:lineRule="auto"/>
        <w:ind w:left="284"/>
        <w:jc w:val="center"/>
        <w:rPr>
          <w:rFonts w:ascii="TimesNewRomanPSMT" w:hAnsi="TimesNewRomanPSMT" w:cs="TimesNewRomanPSMT"/>
          <w:sz w:val="24"/>
          <w:szCs w:val="24"/>
        </w:rPr>
      </w:pPr>
    </w:p>
    <w:p w14:paraId="0698BFF7" w14:textId="13D8EFD4" w:rsidR="00386AC8" w:rsidRPr="00F56356" w:rsidRDefault="00386AC8" w:rsidP="00386AC8">
      <w:pPr>
        <w:spacing w:after="120" w:line="360" w:lineRule="auto"/>
        <w:ind w:left="284"/>
        <w:jc w:val="center"/>
        <w:rPr>
          <w:rFonts w:ascii="Times New Roman" w:eastAsia="Times New Roman" w:hAnsi="Times New Roman" w:cs="Times New Roman"/>
          <w:color w:val="000000" w:themeColor="text1"/>
          <w:sz w:val="24"/>
          <w:szCs w:val="24"/>
          <w:lang w:eastAsia="it-IT"/>
        </w:rPr>
      </w:pPr>
      <w:r>
        <w:rPr>
          <w:rFonts w:ascii="TimesNewRomanPSMT" w:hAnsi="TimesNewRomanPSMT" w:cs="TimesNewRomanPSMT"/>
          <w:sz w:val="24"/>
          <w:szCs w:val="24"/>
        </w:rPr>
        <w:t>PROSPETTI CONTABILI</w:t>
      </w:r>
    </w:p>
    <w:p w14:paraId="12F1A66E" w14:textId="3F724444" w:rsidR="00F56356" w:rsidRDefault="00F56356" w:rsidP="00083F7B">
      <w:pPr>
        <w:spacing w:after="0" w:line="360" w:lineRule="auto"/>
        <w:jc w:val="both"/>
      </w:pPr>
    </w:p>
    <w:p w14:paraId="1DB1B9AD" w14:textId="462CD493" w:rsidR="00386AC8" w:rsidRDefault="00386AC8" w:rsidP="00083F7B">
      <w:pPr>
        <w:spacing w:after="0" w:line="360" w:lineRule="auto"/>
        <w:jc w:val="both"/>
      </w:pPr>
    </w:p>
    <w:p w14:paraId="40E3E41E" w14:textId="01B32F24" w:rsidR="00386AC8" w:rsidRDefault="00386AC8" w:rsidP="00083F7B">
      <w:pPr>
        <w:spacing w:after="0" w:line="360" w:lineRule="auto"/>
        <w:jc w:val="both"/>
      </w:pPr>
    </w:p>
    <w:p w14:paraId="52241C31" w14:textId="4E5A72C5" w:rsidR="00386AC8" w:rsidRDefault="00386AC8" w:rsidP="00083F7B">
      <w:pPr>
        <w:spacing w:after="0" w:line="360" w:lineRule="auto"/>
        <w:jc w:val="both"/>
      </w:pPr>
    </w:p>
    <w:p w14:paraId="7EF1E0C8" w14:textId="2049441B" w:rsidR="00386AC8" w:rsidRDefault="00386AC8" w:rsidP="00083F7B">
      <w:pPr>
        <w:spacing w:after="0" w:line="360" w:lineRule="auto"/>
        <w:jc w:val="both"/>
      </w:pPr>
    </w:p>
    <w:p w14:paraId="35C68591" w14:textId="1BFEE9A3" w:rsidR="00386AC8" w:rsidRDefault="00386AC8" w:rsidP="00083F7B">
      <w:pPr>
        <w:spacing w:after="0" w:line="360" w:lineRule="auto"/>
        <w:jc w:val="both"/>
      </w:pPr>
    </w:p>
    <w:p w14:paraId="1D55E384" w14:textId="0305F581" w:rsidR="00386AC8" w:rsidRDefault="00386AC8" w:rsidP="00083F7B">
      <w:pPr>
        <w:spacing w:after="0" w:line="360" w:lineRule="auto"/>
        <w:jc w:val="both"/>
      </w:pPr>
    </w:p>
    <w:p w14:paraId="16A81255" w14:textId="48D410C3" w:rsidR="00386AC8" w:rsidRDefault="00386AC8" w:rsidP="00083F7B">
      <w:pPr>
        <w:spacing w:after="0" w:line="360" w:lineRule="auto"/>
        <w:jc w:val="both"/>
      </w:pPr>
    </w:p>
    <w:p w14:paraId="0A93D712" w14:textId="64AE72ED" w:rsidR="00386AC8" w:rsidRDefault="00386AC8" w:rsidP="00083F7B">
      <w:pPr>
        <w:spacing w:after="0" w:line="360" w:lineRule="auto"/>
        <w:jc w:val="both"/>
      </w:pPr>
    </w:p>
    <w:p w14:paraId="137BE071" w14:textId="125E0993" w:rsidR="00386AC8" w:rsidRDefault="00386AC8" w:rsidP="00083F7B">
      <w:pPr>
        <w:spacing w:after="0" w:line="360" w:lineRule="auto"/>
        <w:jc w:val="both"/>
      </w:pPr>
    </w:p>
    <w:p w14:paraId="3CA1FA8F" w14:textId="2D161598" w:rsidR="00386AC8" w:rsidRDefault="00386AC8" w:rsidP="00083F7B">
      <w:pPr>
        <w:spacing w:after="0" w:line="360" w:lineRule="auto"/>
        <w:jc w:val="both"/>
      </w:pPr>
    </w:p>
    <w:p w14:paraId="4347334C" w14:textId="1D87C49A" w:rsidR="00386AC8" w:rsidRDefault="00386AC8" w:rsidP="00083F7B">
      <w:pPr>
        <w:spacing w:after="0" w:line="360" w:lineRule="auto"/>
        <w:jc w:val="both"/>
      </w:pPr>
    </w:p>
    <w:p w14:paraId="7C8E0130" w14:textId="6ED085F2" w:rsidR="00386AC8" w:rsidRDefault="00386AC8" w:rsidP="00083F7B">
      <w:pPr>
        <w:spacing w:after="0" w:line="360" w:lineRule="auto"/>
        <w:jc w:val="both"/>
      </w:pPr>
    </w:p>
    <w:p w14:paraId="50AF8A53" w14:textId="795A8444" w:rsidR="00386AC8" w:rsidRDefault="00386AC8" w:rsidP="00083F7B">
      <w:pPr>
        <w:spacing w:after="0" w:line="360" w:lineRule="auto"/>
        <w:jc w:val="both"/>
      </w:pPr>
    </w:p>
    <w:p w14:paraId="2091170C" w14:textId="792DE206" w:rsidR="00386AC8" w:rsidRDefault="00386AC8" w:rsidP="00083F7B">
      <w:pPr>
        <w:spacing w:after="0" w:line="360" w:lineRule="auto"/>
        <w:jc w:val="both"/>
      </w:pPr>
    </w:p>
    <w:p w14:paraId="704508FF" w14:textId="2377128E" w:rsidR="00386AC8" w:rsidRDefault="00386AC8" w:rsidP="00083F7B">
      <w:pPr>
        <w:spacing w:after="0" w:line="360" w:lineRule="auto"/>
        <w:jc w:val="both"/>
      </w:pPr>
    </w:p>
    <w:p w14:paraId="2A0F8510" w14:textId="3070887C" w:rsidR="00386AC8" w:rsidRDefault="00386AC8" w:rsidP="00083F7B">
      <w:pPr>
        <w:spacing w:after="0" w:line="360" w:lineRule="auto"/>
        <w:jc w:val="both"/>
      </w:pPr>
    </w:p>
    <w:p w14:paraId="6830D66F" w14:textId="349F54EA" w:rsidR="00386AC8" w:rsidRDefault="00386AC8" w:rsidP="00083F7B">
      <w:pPr>
        <w:spacing w:after="0" w:line="360" w:lineRule="auto"/>
        <w:jc w:val="both"/>
      </w:pPr>
    </w:p>
    <w:p w14:paraId="5F8960C2" w14:textId="3451E4D1" w:rsidR="00386AC8" w:rsidRDefault="00386AC8" w:rsidP="00083F7B">
      <w:pPr>
        <w:spacing w:after="0" w:line="360" w:lineRule="auto"/>
        <w:jc w:val="both"/>
      </w:pPr>
    </w:p>
    <w:p w14:paraId="44C406CF" w14:textId="5D6C3085" w:rsidR="00386AC8" w:rsidRDefault="00386AC8" w:rsidP="00083F7B">
      <w:pPr>
        <w:spacing w:after="0" w:line="360" w:lineRule="auto"/>
        <w:jc w:val="both"/>
      </w:pPr>
      <w:r w:rsidRPr="00386AC8">
        <w:rPr>
          <w:noProof/>
        </w:rPr>
        <w:drawing>
          <wp:inline distT="0" distB="0" distL="0" distR="0" wp14:anchorId="1613AEC8" wp14:editId="510F924B">
            <wp:extent cx="6210935" cy="4310510"/>
            <wp:effectExtent l="0" t="0" r="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210935" cy="4310510"/>
                    </a:xfrm>
                    <a:prstGeom prst="rect">
                      <a:avLst/>
                    </a:prstGeom>
                    <a:noFill/>
                    <a:ln>
                      <a:noFill/>
                    </a:ln>
                  </pic:spPr>
                </pic:pic>
              </a:graphicData>
            </a:graphic>
          </wp:inline>
        </w:drawing>
      </w:r>
    </w:p>
    <w:p w14:paraId="1A8E4007" w14:textId="1800951A" w:rsidR="00386AC8" w:rsidRDefault="00386AC8" w:rsidP="00083F7B">
      <w:pPr>
        <w:spacing w:after="0" w:line="360" w:lineRule="auto"/>
        <w:jc w:val="both"/>
      </w:pPr>
    </w:p>
    <w:p w14:paraId="6964C336" w14:textId="59A1D45E" w:rsidR="00386AC8" w:rsidRDefault="00386AC8" w:rsidP="00083F7B">
      <w:pPr>
        <w:spacing w:after="0" w:line="360" w:lineRule="auto"/>
        <w:jc w:val="both"/>
      </w:pPr>
    </w:p>
    <w:p w14:paraId="305D0D9D" w14:textId="7CE01659" w:rsidR="00386AC8" w:rsidRDefault="00386AC8" w:rsidP="00083F7B">
      <w:pPr>
        <w:spacing w:after="0" w:line="360" w:lineRule="auto"/>
        <w:jc w:val="both"/>
      </w:pPr>
    </w:p>
    <w:p w14:paraId="3BC65E20" w14:textId="4415CCF6" w:rsidR="00386AC8" w:rsidRDefault="00386AC8" w:rsidP="00083F7B">
      <w:pPr>
        <w:spacing w:after="0" w:line="360" w:lineRule="auto"/>
        <w:jc w:val="both"/>
      </w:pPr>
    </w:p>
    <w:p w14:paraId="1364E352" w14:textId="20716E1F" w:rsidR="00386AC8" w:rsidRDefault="00386AC8" w:rsidP="00083F7B">
      <w:pPr>
        <w:spacing w:after="0" w:line="360" w:lineRule="auto"/>
        <w:jc w:val="both"/>
      </w:pPr>
    </w:p>
    <w:p w14:paraId="3A9A70FB" w14:textId="51ED1F3B" w:rsidR="00386AC8" w:rsidRDefault="00386AC8" w:rsidP="00083F7B">
      <w:pPr>
        <w:spacing w:after="0" w:line="360" w:lineRule="auto"/>
        <w:jc w:val="both"/>
      </w:pPr>
    </w:p>
    <w:p w14:paraId="10D3F04E" w14:textId="2DB699F5" w:rsidR="00386AC8" w:rsidRDefault="00386AC8" w:rsidP="00083F7B">
      <w:pPr>
        <w:spacing w:after="0" w:line="360" w:lineRule="auto"/>
        <w:jc w:val="both"/>
      </w:pPr>
    </w:p>
    <w:p w14:paraId="513D19A1" w14:textId="300D1639" w:rsidR="00386AC8" w:rsidRDefault="00386AC8" w:rsidP="00083F7B">
      <w:pPr>
        <w:spacing w:after="0" w:line="360" w:lineRule="auto"/>
        <w:jc w:val="both"/>
      </w:pPr>
    </w:p>
    <w:p w14:paraId="011A4F4B" w14:textId="6960A7C4" w:rsidR="00386AC8" w:rsidRDefault="00386AC8" w:rsidP="00083F7B">
      <w:pPr>
        <w:spacing w:after="0" w:line="360" w:lineRule="auto"/>
        <w:jc w:val="both"/>
      </w:pPr>
    </w:p>
    <w:p w14:paraId="3C10FAE6" w14:textId="72760FAF" w:rsidR="00386AC8" w:rsidRDefault="00386AC8" w:rsidP="00083F7B">
      <w:pPr>
        <w:spacing w:after="0" w:line="360" w:lineRule="auto"/>
        <w:jc w:val="both"/>
      </w:pPr>
    </w:p>
    <w:p w14:paraId="3644AD60" w14:textId="03BC1F02" w:rsidR="00386AC8" w:rsidRDefault="00386AC8" w:rsidP="00083F7B">
      <w:pPr>
        <w:spacing w:after="0" w:line="360" w:lineRule="auto"/>
        <w:jc w:val="both"/>
      </w:pPr>
    </w:p>
    <w:p w14:paraId="62FE4F1D" w14:textId="512DFF00" w:rsidR="00386AC8" w:rsidRDefault="00386AC8" w:rsidP="00083F7B">
      <w:pPr>
        <w:spacing w:after="0" w:line="360" w:lineRule="auto"/>
        <w:jc w:val="both"/>
      </w:pPr>
    </w:p>
    <w:p w14:paraId="6C9C7951" w14:textId="49E6FBDB" w:rsidR="00386AC8" w:rsidRDefault="00386AC8" w:rsidP="00083F7B">
      <w:pPr>
        <w:spacing w:after="0" w:line="360" w:lineRule="auto"/>
        <w:jc w:val="both"/>
      </w:pPr>
    </w:p>
    <w:p w14:paraId="3D58DBE6" w14:textId="14F8CA25" w:rsidR="00386AC8" w:rsidRDefault="00386AC8" w:rsidP="00083F7B">
      <w:pPr>
        <w:spacing w:after="0" w:line="360" w:lineRule="auto"/>
        <w:jc w:val="both"/>
      </w:pPr>
    </w:p>
    <w:p w14:paraId="276F9AC6" w14:textId="7F9173A5" w:rsidR="00386AC8" w:rsidRDefault="00386AC8" w:rsidP="00083F7B">
      <w:pPr>
        <w:spacing w:after="0" w:line="360" w:lineRule="auto"/>
        <w:jc w:val="both"/>
      </w:pPr>
    </w:p>
    <w:p w14:paraId="0A0E795B" w14:textId="685247A3" w:rsidR="00386AC8" w:rsidRDefault="00386AC8" w:rsidP="00083F7B">
      <w:pPr>
        <w:spacing w:after="0" w:line="360" w:lineRule="auto"/>
        <w:jc w:val="both"/>
      </w:pPr>
    </w:p>
    <w:p w14:paraId="445086A5" w14:textId="730F1F31" w:rsidR="00386AC8" w:rsidRDefault="00386AC8" w:rsidP="00083F7B">
      <w:pPr>
        <w:spacing w:after="0" w:line="360" w:lineRule="auto"/>
        <w:jc w:val="both"/>
      </w:pPr>
    </w:p>
    <w:p w14:paraId="2CA2F37D" w14:textId="7E8E982C" w:rsidR="00386AC8" w:rsidRDefault="00024B7A" w:rsidP="00083F7B">
      <w:pPr>
        <w:spacing w:after="0" w:line="360" w:lineRule="auto"/>
        <w:jc w:val="both"/>
      </w:pPr>
      <w:r w:rsidRPr="00024B7A">
        <w:rPr>
          <w:noProof/>
        </w:rPr>
        <w:drawing>
          <wp:inline distT="0" distB="0" distL="0" distR="0" wp14:anchorId="6D3922DE" wp14:editId="29BD912A">
            <wp:extent cx="6210935" cy="670499"/>
            <wp:effectExtent l="0" t="0" r="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210935" cy="670499"/>
                    </a:xfrm>
                    <a:prstGeom prst="rect">
                      <a:avLst/>
                    </a:prstGeom>
                    <a:noFill/>
                    <a:ln>
                      <a:noFill/>
                    </a:ln>
                  </pic:spPr>
                </pic:pic>
              </a:graphicData>
            </a:graphic>
          </wp:inline>
        </w:drawing>
      </w:r>
    </w:p>
    <w:p w14:paraId="3F70DB93" w14:textId="02D7D52D" w:rsidR="00024B7A" w:rsidRDefault="00AD3C46" w:rsidP="00083F7B">
      <w:pPr>
        <w:spacing w:after="0" w:line="360" w:lineRule="auto"/>
        <w:jc w:val="both"/>
      </w:pPr>
      <w:r w:rsidRPr="00AD3C46">
        <w:rPr>
          <w:noProof/>
        </w:rPr>
        <w:drawing>
          <wp:inline distT="0" distB="0" distL="0" distR="0" wp14:anchorId="5A10E2FC" wp14:editId="31C58DA6">
            <wp:extent cx="6210514" cy="8051800"/>
            <wp:effectExtent l="0" t="0" r="0" b="635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212647" cy="8054565"/>
                    </a:xfrm>
                    <a:prstGeom prst="rect">
                      <a:avLst/>
                    </a:prstGeom>
                    <a:noFill/>
                    <a:ln>
                      <a:noFill/>
                    </a:ln>
                  </pic:spPr>
                </pic:pic>
              </a:graphicData>
            </a:graphic>
          </wp:inline>
        </w:drawing>
      </w:r>
    </w:p>
    <w:p w14:paraId="2D19D7D8" w14:textId="6CB7A79A" w:rsidR="00AD3C46" w:rsidRDefault="00AD3C46" w:rsidP="00083F7B">
      <w:pPr>
        <w:spacing w:after="0" w:line="360" w:lineRule="auto"/>
        <w:jc w:val="both"/>
      </w:pPr>
    </w:p>
    <w:p w14:paraId="5CA5AC1D" w14:textId="36C674E8" w:rsidR="00AD3C46" w:rsidRDefault="00CA6265" w:rsidP="00083F7B">
      <w:pPr>
        <w:spacing w:after="0" w:line="360" w:lineRule="auto"/>
        <w:jc w:val="both"/>
      </w:pPr>
      <w:r w:rsidRPr="00CA6265">
        <w:rPr>
          <w:noProof/>
        </w:rPr>
        <w:drawing>
          <wp:inline distT="0" distB="0" distL="0" distR="0" wp14:anchorId="118282AE" wp14:editId="06FC789E">
            <wp:extent cx="6210935" cy="8521403"/>
            <wp:effectExtent l="0" t="0" r="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210935" cy="8521403"/>
                    </a:xfrm>
                    <a:prstGeom prst="rect">
                      <a:avLst/>
                    </a:prstGeom>
                    <a:noFill/>
                    <a:ln>
                      <a:noFill/>
                    </a:ln>
                  </pic:spPr>
                </pic:pic>
              </a:graphicData>
            </a:graphic>
          </wp:inline>
        </w:drawing>
      </w:r>
    </w:p>
    <w:p w14:paraId="6ABE8019" w14:textId="664634DE" w:rsidR="002E5E14" w:rsidRDefault="002E5E14" w:rsidP="00083F7B">
      <w:pPr>
        <w:spacing w:after="0" w:line="360" w:lineRule="auto"/>
        <w:jc w:val="both"/>
      </w:pPr>
    </w:p>
    <w:p w14:paraId="2E670E8D" w14:textId="2F22B57F" w:rsidR="002E5E14" w:rsidRDefault="00473F9B" w:rsidP="00083F7B">
      <w:pPr>
        <w:spacing w:after="0" w:line="360" w:lineRule="auto"/>
        <w:jc w:val="both"/>
      </w:pPr>
      <w:r w:rsidRPr="00473F9B">
        <w:rPr>
          <w:noProof/>
        </w:rPr>
        <w:lastRenderedPageBreak/>
        <w:drawing>
          <wp:inline distT="0" distB="0" distL="0" distR="0" wp14:anchorId="5811CAFF" wp14:editId="4528EA3E">
            <wp:extent cx="6210935" cy="9154918"/>
            <wp:effectExtent l="0" t="0" r="0" b="825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210935" cy="9154918"/>
                    </a:xfrm>
                    <a:prstGeom prst="rect">
                      <a:avLst/>
                    </a:prstGeom>
                    <a:noFill/>
                    <a:ln>
                      <a:noFill/>
                    </a:ln>
                  </pic:spPr>
                </pic:pic>
              </a:graphicData>
            </a:graphic>
          </wp:inline>
        </w:drawing>
      </w:r>
    </w:p>
    <w:p w14:paraId="78176269" w14:textId="53B05EE5" w:rsidR="002E5E14" w:rsidRDefault="00473F9B" w:rsidP="00083F7B">
      <w:pPr>
        <w:spacing w:after="0" w:line="360" w:lineRule="auto"/>
        <w:jc w:val="both"/>
      </w:pPr>
      <w:r w:rsidRPr="00473F9B">
        <w:rPr>
          <w:noProof/>
        </w:rPr>
        <w:lastRenderedPageBreak/>
        <w:drawing>
          <wp:inline distT="0" distB="0" distL="0" distR="0" wp14:anchorId="53FB3AA0" wp14:editId="14B08A25">
            <wp:extent cx="6210935" cy="9018278"/>
            <wp:effectExtent l="0" t="0" r="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210935" cy="9018278"/>
                    </a:xfrm>
                    <a:prstGeom prst="rect">
                      <a:avLst/>
                    </a:prstGeom>
                    <a:noFill/>
                    <a:ln>
                      <a:noFill/>
                    </a:ln>
                  </pic:spPr>
                </pic:pic>
              </a:graphicData>
            </a:graphic>
          </wp:inline>
        </w:drawing>
      </w:r>
    </w:p>
    <w:p w14:paraId="30354C89" w14:textId="523B4497" w:rsidR="00473F9B" w:rsidRDefault="00473F9B" w:rsidP="00083F7B">
      <w:pPr>
        <w:spacing w:after="0" w:line="360" w:lineRule="auto"/>
        <w:jc w:val="both"/>
      </w:pPr>
    </w:p>
    <w:p w14:paraId="46C33417" w14:textId="7239E171" w:rsidR="00473F9B" w:rsidRDefault="00473F9B" w:rsidP="00083F7B">
      <w:pPr>
        <w:spacing w:after="0" w:line="360" w:lineRule="auto"/>
        <w:jc w:val="both"/>
      </w:pPr>
      <w:r w:rsidRPr="00473F9B">
        <w:rPr>
          <w:noProof/>
        </w:rPr>
        <w:drawing>
          <wp:inline distT="0" distB="0" distL="0" distR="0" wp14:anchorId="74EA7652" wp14:editId="06EDF76E">
            <wp:extent cx="6210935" cy="8670465"/>
            <wp:effectExtent l="0" t="0" r="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210935" cy="8670465"/>
                    </a:xfrm>
                    <a:prstGeom prst="rect">
                      <a:avLst/>
                    </a:prstGeom>
                    <a:noFill/>
                    <a:ln>
                      <a:noFill/>
                    </a:ln>
                  </pic:spPr>
                </pic:pic>
              </a:graphicData>
            </a:graphic>
          </wp:inline>
        </w:drawing>
      </w:r>
    </w:p>
    <w:p w14:paraId="318AABE1" w14:textId="03ED8254" w:rsidR="00473F9B" w:rsidRDefault="00473F9B" w:rsidP="00083F7B">
      <w:pPr>
        <w:spacing w:after="0" w:line="360" w:lineRule="auto"/>
        <w:jc w:val="both"/>
      </w:pPr>
    </w:p>
    <w:p w14:paraId="49AD8963" w14:textId="072A1ACA" w:rsidR="00473F9B" w:rsidRDefault="00473F9B" w:rsidP="00083F7B">
      <w:pPr>
        <w:spacing w:after="0" w:line="360" w:lineRule="auto"/>
        <w:jc w:val="both"/>
      </w:pPr>
      <w:r w:rsidRPr="00473F9B">
        <w:rPr>
          <w:noProof/>
        </w:rPr>
        <w:lastRenderedPageBreak/>
        <w:drawing>
          <wp:inline distT="0" distB="0" distL="0" distR="0" wp14:anchorId="0315D12C" wp14:editId="11613384">
            <wp:extent cx="6210935" cy="7304060"/>
            <wp:effectExtent l="0" t="0" r="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10935" cy="7304060"/>
                    </a:xfrm>
                    <a:prstGeom prst="rect">
                      <a:avLst/>
                    </a:prstGeom>
                    <a:noFill/>
                    <a:ln>
                      <a:noFill/>
                    </a:ln>
                  </pic:spPr>
                </pic:pic>
              </a:graphicData>
            </a:graphic>
          </wp:inline>
        </w:drawing>
      </w:r>
    </w:p>
    <w:p w14:paraId="532968C2" w14:textId="00F5DA07" w:rsidR="00473F9B" w:rsidRDefault="00473F9B" w:rsidP="00083F7B">
      <w:pPr>
        <w:spacing w:after="0" w:line="360" w:lineRule="auto"/>
        <w:jc w:val="both"/>
      </w:pPr>
    </w:p>
    <w:p w14:paraId="72B9E55A" w14:textId="635E7762" w:rsidR="0046559F" w:rsidRDefault="0046559F" w:rsidP="00083F7B">
      <w:pPr>
        <w:spacing w:after="0" w:line="360" w:lineRule="auto"/>
        <w:jc w:val="both"/>
      </w:pPr>
    </w:p>
    <w:p w14:paraId="3A16D779" w14:textId="195513E0" w:rsidR="0046559F" w:rsidRDefault="0046559F" w:rsidP="00083F7B">
      <w:pPr>
        <w:spacing w:after="0" w:line="360" w:lineRule="auto"/>
        <w:jc w:val="both"/>
      </w:pPr>
    </w:p>
    <w:p w14:paraId="6FE846D3" w14:textId="3CF1ED4F" w:rsidR="0046559F" w:rsidRDefault="0046559F" w:rsidP="00083F7B">
      <w:pPr>
        <w:spacing w:after="0" w:line="360" w:lineRule="auto"/>
        <w:jc w:val="both"/>
      </w:pPr>
    </w:p>
    <w:p w14:paraId="2829D5D4" w14:textId="67FCEF98" w:rsidR="0046559F" w:rsidRDefault="0046559F" w:rsidP="00083F7B">
      <w:pPr>
        <w:spacing w:after="0" w:line="360" w:lineRule="auto"/>
        <w:jc w:val="both"/>
      </w:pPr>
    </w:p>
    <w:p w14:paraId="6D80824B" w14:textId="76135C8C" w:rsidR="0046559F" w:rsidRDefault="0046559F" w:rsidP="00083F7B">
      <w:pPr>
        <w:spacing w:after="0" w:line="360" w:lineRule="auto"/>
        <w:jc w:val="both"/>
      </w:pPr>
    </w:p>
    <w:p w14:paraId="5FD256E0" w14:textId="235BBE7F" w:rsidR="0046559F" w:rsidRDefault="0046559F" w:rsidP="00083F7B">
      <w:pPr>
        <w:spacing w:after="0" w:line="360" w:lineRule="auto"/>
        <w:jc w:val="both"/>
      </w:pPr>
    </w:p>
    <w:p w14:paraId="11A7CFED" w14:textId="097830ED" w:rsidR="0046559F" w:rsidRDefault="0046559F" w:rsidP="00083F7B">
      <w:pPr>
        <w:spacing w:after="0" w:line="360" w:lineRule="auto"/>
        <w:jc w:val="both"/>
      </w:pPr>
      <w:r w:rsidRPr="0046559F">
        <w:rPr>
          <w:noProof/>
        </w:rPr>
        <w:lastRenderedPageBreak/>
        <w:drawing>
          <wp:inline distT="0" distB="0" distL="0" distR="0" wp14:anchorId="220E9A8A" wp14:editId="2B05681F">
            <wp:extent cx="6210583" cy="9111615"/>
            <wp:effectExtent l="0" t="0" r="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218293" cy="9122927"/>
                    </a:xfrm>
                    <a:prstGeom prst="rect">
                      <a:avLst/>
                    </a:prstGeom>
                    <a:noFill/>
                    <a:ln>
                      <a:noFill/>
                    </a:ln>
                  </pic:spPr>
                </pic:pic>
              </a:graphicData>
            </a:graphic>
          </wp:inline>
        </w:drawing>
      </w:r>
    </w:p>
    <w:p w14:paraId="62F9A865" w14:textId="15943010" w:rsidR="0046559F" w:rsidRDefault="00E802E0" w:rsidP="00083F7B">
      <w:pPr>
        <w:spacing w:after="0" w:line="360" w:lineRule="auto"/>
        <w:jc w:val="both"/>
      </w:pPr>
      <w:r w:rsidRPr="00E802E0">
        <w:rPr>
          <w:noProof/>
        </w:rPr>
        <w:lastRenderedPageBreak/>
        <w:drawing>
          <wp:inline distT="0" distB="0" distL="0" distR="0" wp14:anchorId="6A42DFE0" wp14:editId="2859BC29">
            <wp:extent cx="6210764" cy="9105900"/>
            <wp:effectExtent l="0" t="0" r="0"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221151" cy="9121129"/>
                    </a:xfrm>
                    <a:prstGeom prst="rect">
                      <a:avLst/>
                    </a:prstGeom>
                    <a:noFill/>
                    <a:ln>
                      <a:noFill/>
                    </a:ln>
                  </pic:spPr>
                </pic:pic>
              </a:graphicData>
            </a:graphic>
          </wp:inline>
        </w:drawing>
      </w:r>
    </w:p>
    <w:p w14:paraId="71048E02" w14:textId="4F25A014" w:rsidR="00E802E0" w:rsidRDefault="00E802E0" w:rsidP="00083F7B">
      <w:pPr>
        <w:spacing w:after="0" w:line="360" w:lineRule="auto"/>
        <w:jc w:val="both"/>
      </w:pPr>
      <w:r w:rsidRPr="00E802E0">
        <w:rPr>
          <w:noProof/>
        </w:rPr>
        <w:lastRenderedPageBreak/>
        <w:drawing>
          <wp:inline distT="0" distB="0" distL="0" distR="0" wp14:anchorId="04AE5827" wp14:editId="77353455">
            <wp:extent cx="6210540" cy="9004300"/>
            <wp:effectExtent l="0" t="0" r="0" b="6350"/>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215015" cy="9010788"/>
                    </a:xfrm>
                    <a:prstGeom prst="rect">
                      <a:avLst/>
                    </a:prstGeom>
                    <a:noFill/>
                    <a:ln>
                      <a:noFill/>
                    </a:ln>
                  </pic:spPr>
                </pic:pic>
              </a:graphicData>
            </a:graphic>
          </wp:inline>
        </w:drawing>
      </w:r>
    </w:p>
    <w:p w14:paraId="717B0218" w14:textId="5EC5E86F" w:rsidR="00E802E0" w:rsidRDefault="00E802E0" w:rsidP="00083F7B">
      <w:pPr>
        <w:spacing w:after="0" w:line="360" w:lineRule="auto"/>
        <w:jc w:val="both"/>
      </w:pPr>
      <w:r w:rsidRPr="00E802E0">
        <w:rPr>
          <w:noProof/>
        </w:rPr>
        <w:lastRenderedPageBreak/>
        <w:drawing>
          <wp:inline distT="0" distB="0" distL="0" distR="0" wp14:anchorId="33605CE5" wp14:editId="75E1494C">
            <wp:extent cx="6210300" cy="9194800"/>
            <wp:effectExtent l="0" t="0" r="0" b="6350"/>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23784" cy="9214764"/>
                    </a:xfrm>
                    <a:prstGeom prst="rect">
                      <a:avLst/>
                    </a:prstGeom>
                    <a:noFill/>
                    <a:ln>
                      <a:noFill/>
                    </a:ln>
                  </pic:spPr>
                </pic:pic>
              </a:graphicData>
            </a:graphic>
          </wp:inline>
        </w:drawing>
      </w:r>
    </w:p>
    <w:p w14:paraId="6972E607" w14:textId="195A69F8" w:rsidR="00E802E0" w:rsidRDefault="00E802E0" w:rsidP="00083F7B">
      <w:pPr>
        <w:spacing w:after="0" w:line="360" w:lineRule="auto"/>
        <w:jc w:val="both"/>
      </w:pPr>
      <w:r w:rsidRPr="00E802E0">
        <w:rPr>
          <w:noProof/>
        </w:rPr>
        <w:lastRenderedPageBreak/>
        <w:drawing>
          <wp:inline distT="0" distB="0" distL="0" distR="0" wp14:anchorId="53E1CDCB" wp14:editId="20AC5ADE">
            <wp:extent cx="6210935" cy="3487857"/>
            <wp:effectExtent l="0" t="0" r="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210935" cy="3487857"/>
                    </a:xfrm>
                    <a:prstGeom prst="rect">
                      <a:avLst/>
                    </a:prstGeom>
                    <a:noFill/>
                    <a:ln>
                      <a:noFill/>
                    </a:ln>
                  </pic:spPr>
                </pic:pic>
              </a:graphicData>
            </a:graphic>
          </wp:inline>
        </w:drawing>
      </w:r>
    </w:p>
    <w:p w14:paraId="5FCF941A" w14:textId="0F26C840" w:rsidR="00E802E0" w:rsidRDefault="00E802E0" w:rsidP="00083F7B">
      <w:pPr>
        <w:spacing w:after="0" w:line="360" w:lineRule="auto"/>
        <w:jc w:val="both"/>
      </w:pPr>
    </w:p>
    <w:p w14:paraId="5DDCEB4E" w14:textId="49EA454F" w:rsidR="00E802E0" w:rsidRDefault="00E802E0" w:rsidP="00083F7B">
      <w:pPr>
        <w:spacing w:after="0" w:line="360" w:lineRule="auto"/>
        <w:jc w:val="both"/>
      </w:pPr>
    </w:p>
    <w:p w14:paraId="3B71C4C3" w14:textId="1696373F" w:rsidR="00E802E0" w:rsidRDefault="00E802E0" w:rsidP="00083F7B">
      <w:pPr>
        <w:spacing w:after="0" w:line="360" w:lineRule="auto"/>
        <w:jc w:val="both"/>
      </w:pPr>
    </w:p>
    <w:p w14:paraId="1BD22D87" w14:textId="69294C03" w:rsidR="00E802E0" w:rsidRDefault="00E802E0" w:rsidP="00083F7B">
      <w:pPr>
        <w:spacing w:after="0" w:line="360" w:lineRule="auto"/>
        <w:jc w:val="both"/>
      </w:pPr>
    </w:p>
    <w:p w14:paraId="7056033A" w14:textId="2EC6B6BE" w:rsidR="00E802E0" w:rsidRDefault="00E802E0" w:rsidP="00083F7B">
      <w:pPr>
        <w:spacing w:after="0" w:line="360" w:lineRule="auto"/>
        <w:jc w:val="both"/>
      </w:pPr>
    </w:p>
    <w:p w14:paraId="185D5571" w14:textId="4FA38F4A" w:rsidR="00E802E0" w:rsidRDefault="00E802E0" w:rsidP="00083F7B">
      <w:pPr>
        <w:spacing w:after="0" w:line="360" w:lineRule="auto"/>
        <w:jc w:val="both"/>
      </w:pPr>
    </w:p>
    <w:p w14:paraId="50BCEF69" w14:textId="7B396DB3" w:rsidR="00E802E0" w:rsidRDefault="00E802E0" w:rsidP="00083F7B">
      <w:pPr>
        <w:spacing w:after="0" w:line="360" w:lineRule="auto"/>
        <w:jc w:val="both"/>
      </w:pPr>
    </w:p>
    <w:p w14:paraId="65327512" w14:textId="5BC215EB" w:rsidR="00E802E0" w:rsidRDefault="00E802E0" w:rsidP="00083F7B">
      <w:pPr>
        <w:spacing w:after="0" w:line="360" w:lineRule="auto"/>
        <w:jc w:val="both"/>
      </w:pPr>
    </w:p>
    <w:p w14:paraId="3FCFC52B" w14:textId="20CBD292" w:rsidR="00E802E0" w:rsidRDefault="00E802E0" w:rsidP="00083F7B">
      <w:pPr>
        <w:spacing w:after="0" w:line="360" w:lineRule="auto"/>
        <w:jc w:val="both"/>
      </w:pPr>
    </w:p>
    <w:p w14:paraId="4659FD9C" w14:textId="056329F5" w:rsidR="00E802E0" w:rsidRDefault="00E802E0" w:rsidP="00083F7B">
      <w:pPr>
        <w:spacing w:after="0" w:line="360" w:lineRule="auto"/>
        <w:jc w:val="both"/>
      </w:pPr>
    </w:p>
    <w:p w14:paraId="484D5F24" w14:textId="5B47B853" w:rsidR="00E802E0" w:rsidRDefault="00E802E0" w:rsidP="00083F7B">
      <w:pPr>
        <w:spacing w:after="0" w:line="360" w:lineRule="auto"/>
        <w:jc w:val="both"/>
      </w:pPr>
    </w:p>
    <w:p w14:paraId="69773698" w14:textId="1D765B62" w:rsidR="00E802E0" w:rsidRDefault="00E802E0" w:rsidP="00083F7B">
      <w:pPr>
        <w:spacing w:after="0" w:line="360" w:lineRule="auto"/>
        <w:jc w:val="both"/>
      </w:pPr>
    </w:p>
    <w:p w14:paraId="609C833C" w14:textId="6F637D52" w:rsidR="00E802E0" w:rsidRDefault="00E802E0" w:rsidP="00083F7B">
      <w:pPr>
        <w:spacing w:after="0" w:line="360" w:lineRule="auto"/>
        <w:jc w:val="both"/>
      </w:pPr>
    </w:p>
    <w:p w14:paraId="56CB9B8A" w14:textId="5C1AD493" w:rsidR="00E802E0" w:rsidRDefault="00E802E0" w:rsidP="00083F7B">
      <w:pPr>
        <w:spacing w:after="0" w:line="360" w:lineRule="auto"/>
        <w:jc w:val="both"/>
      </w:pPr>
    </w:p>
    <w:p w14:paraId="0C59E445" w14:textId="6F96EEE0" w:rsidR="00E802E0" w:rsidRDefault="00E802E0" w:rsidP="00083F7B">
      <w:pPr>
        <w:spacing w:after="0" w:line="360" w:lineRule="auto"/>
        <w:jc w:val="both"/>
      </w:pPr>
    </w:p>
    <w:p w14:paraId="0C56EFFA" w14:textId="7E41132C" w:rsidR="00E802E0" w:rsidRDefault="00E802E0" w:rsidP="00083F7B">
      <w:pPr>
        <w:spacing w:after="0" w:line="360" w:lineRule="auto"/>
        <w:jc w:val="both"/>
      </w:pPr>
    </w:p>
    <w:p w14:paraId="21897885" w14:textId="31E151C5" w:rsidR="00E802E0" w:rsidRDefault="00E802E0" w:rsidP="00083F7B">
      <w:pPr>
        <w:spacing w:after="0" w:line="360" w:lineRule="auto"/>
        <w:jc w:val="both"/>
      </w:pPr>
    </w:p>
    <w:p w14:paraId="2C0AC909" w14:textId="34CF2946" w:rsidR="00E802E0" w:rsidRDefault="00E802E0" w:rsidP="00083F7B">
      <w:pPr>
        <w:spacing w:after="0" w:line="360" w:lineRule="auto"/>
        <w:jc w:val="both"/>
      </w:pPr>
    </w:p>
    <w:p w14:paraId="0A6F3574" w14:textId="67626081" w:rsidR="00E802E0" w:rsidRDefault="00E802E0" w:rsidP="00083F7B">
      <w:pPr>
        <w:spacing w:after="0" w:line="360" w:lineRule="auto"/>
        <w:jc w:val="both"/>
      </w:pPr>
    </w:p>
    <w:p w14:paraId="441D2C00" w14:textId="2E2DCE7F" w:rsidR="00E802E0" w:rsidRDefault="00E802E0" w:rsidP="00083F7B">
      <w:pPr>
        <w:spacing w:after="0" w:line="360" w:lineRule="auto"/>
        <w:jc w:val="both"/>
      </w:pPr>
    </w:p>
    <w:p w14:paraId="2E57B774" w14:textId="7625A465" w:rsidR="00E802E0" w:rsidRDefault="00E802E0" w:rsidP="00083F7B">
      <w:pPr>
        <w:spacing w:after="0" w:line="360" w:lineRule="auto"/>
        <w:jc w:val="both"/>
      </w:pPr>
    </w:p>
    <w:p w14:paraId="1D20ACEE" w14:textId="0996F238" w:rsidR="00E802E0" w:rsidRDefault="00E802E0" w:rsidP="00083F7B">
      <w:pPr>
        <w:spacing w:after="0" w:line="360" w:lineRule="auto"/>
        <w:jc w:val="both"/>
      </w:pPr>
    </w:p>
    <w:p w14:paraId="7ED6F3F4" w14:textId="6787E450" w:rsidR="00E802E0" w:rsidRDefault="00CB1CA9" w:rsidP="00083F7B">
      <w:pPr>
        <w:spacing w:after="0" w:line="360" w:lineRule="auto"/>
        <w:jc w:val="both"/>
      </w:pPr>
      <w:r w:rsidRPr="00CB1CA9">
        <w:rPr>
          <w:noProof/>
        </w:rPr>
        <w:lastRenderedPageBreak/>
        <w:drawing>
          <wp:inline distT="0" distB="0" distL="0" distR="0" wp14:anchorId="4319D878" wp14:editId="573D58E3">
            <wp:extent cx="6210608" cy="9283700"/>
            <wp:effectExtent l="0" t="0" r="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211859" cy="9285570"/>
                    </a:xfrm>
                    <a:prstGeom prst="rect">
                      <a:avLst/>
                    </a:prstGeom>
                    <a:noFill/>
                    <a:ln>
                      <a:noFill/>
                    </a:ln>
                  </pic:spPr>
                </pic:pic>
              </a:graphicData>
            </a:graphic>
          </wp:inline>
        </w:drawing>
      </w:r>
    </w:p>
    <w:p w14:paraId="634EC7D2" w14:textId="69FBB481" w:rsidR="00CB1CA9" w:rsidRDefault="00CB1CA9" w:rsidP="00083F7B">
      <w:pPr>
        <w:spacing w:after="0" w:line="360" w:lineRule="auto"/>
        <w:jc w:val="both"/>
      </w:pPr>
      <w:r w:rsidRPr="00CB1CA9">
        <w:rPr>
          <w:noProof/>
        </w:rPr>
        <w:lastRenderedPageBreak/>
        <w:drawing>
          <wp:inline distT="0" distB="0" distL="0" distR="0" wp14:anchorId="2A8D5834" wp14:editId="7C37210C">
            <wp:extent cx="6210588" cy="9169400"/>
            <wp:effectExtent l="0" t="0" r="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213239" cy="9173314"/>
                    </a:xfrm>
                    <a:prstGeom prst="rect">
                      <a:avLst/>
                    </a:prstGeom>
                    <a:noFill/>
                    <a:ln>
                      <a:noFill/>
                    </a:ln>
                  </pic:spPr>
                </pic:pic>
              </a:graphicData>
            </a:graphic>
          </wp:inline>
        </w:drawing>
      </w:r>
    </w:p>
    <w:p w14:paraId="7848AF79" w14:textId="3552A46A" w:rsidR="00CB1CA9" w:rsidRDefault="00CB1CA9" w:rsidP="00083F7B">
      <w:pPr>
        <w:spacing w:after="0" w:line="360" w:lineRule="auto"/>
        <w:jc w:val="both"/>
      </w:pPr>
      <w:r w:rsidRPr="00CB1CA9">
        <w:rPr>
          <w:noProof/>
        </w:rPr>
        <w:lastRenderedPageBreak/>
        <w:drawing>
          <wp:inline distT="0" distB="0" distL="0" distR="0" wp14:anchorId="0C49F74D" wp14:editId="21181E64">
            <wp:extent cx="6210700" cy="9169400"/>
            <wp:effectExtent l="0" t="0" r="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12935" cy="9172700"/>
                    </a:xfrm>
                    <a:prstGeom prst="rect">
                      <a:avLst/>
                    </a:prstGeom>
                    <a:noFill/>
                    <a:ln>
                      <a:noFill/>
                    </a:ln>
                  </pic:spPr>
                </pic:pic>
              </a:graphicData>
            </a:graphic>
          </wp:inline>
        </w:drawing>
      </w:r>
    </w:p>
    <w:p w14:paraId="3E7A584A" w14:textId="6CD2A785" w:rsidR="00CB1CA9" w:rsidRDefault="00CB1CA9" w:rsidP="00083F7B">
      <w:pPr>
        <w:spacing w:after="0" w:line="360" w:lineRule="auto"/>
        <w:jc w:val="both"/>
      </w:pPr>
      <w:r w:rsidRPr="00CB1CA9">
        <w:rPr>
          <w:noProof/>
        </w:rPr>
        <w:lastRenderedPageBreak/>
        <w:drawing>
          <wp:inline distT="0" distB="0" distL="0" distR="0" wp14:anchorId="3BD7957D" wp14:editId="0044DCAE">
            <wp:extent cx="6210935" cy="9103392"/>
            <wp:effectExtent l="0" t="0" r="0" b="254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210935" cy="9103392"/>
                    </a:xfrm>
                    <a:prstGeom prst="rect">
                      <a:avLst/>
                    </a:prstGeom>
                    <a:noFill/>
                    <a:ln>
                      <a:noFill/>
                    </a:ln>
                  </pic:spPr>
                </pic:pic>
              </a:graphicData>
            </a:graphic>
          </wp:inline>
        </w:drawing>
      </w:r>
    </w:p>
    <w:p w14:paraId="68718EE1" w14:textId="72A562BF" w:rsidR="00CB1CA9" w:rsidRDefault="00CB1CA9" w:rsidP="00083F7B">
      <w:pPr>
        <w:spacing w:after="0" w:line="360" w:lineRule="auto"/>
        <w:jc w:val="both"/>
      </w:pPr>
      <w:r w:rsidRPr="00CB1CA9">
        <w:rPr>
          <w:noProof/>
        </w:rPr>
        <w:lastRenderedPageBreak/>
        <w:drawing>
          <wp:inline distT="0" distB="0" distL="0" distR="0" wp14:anchorId="68402205" wp14:editId="3E9EF18C">
            <wp:extent cx="6210935" cy="9047337"/>
            <wp:effectExtent l="0" t="0" r="0" b="1905"/>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210935" cy="9047337"/>
                    </a:xfrm>
                    <a:prstGeom prst="rect">
                      <a:avLst/>
                    </a:prstGeom>
                    <a:noFill/>
                    <a:ln>
                      <a:noFill/>
                    </a:ln>
                  </pic:spPr>
                </pic:pic>
              </a:graphicData>
            </a:graphic>
          </wp:inline>
        </w:drawing>
      </w:r>
    </w:p>
    <w:p w14:paraId="4DCA1FE3" w14:textId="19F572C3" w:rsidR="00CB1CA9" w:rsidRDefault="00CB1CA9" w:rsidP="00083F7B">
      <w:pPr>
        <w:spacing w:after="0" w:line="360" w:lineRule="auto"/>
        <w:jc w:val="both"/>
      </w:pPr>
      <w:r w:rsidRPr="00CB1CA9">
        <w:rPr>
          <w:noProof/>
        </w:rPr>
        <w:lastRenderedPageBreak/>
        <w:drawing>
          <wp:inline distT="0" distB="0" distL="0" distR="0" wp14:anchorId="49E5A4E0" wp14:editId="306125D7">
            <wp:extent cx="6210700" cy="9271000"/>
            <wp:effectExtent l="0" t="0" r="0" b="635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12935" cy="9274337"/>
                    </a:xfrm>
                    <a:prstGeom prst="rect">
                      <a:avLst/>
                    </a:prstGeom>
                    <a:noFill/>
                    <a:ln>
                      <a:noFill/>
                    </a:ln>
                  </pic:spPr>
                </pic:pic>
              </a:graphicData>
            </a:graphic>
          </wp:inline>
        </w:drawing>
      </w:r>
    </w:p>
    <w:p w14:paraId="78406B84" w14:textId="01A32E33" w:rsidR="00CB1CA9" w:rsidRDefault="00CB1CA9" w:rsidP="00083F7B">
      <w:pPr>
        <w:spacing w:after="0" w:line="360" w:lineRule="auto"/>
        <w:jc w:val="both"/>
      </w:pPr>
      <w:r w:rsidRPr="00CB1CA9">
        <w:rPr>
          <w:noProof/>
        </w:rPr>
        <w:lastRenderedPageBreak/>
        <w:drawing>
          <wp:inline distT="0" distB="0" distL="0" distR="0" wp14:anchorId="374CE8EC" wp14:editId="249BA204">
            <wp:extent cx="6210784" cy="9232900"/>
            <wp:effectExtent l="0" t="0" r="0" b="635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214807" cy="9238881"/>
                    </a:xfrm>
                    <a:prstGeom prst="rect">
                      <a:avLst/>
                    </a:prstGeom>
                    <a:noFill/>
                    <a:ln>
                      <a:noFill/>
                    </a:ln>
                  </pic:spPr>
                </pic:pic>
              </a:graphicData>
            </a:graphic>
          </wp:inline>
        </w:drawing>
      </w:r>
    </w:p>
    <w:p w14:paraId="39F5FAB4" w14:textId="77777777" w:rsidR="00D12CBD" w:rsidRDefault="00D12CBD" w:rsidP="00083F7B">
      <w:pPr>
        <w:spacing w:after="0" w:line="360" w:lineRule="auto"/>
        <w:jc w:val="both"/>
      </w:pPr>
    </w:p>
    <w:p w14:paraId="6C301D96" w14:textId="0AEC24DA" w:rsidR="00CB1CA9" w:rsidRDefault="00CB1CA9" w:rsidP="00083F7B">
      <w:pPr>
        <w:spacing w:after="0" w:line="360" w:lineRule="auto"/>
        <w:jc w:val="both"/>
      </w:pPr>
      <w:r w:rsidRPr="00CB1CA9">
        <w:rPr>
          <w:noProof/>
        </w:rPr>
        <w:drawing>
          <wp:inline distT="0" distB="0" distL="0" distR="0" wp14:anchorId="090389E9" wp14:editId="3A3BA325">
            <wp:extent cx="6210935" cy="1973149"/>
            <wp:effectExtent l="0" t="0" r="0" b="8255"/>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210935" cy="1973149"/>
                    </a:xfrm>
                    <a:prstGeom prst="rect">
                      <a:avLst/>
                    </a:prstGeom>
                    <a:noFill/>
                    <a:ln>
                      <a:noFill/>
                    </a:ln>
                  </pic:spPr>
                </pic:pic>
              </a:graphicData>
            </a:graphic>
          </wp:inline>
        </w:drawing>
      </w:r>
    </w:p>
    <w:p w14:paraId="204E8302" w14:textId="7F04A5F6" w:rsidR="00D12CBD" w:rsidRDefault="00D12CBD" w:rsidP="00083F7B">
      <w:pPr>
        <w:spacing w:after="0" w:line="360" w:lineRule="auto"/>
        <w:jc w:val="both"/>
      </w:pPr>
    </w:p>
    <w:p w14:paraId="705FBE15" w14:textId="240C253D" w:rsidR="00D12CBD" w:rsidRDefault="00D12CBD" w:rsidP="00083F7B">
      <w:pPr>
        <w:spacing w:after="0" w:line="360" w:lineRule="auto"/>
        <w:jc w:val="both"/>
      </w:pPr>
    </w:p>
    <w:p w14:paraId="00FD6783" w14:textId="1478B19B" w:rsidR="00D12CBD" w:rsidRDefault="00D12CBD" w:rsidP="00083F7B">
      <w:pPr>
        <w:spacing w:after="0" w:line="360" w:lineRule="auto"/>
        <w:jc w:val="both"/>
      </w:pPr>
    </w:p>
    <w:p w14:paraId="754256CE" w14:textId="0D091DD4" w:rsidR="00D12CBD" w:rsidRDefault="00D12CBD" w:rsidP="00083F7B">
      <w:pPr>
        <w:spacing w:after="0" w:line="360" w:lineRule="auto"/>
        <w:jc w:val="both"/>
      </w:pPr>
    </w:p>
    <w:p w14:paraId="31CA08FC" w14:textId="2EC78384" w:rsidR="00D12CBD" w:rsidRDefault="00D12CBD" w:rsidP="00083F7B">
      <w:pPr>
        <w:spacing w:after="0" w:line="360" w:lineRule="auto"/>
        <w:jc w:val="both"/>
      </w:pPr>
    </w:p>
    <w:p w14:paraId="370D1BDF" w14:textId="0CF30757" w:rsidR="00D12CBD" w:rsidRDefault="00D12CBD" w:rsidP="00083F7B">
      <w:pPr>
        <w:spacing w:after="0" w:line="360" w:lineRule="auto"/>
        <w:jc w:val="both"/>
      </w:pPr>
    </w:p>
    <w:p w14:paraId="626D5976" w14:textId="180E014D" w:rsidR="00D12CBD" w:rsidRDefault="00D12CBD" w:rsidP="00083F7B">
      <w:pPr>
        <w:spacing w:after="0" w:line="360" w:lineRule="auto"/>
        <w:jc w:val="both"/>
      </w:pPr>
    </w:p>
    <w:p w14:paraId="6C549CFE" w14:textId="0517BB0E" w:rsidR="00D12CBD" w:rsidRDefault="00D12CBD" w:rsidP="00083F7B">
      <w:pPr>
        <w:spacing w:after="0" w:line="360" w:lineRule="auto"/>
        <w:jc w:val="both"/>
      </w:pPr>
    </w:p>
    <w:p w14:paraId="7A6FC872" w14:textId="2D69BEBE" w:rsidR="00D12CBD" w:rsidRDefault="00D12CBD" w:rsidP="00083F7B">
      <w:pPr>
        <w:spacing w:after="0" w:line="360" w:lineRule="auto"/>
        <w:jc w:val="both"/>
      </w:pPr>
    </w:p>
    <w:p w14:paraId="4CC74648" w14:textId="13E00808" w:rsidR="00D12CBD" w:rsidRDefault="00D12CBD" w:rsidP="00083F7B">
      <w:pPr>
        <w:spacing w:after="0" w:line="360" w:lineRule="auto"/>
        <w:jc w:val="both"/>
      </w:pPr>
    </w:p>
    <w:p w14:paraId="14A0E683" w14:textId="7BB7EDA1" w:rsidR="00D12CBD" w:rsidRDefault="00D12CBD" w:rsidP="00083F7B">
      <w:pPr>
        <w:spacing w:after="0" w:line="360" w:lineRule="auto"/>
        <w:jc w:val="both"/>
      </w:pPr>
    </w:p>
    <w:p w14:paraId="5A24229D" w14:textId="3750B4E1" w:rsidR="00D12CBD" w:rsidRDefault="00D12CBD" w:rsidP="00083F7B">
      <w:pPr>
        <w:spacing w:after="0" w:line="360" w:lineRule="auto"/>
        <w:jc w:val="both"/>
      </w:pPr>
    </w:p>
    <w:p w14:paraId="2E37FF65" w14:textId="354D8F7F" w:rsidR="00D12CBD" w:rsidRDefault="00D12CBD" w:rsidP="00083F7B">
      <w:pPr>
        <w:spacing w:after="0" w:line="360" w:lineRule="auto"/>
        <w:jc w:val="both"/>
      </w:pPr>
    </w:p>
    <w:p w14:paraId="7B86D1C0" w14:textId="7E29B20D" w:rsidR="00D12CBD" w:rsidRDefault="00D12CBD" w:rsidP="00083F7B">
      <w:pPr>
        <w:spacing w:after="0" w:line="360" w:lineRule="auto"/>
        <w:jc w:val="both"/>
      </w:pPr>
    </w:p>
    <w:p w14:paraId="20A08DF1" w14:textId="4A721BB6" w:rsidR="00D12CBD" w:rsidRDefault="00D12CBD" w:rsidP="00083F7B">
      <w:pPr>
        <w:spacing w:after="0" w:line="360" w:lineRule="auto"/>
        <w:jc w:val="both"/>
      </w:pPr>
    </w:p>
    <w:p w14:paraId="169DE1B2" w14:textId="41E83591" w:rsidR="00D12CBD" w:rsidRDefault="00D12CBD" w:rsidP="00083F7B">
      <w:pPr>
        <w:spacing w:after="0" w:line="360" w:lineRule="auto"/>
        <w:jc w:val="both"/>
      </w:pPr>
    </w:p>
    <w:p w14:paraId="045BD598" w14:textId="521DDA7F" w:rsidR="00D12CBD" w:rsidRDefault="00D12CBD" w:rsidP="00083F7B">
      <w:pPr>
        <w:spacing w:after="0" w:line="360" w:lineRule="auto"/>
        <w:jc w:val="both"/>
      </w:pPr>
    </w:p>
    <w:p w14:paraId="5E540F67" w14:textId="59DFD761" w:rsidR="00D12CBD" w:rsidRDefault="00D12CBD" w:rsidP="00083F7B">
      <w:pPr>
        <w:spacing w:after="0" w:line="360" w:lineRule="auto"/>
        <w:jc w:val="both"/>
      </w:pPr>
    </w:p>
    <w:p w14:paraId="7B5692D4" w14:textId="434BD31D" w:rsidR="00D12CBD" w:rsidRDefault="00D12CBD" w:rsidP="00083F7B">
      <w:pPr>
        <w:spacing w:after="0" w:line="360" w:lineRule="auto"/>
        <w:jc w:val="both"/>
      </w:pPr>
    </w:p>
    <w:p w14:paraId="4EEEE25D" w14:textId="3D6EFA07" w:rsidR="00D12CBD" w:rsidRDefault="00D12CBD" w:rsidP="00083F7B">
      <w:pPr>
        <w:spacing w:after="0" w:line="360" w:lineRule="auto"/>
        <w:jc w:val="both"/>
      </w:pPr>
    </w:p>
    <w:p w14:paraId="657ABC20" w14:textId="309012CF" w:rsidR="00D12CBD" w:rsidRDefault="00D12CBD" w:rsidP="00083F7B">
      <w:pPr>
        <w:spacing w:after="0" w:line="360" w:lineRule="auto"/>
        <w:jc w:val="both"/>
      </w:pPr>
    </w:p>
    <w:p w14:paraId="222E5A5B" w14:textId="674D0FA7" w:rsidR="00D12CBD" w:rsidRDefault="00D12CBD" w:rsidP="00083F7B">
      <w:pPr>
        <w:spacing w:after="0" w:line="360" w:lineRule="auto"/>
        <w:jc w:val="both"/>
      </w:pPr>
    </w:p>
    <w:p w14:paraId="125E5529" w14:textId="47F5B10E" w:rsidR="00D12CBD" w:rsidRDefault="00D12CBD" w:rsidP="00083F7B">
      <w:pPr>
        <w:spacing w:after="0" w:line="360" w:lineRule="auto"/>
        <w:jc w:val="both"/>
      </w:pPr>
    </w:p>
    <w:p w14:paraId="3796318A" w14:textId="17F7519A" w:rsidR="00D12CBD" w:rsidRDefault="00D12CBD" w:rsidP="00083F7B">
      <w:pPr>
        <w:spacing w:after="0" w:line="360" w:lineRule="auto"/>
        <w:jc w:val="both"/>
      </w:pPr>
    </w:p>
    <w:p w14:paraId="06024BF4" w14:textId="21287C4D" w:rsidR="00D12CBD" w:rsidRDefault="00D12CBD" w:rsidP="00083F7B">
      <w:pPr>
        <w:spacing w:after="0" w:line="360" w:lineRule="auto"/>
        <w:jc w:val="both"/>
      </w:pPr>
    </w:p>
    <w:p w14:paraId="29355357" w14:textId="7DCB0160" w:rsidR="00D12CBD" w:rsidRDefault="00D12CBD" w:rsidP="00083F7B">
      <w:pPr>
        <w:spacing w:after="0" w:line="360" w:lineRule="auto"/>
        <w:jc w:val="both"/>
      </w:pPr>
    </w:p>
    <w:p w14:paraId="7000B8BB" w14:textId="66BBDDAF" w:rsidR="00D12CBD" w:rsidRDefault="00D12CBD" w:rsidP="00083F7B">
      <w:pPr>
        <w:spacing w:after="0" w:line="360" w:lineRule="auto"/>
        <w:jc w:val="both"/>
      </w:pPr>
    </w:p>
    <w:p w14:paraId="5034773D" w14:textId="362FA2D3" w:rsidR="00D12CBD" w:rsidRDefault="00D12CBD" w:rsidP="00083F7B">
      <w:pPr>
        <w:spacing w:after="0" w:line="360" w:lineRule="auto"/>
        <w:jc w:val="both"/>
      </w:pPr>
      <w:r w:rsidRPr="00D12CBD">
        <w:rPr>
          <w:noProof/>
        </w:rPr>
        <w:lastRenderedPageBreak/>
        <w:drawing>
          <wp:inline distT="0" distB="0" distL="0" distR="0" wp14:anchorId="0FAEA455" wp14:editId="54F1288B">
            <wp:extent cx="6172200" cy="6464300"/>
            <wp:effectExtent l="0" t="0" r="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72200" cy="6464300"/>
                    </a:xfrm>
                    <a:prstGeom prst="rect">
                      <a:avLst/>
                    </a:prstGeom>
                    <a:noFill/>
                    <a:ln>
                      <a:noFill/>
                    </a:ln>
                  </pic:spPr>
                </pic:pic>
              </a:graphicData>
            </a:graphic>
          </wp:inline>
        </w:drawing>
      </w:r>
    </w:p>
    <w:p w14:paraId="32B972F5" w14:textId="55CFECA8" w:rsidR="00D12CBD" w:rsidRDefault="00D12CBD" w:rsidP="00083F7B">
      <w:pPr>
        <w:spacing w:after="0" w:line="360" w:lineRule="auto"/>
        <w:jc w:val="both"/>
      </w:pPr>
    </w:p>
    <w:p w14:paraId="24B6BB4E" w14:textId="113C63C0" w:rsidR="006C09EF" w:rsidRDefault="006C09EF" w:rsidP="00083F7B">
      <w:pPr>
        <w:spacing w:after="0" w:line="360" w:lineRule="auto"/>
        <w:jc w:val="both"/>
      </w:pPr>
    </w:p>
    <w:p w14:paraId="54CB6A01" w14:textId="1AAE9D7B" w:rsidR="006C09EF" w:rsidRDefault="006C09EF" w:rsidP="00083F7B">
      <w:pPr>
        <w:spacing w:after="0" w:line="360" w:lineRule="auto"/>
        <w:jc w:val="both"/>
      </w:pPr>
    </w:p>
    <w:p w14:paraId="37DC277D" w14:textId="13E3BBE8" w:rsidR="006C09EF" w:rsidRDefault="006C09EF" w:rsidP="00083F7B">
      <w:pPr>
        <w:spacing w:after="0" w:line="360" w:lineRule="auto"/>
        <w:jc w:val="both"/>
      </w:pPr>
    </w:p>
    <w:p w14:paraId="22AC706D" w14:textId="4C61C177" w:rsidR="006C09EF" w:rsidRDefault="006C09EF" w:rsidP="00083F7B">
      <w:pPr>
        <w:spacing w:after="0" w:line="360" w:lineRule="auto"/>
        <w:jc w:val="both"/>
      </w:pPr>
    </w:p>
    <w:p w14:paraId="5D47D117" w14:textId="272D378C" w:rsidR="006C09EF" w:rsidRDefault="006C09EF" w:rsidP="00083F7B">
      <w:pPr>
        <w:spacing w:after="0" w:line="360" w:lineRule="auto"/>
        <w:jc w:val="both"/>
      </w:pPr>
    </w:p>
    <w:p w14:paraId="0CB8C7AF" w14:textId="27D1458A" w:rsidR="006C09EF" w:rsidRDefault="006C09EF" w:rsidP="00083F7B">
      <w:pPr>
        <w:spacing w:after="0" w:line="360" w:lineRule="auto"/>
        <w:jc w:val="both"/>
      </w:pPr>
    </w:p>
    <w:p w14:paraId="2265851E" w14:textId="2BB09C67" w:rsidR="006C09EF" w:rsidRDefault="006C09EF" w:rsidP="00083F7B">
      <w:pPr>
        <w:spacing w:after="0" w:line="360" w:lineRule="auto"/>
        <w:jc w:val="both"/>
      </w:pPr>
    </w:p>
    <w:p w14:paraId="316CE05A" w14:textId="38E7BABB" w:rsidR="006C09EF" w:rsidRDefault="006C09EF" w:rsidP="00083F7B">
      <w:pPr>
        <w:spacing w:after="0" w:line="360" w:lineRule="auto"/>
        <w:jc w:val="both"/>
      </w:pPr>
    </w:p>
    <w:p w14:paraId="2CF37033" w14:textId="12242D52" w:rsidR="006C09EF" w:rsidRDefault="006C09EF" w:rsidP="00083F7B">
      <w:pPr>
        <w:spacing w:after="0" w:line="360" w:lineRule="auto"/>
        <w:jc w:val="both"/>
      </w:pPr>
    </w:p>
    <w:p w14:paraId="10EB5FA2" w14:textId="30C09036" w:rsidR="006C09EF" w:rsidRDefault="006C09EF" w:rsidP="00083F7B">
      <w:pPr>
        <w:spacing w:after="0" w:line="360" w:lineRule="auto"/>
        <w:jc w:val="both"/>
      </w:pPr>
    </w:p>
    <w:p w14:paraId="66693098" w14:textId="495AAD9B" w:rsidR="006C09EF" w:rsidRDefault="006C09EF" w:rsidP="00083F7B">
      <w:pPr>
        <w:spacing w:after="0" w:line="360" w:lineRule="auto"/>
        <w:jc w:val="both"/>
      </w:pPr>
      <w:r w:rsidRPr="006C09EF">
        <w:rPr>
          <w:noProof/>
        </w:rPr>
        <w:drawing>
          <wp:inline distT="0" distB="0" distL="0" distR="0" wp14:anchorId="0B12EFE1" wp14:editId="667B92F8">
            <wp:extent cx="6210563" cy="7937500"/>
            <wp:effectExtent l="0" t="0" r="0" b="635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14091" cy="7942009"/>
                    </a:xfrm>
                    <a:prstGeom prst="rect">
                      <a:avLst/>
                    </a:prstGeom>
                    <a:noFill/>
                    <a:ln>
                      <a:noFill/>
                    </a:ln>
                  </pic:spPr>
                </pic:pic>
              </a:graphicData>
            </a:graphic>
          </wp:inline>
        </w:drawing>
      </w:r>
    </w:p>
    <w:p w14:paraId="27344157" w14:textId="77777777" w:rsidR="006C09EF" w:rsidRPr="00CE6817" w:rsidRDefault="006C09EF" w:rsidP="00083F7B">
      <w:pPr>
        <w:spacing w:after="0" w:line="360" w:lineRule="auto"/>
        <w:jc w:val="both"/>
      </w:pPr>
    </w:p>
    <w:sectPr w:rsidR="006C09EF" w:rsidRPr="00CE6817" w:rsidSect="000826B2">
      <w:footerReference w:type="default" r:id="rId290"/>
      <w:pgSz w:w="11906" w:h="16838"/>
      <w:pgMar w:top="1134" w:right="99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511CF" w14:textId="77777777" w:rsidR="007377A5" w:rsidRDefault="007377A5" w:rsidP="008050D2">
      <w:pPr>
        <w:spacing w:after="0" w:line="240" w:lineRule="auto"/>
      </w:pPr>
      <w:r>
        <w:separator/>
      </w:r>
    </w:p>
  </w:endnote>
  <w:endnote w:type="continuationSeparator" w:id="0">
    <w:p w14:paraId="26A52255" w14:textId="77777777" w:rsidR="007377A5" w:rsidRDefault="007377A5" w:rsidP="00805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FUITex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3B93" w14:textId="2064EE2E" w:rsidR="007377A5" w:rsidRDefault="007377A5">
    <w:pPr>
      <w:pStyle w:val="Pidipagina"/>
    </w:pPr>
  </w:p>
  <w:p w14:paraId="5B121DD8" w14:textId="77777777" w:rsidR="007377A5" w:rsidRDefault="007377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FB1B8" w14:textId="77777777" w:rsidR="007377A5" w:rsidRDefault="007377A5" w:rsidP="008050D2">
      <w:pPr>
        <w:spacing w:after="0" w:line="240" w:lineRule="auto"/>
      </w:pPr>
      <w:r>
        <w:separator/>
      </w:r>
    </w:p>
  </w:footnote>
  <w:footnote w:type="continuationSeparator" w:id="0">
    <w:p w14:paraId="15374031" w14:textId="77777777" w:rsidR="007377A5" w:rsidRDefault="007377A5" w:rsidP="008050D2">
      <w:pPr>
        <w:spacing w:after="0" w:line="240" w:lineRule="auto"/>
      </w:pPr>
      <w:r>
        <w:continuationSeparator/>
      </w:r>
    </w:p>
  </w:footnote>
  <w:footnote w:id="1">
    <w:p w14:paraId="3D6A4DC1" w14:textId="77777777" w:rsidR="007377A5" w:rsidRPr="009A784A" w:rsidRDefault="007377A5" w:rsidP="00CE6817">
      <w:pPr>
        <w:pStyle w:val="Testonotaapidipagina"/>
        <w:jc w:val="both"/>
        <w:rPr>
          <w:sz w:val="16"/>
          <w:szCs w:val="16"/>
        </w:rPr>
      </w:pPr>
      <w:r w:rsidRPr="009A784A">
        <w:rPr>
          <w:rStyle w:val="Rimandonotaapidipagina"/>
          <w:sz w:val="16"/>
          <w:szCs w:val="16"/>
        </w:rPr>
        <w:footnoteRef/>
      </w:r>
      <w:r w:rsidRPr="009A784A">
        <w:rPr>
          <w:sz w:val="16"/>
          <w:szCs w:val="16"/>
        </w:rPr>
        <w:t xml:space="preserve"> Gli stanziamenti iniziali sono </w:t>
      </w:r>
      <w:r w:rsidRPr="00CF3D56">
        <w:rPr>
          <w:color w:val="000000"/>
          <w:sz w:val="16"/>
          <w:szCs w:val="16"/>
        </w:rPr>
        <w:t>basati sul disegno di legge di bilancio 2022 A.S. 2448.</w:t>
      </w:r>
      <w:r w:rsidRPr="009A784A">
        <w:rPr>
          <w:color w:val="000000"/>
          <w:sz w:val="16"/>
          <w:szCs w:val="16"/>
        </w:rPr>
        <w:t xml:space="preserve"> </w:t>
      </w:r>
    </w:p>
  </w:footnote>
  <w:footnote w:id="2">
    <w:p w14:paraId="3235BD9B" w14:textId="23D4DEE3" w:rsidR="007377A5" w:rsidRPr="00F3056E" w:rsidRDefault="007377A5" w:rsidP="00CE6817">
      <w:pPr>
        <w:pStyle w:val="Testonotaapidipagina"/>
        <w:rPr>
          <w:sz w:val="16"/>
          <w:szCs w:val="16"/>
        </w:rPr>
      </w:pPr>
      <w:r w:rsidRPr="009A784A">
        <w:rPr>
          <w:rStyle w:val="Rimandonotaapidipagina"/>
          <w:sz w:val="16"/>
          <w:szCs w:val="16"/>
        </w:rPr>
        <w:footnoteRef/>
      </w:r>
      <w:r w:rsidRPr="009A784A">
        <w:rPr>
          <w:sz w:val="16"/>
          <w:szCs w:val="16"/>
        </w:rPr>
        <w:t xml:space="preserve"> Variazioni apportate ai sensi dell</w:t>
      </w:r>
      <w:r>
        <w:rPr>
          <w:sz w:val="16"/>
          <w:szCs w:val="16"/>
        </w:rPr>
        <w:t>’</w:t>
      </w:r>
      <w:r w:rsidRPr="009A784A">
        <w:rPr>
          <w:sz w:val="16"/>
          <w:szCs w:val="16"/>
        </w:rPr>
        <w:t>articolo 6, comma 5, del decreto del Presidente del Consiglio dei ministri 22 novembre 2010.</w:t>
      </w:r>
    </w:p>
    <w:p w14:paraId="52B7AAA4" w14:textId="77777777" w:rsidR="007377A5" w:rsidRPr="00F3056E" w:rsidRDefault="007377A5" w:rsidP="00CE6817">
      <w:pPr>
        <w:pStyle w:val="Testonotaapidipagina"/>
        <w:jc w:val="both"/>
        <w:rPr>
          <w:sz w:val="16"/>
          <w:szCs w:val="16"/>
        </w:rPr>
      </w:pPr>
    </w:p>
  </w:footnote>
  <w:footnote w:id="3">
    <w:p w14:paraId="7F3A3B68" w14:textId="55BDE9F7" w:rsidR="007377A5" w:rsidRPr="00EB6D5B" w:rsidRDefault="007377A5" w:rsidP="002C7A85">
      <w:pPr>
        <w:pStyle w:val="Testonotaapidipagina"/>
        <w:jc w:val="both"/>
        <w:rPr>
          <w:sz w:val="18"/>
          <w:szCs w:val="18"/>
        </w:rPr>
      </w:pPr>
      <w:r w:rsidRPr="00F3056E">
        <w:rPr>
          <w:rStyle w:val="Rimandonotaapidipagina"/>
          <w:sz w:val="16"/>
          <w:szCs w:val="16"/>
        </w:rPr>
        <w:footnoteRef/>
      </w:r>
      <w:r w:rsidRPr="00F3056E">
        <w:rPr>
          <w:sz w:val="16"/>
          <w:szCs w:val="16"/>
        </w:rPr>
        <w:t xml:space="preserve"> Calcolata al netto dei capitoli 234 “Fondo di riserva” e 235” Fondo per la reiscrizione in bilancio dei residui passivi perenti”, sui quali non si assumono impegni di spesa né si emettono ordini di pagare, ma si dispongono, con decreti del Presidente del Consiglio dei ministri, solo trasferimenti, </w:t>
      </w:r>
      <w:r w:rsidRPr="002C7A85">
        <w:rPr>
          <w:sz w:val="16"/>
          <w:szCs w:val="16"/>
        </w:rPr>
        <w:t>rispettivamente, di somme ad integrazione degli stanziamenti di altri capitoli di spesa e di somme relative ai residui passivi perenti richiesti dai creditori. Inoltre è stata calcolata al netto del capitolo 271 istituito nel corso del 2021 sul quale sono state stanziate le necessarie risorse che non possono essere impegnate, in quanto destinate alla sistemazione del disallineamento contabile tra il conto corrente di tesoreria 22330 della PCM e le scritture di bilancio, dovuto ai pagamenti effettuati direttamente dalla Banca d</w:t>
      </w:r>
      <w:r>
        <w:rPr>
          <w:sz w:val="16"/>
          <w:szCs w:val="16"/>
        </w:rPr>
        <w:t>’</w:t>
      </w:r>
      <w:r w:rsidRPr="002C7A85">
        <w:rPr>
          <w:sz w:val="16"/>
          <w:szCs w:val="16"/>
        </w:rPr>
        <w:t>Italia, in veste di terza pignorata, sul citato conto corrente di tesoreria, per effetto di titoli esecutivi emessi nei confronti della stessa Presidenza, in esecuzione di ordinanze di assegnazione disposte dall</w:t>
      </w:r>
      <w:r>
        <w:rPr>
          <w:sz w:val="16"/>
          <w:szCs w:val="16"/>
        </w:rPr>
        <w:t>’</w:t>
      </w:r>
      <w:r w:rsidRPr="002C7A85">
        <w:rPr>
          <w:sz w:val="16"/>
          <w:szCs w:val="16"/>
        </w:rPr>
        <w:t>autorità giudiziaria.</w:t>
      </w:r>
      <w:r>
        <w:rPr>
          <w:sz w:val="16"/>
          <w:szCs w:val="16"/>
        </w:rPr>
        <w:t xml:space="preserve"> </w:t>
      </w:r>
    </w:p>
  </w:footnote>
  <w:footnote w:id="4">
    <w:p w14:paraId="7805F851" w14:textId="4074151E" w:rsidR="007377A5" w:rsidRPr="001D0591" w:rsidRDefault="007377A5" w:rsidP="00FC5F87">
      <w:pPr>
        <w:spacing w:after="0" w:line="240" w:lineRule="auto"/>
        <w:jc w:val="both"/>
        <w:rPr>
          <w:sz w:val="16"/>
          <w:szCs w:val="16"/>
        </w:rPr>
      </w:pPr>
      <w:r w:rsidRPr="001D0591">
        <w:rPr>
          <w:rStyle w:val="Rimandonotaapidipagina"/>
          <w:sz w:val="18"/>
          <w:szCs w:val="18"/>
        </w:rPr>
        <w:footnoteRef/>
      </w:r>
      <w:r w:rsidRPr="001D0591">
        <w:rPr>
          <w:rFonts w:ascii="Times New Roman" w:hAnsi="Times New Roman" w:cs="Times New Roman"/>
          <w:bCs/>
          <w:sz w:val="18"/>
          <w:szCs w:val="18"/>
        </w:rPr>
        <w:t xml:space="preserve"> </w:t>
      </w:r>
      <w:r w:rsidRPr="00C45B63">
        <w:rPr>
          <w:rFonts w:ascii="Times New Roman" w:eastAsia="Times New Roman" w:hAnsi="Times New Roman" w:cs="Times New Roman"/>
          <w:sz w:val="16"/>
          <w:szCs w:val="16"/>
          <w:lang w:eastAsia="it-IT"/>
        </w:rPr>
        <w:t>Nell’ambito della spesa del personale di ruolo è ricompresa quella relativa al trattamento fondamentale del personale appartenente al ruolo della Protezione civile e quella per i componenti del Nucleo di valutazione e analisi per la programmazione (NUVAP), istituito presso la Presidenza del Consiglio di ministri con DPCM del 19 novembre 2014, operante presso il Dipartimento per le politiche di coesione</w:t>
      </w:r>
      <w:r w:rsidRPr="001D0591">
        <w:rPr>
          <w:rFonts w:ascii="Times New Roman" w:hAnsi="Times New Roman" w:cs="Times New Roman"/>
          <w:bCs/>
          <w:sz w:val="16"/>
          <w:szCs w:val="16"/>
        </w:rPr>
        <w:t>.</w:t>
      </w:r>
      <w:r w:rsidRPr="001D0591">
        <w:rPr>
          <w:sz w:val="16"/>
          <w:szCs w:val="16"/>
        </w:rPr>
        <w:tab/>
      </w:r>
    </w:p>
  </w:footnote>
  <w:footnote w:id="5">
    <w:p w14:paraId="18143F3A" w14:textId="77777777" w:rsidR="007377A5" w:rsidRPr="004556AF" w:rsidRDefault="007377A5" w:rsidP="006F3F73">
      <w:pPr>
        <w:pStyle w:val="Testonotaapidipagina"/>
        <w:jc w:val="both"/>
        <w:rPr>
          <w:sz w:val="16"/>
          <w:szCs w:val="16"/>
        </w:rPr>
      </w:pPr>
      <w:r>
        <w:rPr>
          <w:rStyle w:val="Rimandonotaapidipagina"/>
        </w:rPr>
        <w:footnoteRef/>
      </w:r>
      <w:r>
        <w:t xml:space="preserve"> </w:t>
      </w:r>
      <w:r w:rsidRPr="004556AF">
        <w:rPr>
          <w:sz w:val="16"/>
          <w:szCs w:val="16"/>
        </w:rPr>
        <w:t>Commissario straordinario di Governo per la gestione del fenomeno delle persone scomparse;</w:t>
      </w:r>
    </w:p>
    <w:p w14:paraId="5BCA5B07" w14:textId="77777777" w:rsidR="007377A5" w:rsidRPr="004556AF" w:rsidRDefault="007377A5" w:rsidP="006F3F73">
      <w:pPr>
        <w:pStyle w:val="Testonotaapidipagina"/>
        <w:jc w:val="both"/>
        <w:rPr>
          <w:sz w:val="16"/>
          <w:szCs w:val="16"/>
        </w:rPr>
      </w:pPr>
      <w:r w:rsidRPr="004556AF">
        <w:rPr>
          <w:sz w:val="16"/>
          <w:szCs w:val="16"/>
        </w:rPr>
        <w:t>- Commissario straordinario di Governo per il coordinamento delle iniziative antiracket e antiusura;</w:t>
      </w:r>
    </w:p>
    <w:p w14:paraId="7D12F5E7" w14:textId="77777777" w:rsidR="007377A5" w:rsidRDefault="007377A5" w:rsidP="006F3F73">
      <w:pPr>
        <w:pStyle w:val="Testonotaapidipagina"/>
        <w:jc w:val="both"/>
        <w:rPr>
          <w:sz w:val="16"/>
          <w:szCs w:val="16"/>
        </w:rPr>
      </w:pPr>
      <w:r w:rsidRPr="004556AF">
        <w:rPr>
          <w:sz w:val="16"/>
          <w:szCs w:val="16"/>
        </w:rPr>
        <w:t>- Commissario Straordinario di Governo con il compito di presiedere il comitato di indirizzo della Zona Economica Speciale nella Regione Puglia e Basilicata;</w:t>
      </w:r>
    </w:p>
    <w:p w14:paraId="5B70A15E" w14:textId="77777777" w:rsidR="007377A5" w:rsidRDefault="007377A5" w:rsidP="006F3F73">
      <w:pPr>
        <w:pStyle w:val="Testonotaapidipagina"/>
        <w:jc w:val="both"/>
        <w:rPr>
          <w:sz w:val="16"/>
          <w:szCs w:val="16"/>
        </w:rPr>
      </w:pPr>
      <w:r w:rsidRPr="004556AF">
        <w:rPr>
          <w:sz w:val="16"/>
          <w:szCs w:val="16"/>
        </w:rPr>
        <w:t xml:space="preserve">- Commissario Straordinario di Governo con il compito di presiedere il comitato di indirizzo della Zona Economica Speciale nella Regione Puglia e </w:t>
      </w:r>
      <w:r>
        <w:rPr>
          <w:sz w:val="16"/>
          <w:szCs w:val="16"/>
        </w:rPr>
        <w:t>Molise</w:t>
      </w:r>
      <w:r w:rsidRPr="004556AF">
        <w:rPr>
          <w:sz w:val="16"/>
          <w:szCs w:val="16"/>
        </w:rPr>
        <w:t>;</w:t>
      </w:r>
    </w:p>
    <w:p w14:paraId="0AEB7622" w14:textId="77777777" w:rsidR="007377A5" w:rsidRPr="004556AF" w:rsidRDefault="007377A5" w:rsidP="006F3F73">
      <w:pPr>
        <w:pStyle w:val="Testonotaapidipagina"/>
        <w:jc w:val="both"/>
        <w:rPr>
          <w:sz w:val="16"/>
          <w:szCs w:val="16"/>
        </w:rPr>
      </w:pPr>
      <w:r w:rsidRPr="004556AF">
        <w:rPr>
          <w:sz w:val="16"/>
          <w:szCs w:val="16"/>
        </w:rPr>
        <w:t>- Commissario Straordinario di Governo con il compito di presiedere il comitato di indirizzo della Zona Economica Speciale nella Regione Abruzzo;</w:t>
      </w:r>
    </w:p>
    <w:p w14:paraId="061FA7CF" w14:textId="77777777" w:rsidR="007377A5" w:rsidRPr="004556AF" w:rsidRDefault="007377A5" w:rsidP="006F3F73">
      <w:pPr>
        <w:pStyle w:val="Testonotaapidipagina"/>
        <w:jc w:val="both"/>
        <w:rPr>
          <w:sz w:val="16"/>
          <w:szCs w:val="16"/>
        </w:rPr>
      </w:pPr>
      <w:r w:rsidRPr="004556AF">
        <w:rPr>
          <w:sz w:val="16"/>
          <w:szCs w:val="16"/>
        </w:rPr>
        <w:t>- Commissario straordinario di Governo con il compito di presiedere il comitato di indirizzo della Zona Economica Speciale nella Regione Calabria;</w:t>
      </w:r>
    </w:p>
    <w:p w14:paraId="07755F2F" w14:textId="77777777" w:rsidR="007377A5" w:rsidRPr="004556AF" w:rsidRDefault="007377A5" w:rsidP="006F3F73">
      <w:pPr>
        <w:pStyle w:val="Testonotaapidipagina"/>
        <w:jc w:val="both"/>
        <w:rPr>
          <w:sz w:val="16"/>
          <w:szCs w:val="16"/>
        </w:rPr>
      </w:pPr>
      <w:r w:rsidRPr="004556AF">
        <w:rPr>
          <w:sz w:val="16"/>
          <w:szCs w:val="16"/>
        </w:rPr>
        <w:t>- Commissario straordinario di Governo con il compito di presiedere il comitato di indirizzo della Zona Economica Speciale nella Sicilia Occidentale;</w:t>
      </w:r>
    </w:p>
    <w:p w14:paraId="3CD13D48" w14:textId="77777777" w:rsidR="007377A5" w:rsidRPr="004556AF" w:rsidRDefault="007377A5" w:rsidP="006F3F73">
      <w:pPr>
        <w:pStyle w:val="Testonotaapidipagina"/>
        <w:jc w:val="both"/>
        <w:rPr>
          <w:sz w:val="16"/>
          <w:szCs w:val="16"/>
        </w:rPr>
      </w:pPr>
      <w:r w:rsidRPr="004556AF">
        <w:rPr>
          <w:sz w:val="16"/>
          <w:szCs w:val="16"/>
        </w:rPr>
        <w:t>- Commissario straordinario di Governo con il compito di presiedere il comitato di indirizzo della Zona Economica Speciale nella Sicilia Orientale;</w:t>
      </w:r>
    </w:p>
    <w:p w14:paraId="4228B744" w14:textId="77777777" w:rsidR="007377A5" w:rsidRDefault="007377A5" w:rsidP="006F3F73">
      <w:pPr>
        <w:pStyle w:val="Testonotaapidipagina"/>
        <w:jc w:val="both"/>
        <w:rPr>
          <w:sz w:val="16"/>
          <w:szCs w:val="16"/>
        </w:rPr>
      </w:pPr>
      <w:r w:rsidRPr="004556AF">
        <w:rPr>
          <w:sz w:val="16"/>
          <w:szCs w:val="16"/>
        </w:rPr>
        <w:t>- Commissario straordinario di Governo con il compito di presiedere il comitato di indirizzo della Zona Economica Speciale nella Regione Campania</w:t>
      </w:r>
      <w:r>
        <w:rPr>
          <w:sz w:val="16"/>
          <w:szCs w:val="16"/>
        </w:rPr>
        <w:t>;</w:t>
      </w:r>
    </w:p>
    <w:p w14:paraId="2F0B89D0" w14:textId="77777777" w:rsidR="007377A5" w:rsidRPr="004556AF" w:rsidRDefault="007377A5" w:rsidP="006F3F73">
      <w:pPr>
        <w:pStyle w:val="Testonotaapidipagina"/>
        <w:jc w:val="both"/>
        <w:rPr>
          <w:sz w:val="16"/>
          <w:szCs w:val="16"/>
        </w:rPr>
      </w:pPr>
      <w:r w:rsidRPr="004556AF">
        <w:rPr>
          <w:sz w:val="16"/>
          <w:szCs w:val="16"/>
        </w:rPr>
        <w:t>.</w:t>
      </w:r>
      <w:r>
        <w:rPr>
          <w:sz w:val="16"/>
          <w:szCs w:val="16"/>
        </w:rPr>
        <w:t xml:space="preserve"> </w:t>
      </w:r>
      <w:r w:rsidRPr="004556AF">
        <w:rPr>
          <w:sz w:val="16"/>
          <w:szCs w:val="16"/>
        </w:rPr>
        <w:t xml:space="preserve">Commissario straordinario di Governo con il compito di presiedere il comitato di indirizzo della Zona Economica Speciale nella Regione </w:t>
      </w:r>
      <w:r>
        <w:rPr>
          <w:sz w:val="16"/>
          <w:szCs w:val="16"/>
        </w:rPr>
        <w:t>Sardegna.</w:t>
      </w:r>
    </w:p>
  </w:footnote>
  <w:footnote w:id="6">
    <w:p w14:paraId="68B2CFCB" w14:textId="77777777" w:rsidR="007377A5" w:rsidRPr="001D0591" w:rsidRDefault="007377A5" w:rsidP="006F3F73">
      <w:pPr>
        <w:pStyle w:val="Testonotaapidipagina"/>
        <w:rPr>
          <w:sz w:val="16"/>
          <w:szCs w:val="16"/>
        </w:rPr>
      </w:pPr>
      <w:r w:rsidRPr="001D0591">
        <w:rPr>
          <w:rStyle w:val="Rimandonotaapidipagina"/>
          <w:sz w:val="18"/>
          <w:szCs w:val="18"/>
        </w:rPr>
        <w:footnoteRef/>
      </w:r>
      <w:r w:rsidRPr="001D0591">
        <w:rPr>
          <w:sz w:val="18"/>
          <w:szCs w:val="18"/>
        </w:rPr>
        <w:t xml:space="preserve"> </w:t>
      </w:r>
      <w:r w:rsidRPr="001D0591">
        <w:rPr>
          <w:sz w:val="16"/>
          <w:szCs w:val="16"/>
        </w:rPr>
        <w:t>Comprensivo del personale assegnato al NUVAP</w:t>
      </w:r>
      <w:r w:rsidRPr="001D0591">
        <w:rPr>
          <w:bCs/>
          <w:sz w:val="16"/>
          <w:szCs w:val="16"/>
        </w:rPr>
        <w:t xml:space="preserve"> e di quello appartenente al ruolo della Protezione civile</w:t>
      </w:r>
      <w:r w:rsidRPr="001D0591">
        <w:rPr>
          <w:sz w:val="16"/>
          <w:szCs w:val="16"/>
        </w:rPr>
        <w:t xml:space="preserve">. </w:t>
      </w:r>
    </w:p>
  </w:footnote>
  <w:footnote w:id="7">
    <w:p w14:paraId="2EDA99C8" w14:textId="77777777" w:rsidR="007377A5" w:rsidRPr="00DD7E62" w:rsidRDefault="007377A5" w:rsidP="006F3F73">
      <w:pPr>
        <w:pStyle w:val="Testonotaapidipagina"/>
        <w:jc w:val="both"/>
        <w:rPr>
          <w:sz w:val="16"/>
          <w:szCs w:val="16"/>
        </w:rPr>
      </w:pPr>
      <w:r w:rsidRPr="00D07015">
        <w:rPr>
          <w:rStyle w:val="Rimandonotaapidipagina"/>
          <w:sz w:val="16"/>
          <w:szCs w:val="16"/>
        </w:rPr>
        <w:footnoteRef/>
      </w:r>
      <w:r w:rsidRPr="00D07015">
        <w:rPr>
          <w:sz w:val="16"/>
          <w:szCs w:val="16"/>
        </w:rPr>
        <w:t xml:space="preserve"> Comprensive degli</w:t>
      </w:r>
      <w:r w:rsidRPr="00D07015">
        <w:rPr>
          <w:bCs/>
          <w:sz w:val="16"/>
          <w:szCs w:val="16"/>
        </w:rPr>
        <w:t xml:space="preserve"> stipendi del personale estraneo alla pubblica amministrazione e dei trattamenti accessori del personale di ruolo, di prestito ed </w:t>
      </w:r>
      <w:r w:rsidRPr="00DD7E62">
        <w:rPr>
          <w:bCs/>
          <w:sz w:val="16"/>
          <w:szCs w:val="16"/>
        </w:rPr>
        <w:t>estraneo.</w:t>
      </w:r>
    </w:p>
  </w:footnote>
  <w:footnote w:id="8">
    <w:p w14:paraId="134A4AE0" w14:textId="77777777" w:rsidR="007377A5" w:rsidRPr="00DD7E62" w:rsidRDefault="007377A5" w:rsidP="006F3F73">
      <w:pPr>
        <w:pStyle w:val="Testonotaapidipagina"/>
        <w:jc w:val="both"/>
        <w:rPr>
          <w:sz w:val="16"/>
          <w:szCs w:val="16"/>
        </w:rPr>
      </w:pPr>
      <w:r w:rsidRPr="00DD7E62">
        <w:rPr>
          <w:rStyle w:val="Rimandonotaapidipagina"/>
          <w:sz w:val="16"/>
          <w:szCs w:val="16"/>
        </w:rPr>
        <w:footnoteRef/>
      </w:r>
      <w:r w:rsidRPr="00DD7E62">
        <w:rPr>
          <w:sz w:val="16"/>
          <w:szCs w:val="16"/>
        </w:rPr>
        <w:t xml:space="preserve"> - Struttura di missione per il coordinamento dei processi di ricostruzione e sviluppo dei territori colpiti dal sisma del 6 aprile 2009;</w:t>
      </w:r>
    </w:p>
    <w:p w14:paraId="24273637" w14:textId="2FAA6187" w:rsidR="007377A5" w:rsidRPr="00DD7E62" w:rsidRDefault="007377A5" w:rsidP="006F3F73">
      <w:pPr>
        <w:pStyle w:val="Testonotaapidipagina"/>
        <w:jc w:val="both"/>
        <w:rPr>
          <w:sz w:val="16"/>
          <w:szCs w:val="16"/>
        </w:rPr>
      </w:pPr>
      <w:r w:rsidRPr="00DD7E62">
        <w:rPr>
          <w:sz w:val="16"/>
          <w:szCs w:val="16"/>
        </w:rPr>
        <w:t>- Struttura di missione con il compito di attivare tutte le possibili azioni dirette a prevenire l</w:t>
      </w:r>
      <w:r>
        <w:rPr>
          <w:sz w:val="16"/>
          <w:szCs w:val="16"/>
        </w:rPr>
        <w:t>’</w:t>
      </w:r>
      <w:r w:rsidRPr="00DD7E62">
        <w:rPr>
          <w:sz w:val="16"/>
          <w:szCs w:val="16"/>
        </w:rPr>
        <w:t>insorgere del contenzioso europeo e a rafforzare il coordinamento delle attività volte alla risoluzione delle procedure d</w:t>
      </w:r>
      <w:r>
        <w:rPr>
          <w:sz w:val="16"/>
          <w:szCs w:val="16"/>
        </w:rPr>
        <w:t>’</w:t>
      </w:r>
      <w:r w:rsidRPr="00DD7E62">
        <w:rPr>
          <w:sz w:val="16"/>
          <w:szCs w:val="16"/>
        </w:rPr>
        <w:t>infrazione;</w:t>
      </w:r>
    </w:p>
    <w:p w14:paraId="0F57905C" w14:textId="07D3C672" w:rsidR="007377A5" w:rsidRPr="00DD7E62" w:rsidRDefault="007377A5" w:rsidP="006F3F73">
      <w:pPr>
        <w:pStyle w:val="Testonotaapidipagina"/>
        <w:jc w:val="both"/>
        <w:rPr>
          <w:sz w:val="16"/>
          <w:szCs w:val="16"/>
        </w:rPr>
      </w:pPr>
      <w:r w:rsidRPr="00DD7E62">
        <w:rPr>
          <w:sz w:val="16"/>
          <w:szCs w:val="16"/>
        </w:rPr>
        <w:t xml:space="preserve">- </w:t>
      </w:r>
      <w:r w:rsidRPr="007017A7">
        <w:rPr>
          <w:sz w:val="16"/>
          <w:szCs w:val="16"/>
        </w:rPr>
        <w:t>Struttura di missione anniversari nazionali ed eventi sportivi nazionali e internazionali (già Struttura di missione per la valorizzazione degli anniversari nazionali e della dimensione partecipativa delle nuove generazioni);</w:t>
      </w:r>
    </w:p>
    <w:p w14:paraId="2D49CBA0" w14:textId="6387E8AC" w:rsidR="007377A5" w:rsidRPr="00DD7E62" w:rsidRDefault="007377A5" w:rsidP="006F3F73">
      <w:pPr>
        <w:pStyle w:val="Testonotaapidipagina"/>
        <w:jc w:val="both"/>
        <w:rPr>
          <w:sz w:val="16"/>
          <w:szCs w:val="16"/>
        </w:rPr>
      </w:pPr>
      <w:r w:rsidRPr="00DD7E62">
        <w:rPr>
          <w:sz w:val="16"/>
          <w:szCs w:val="16"/>
        </w:rPr>
        <w:t>- Struttura di missione Segreteria tecnica del PNRR</w:t>
      </w:r>
      <w:r>
        <w:rPr>
          <w:sz w:val="16"/>
          <w:szCs w:val="16"/>
        </w:rPr>
        <w:t>;</w:t>
      </w:r>
    </w:p>
    <w:p w14:paraId="0315876E" w14:textId="6FF602FF" w:rsidR="007377A5" w:rsidRPr="00DD7E62" w:rsidRDefault="007377A5" w:rsidP="006F3F73">
      <w:pPr>
        <w:pStyle w:val="Testonotaapidipagina"/>
        <w:jc w:val="both"/>
        <w:rPr>
          <w:sz w:val="16"/>
          <w:szCs w:val="16"/>
        </w:rPr>
      </w:pPr>
      <w:r w:rsidRPr="00DD7E62">
        <w:rPr>
          <w:sz w:val="16"/>
          <w:szCs w:val="16"/>
        </w:rPr>
        <w:t>- Struttura di missione Unità per la razionalizzazione e il miglioramento della regolazione</w:t>
      </w:r>
      <w:r>
        <w:rPr>
          <w:sz w:val="16"/>
          <w:szCs w:val="16"/>
        </w:rPr>
        <w:t>;</w:t>
      </w:r>
      <w:r w:rsidRPr="00DD7E62">
        <w:rPr>
          <w:sz w:val="16"/>
          <w:szCs w:val="16"/>
        </w:rPr>
        <w:t xml:space="preserve"> </w:t>
      </w:r>
    </w:p>
    <w:p w14:paraId="6BF93351" w14:textId="19457E45" w:rsidR="007377A5" w:rsidRPr="00DD7E62" w:rsidRDefault="007377A5" w:rsidP="006F3F73">
      <w:pPr>
        <w:pStyle w:val="Testonotaapidipagina"/>
        <w:jc w:val="both"/>
        <w:rPr>
          <w:sz w:val="16"/>
          <w:szCs w:val="16"/>
        </w:rPr>
      </w:pPr>
      <w:r w:rsidRPr="00DD7E62">
        <w:rPr>
          <w:sz w:val="16"/>
          <w:szCs w:val="16"/>
        </w:rPr>
        <w:t xml:space="preserve">- </w:t>
      </w:r>
      <w:r w:rsidRPr="00BE07DC">
        <w:rPr>
          <w:sz w:val="16"/>
          <w:szCs w:val="16"/>
        </w:rPr>
        <w:t>Struttura di missione Segreteria tecnica per le politiche in materia di disabilità</w:t>
      </w:r>
      <w:r>
        <w:rPr>
          <w:sz w:val="16"/>
          <w:szCs w:val="16"/>
        </w:rPr>
        <w:t>;</w:t>
      </w:r>
    </w:p>
    <w:p w14:paraId="523298A6" w14:textId="08A8B29B" w:rsidR="007377A5" w:rsidRPr="00DD7E62" w:rsidRDefault="007377A5" w:rsidP="006F3F73">
      <w:pPr>
        <w:pStyle w:val="Testonotaapidipagina"/>
        <w:jc w:val="both"/>
        <w:rPr>
          <w:sz w:val="16"/>
          <w:szCs w:val="16"/>
        </w:rPr>
      </w:pPr>
      <w:bookmarkStart w:id="2" w:name="_Hlk70420712"/>
      <w:r w:rsidRPr="00DD7E62">
        <w:rPr>
          <w:sz w:val="16"/>
          <w:szCs w:val="16"/>
        </w:rPr>
        <w:t>- Delegazione per la presidenza italiana del G20</w:t>
      </w:r>
      <w:bookmarkEnd w:id="2"/>
      <w:r>
        <w:rPr>
          <w:sz w:val="16"/>
          <w:szCs w:val="16"/>
        </w:rPr>
        <w:t>.</w:t>
      </w:r>
    </w:p>
  </w:footnote>
  <w:footnote w:id="9">
    <w:p w14:paraId="7A16EA33" w14:textId="0A4B85F5" w:rsidR="007377A5" w:rsidRPr="00DD7E62" w:rsidRDefault="007377A5" w:rsidP="006F3F73">
      <w:pPr>
        <w:pStyle w:val="Testonotaapidipagina"/>
        <w:jc w:val="both"/>
        <w:rPr>
          <w:sz w:val="16"/>
          <w:szCs w:val="16"/>
        </w:rPr>
      </w:pPr>
      <w:r>
        <w:rPr>
          <w:sz w:val="12"/>
          <w:szCs w:val="12"/>
        </w:rPr>
        <w:t>9</w:t>
      </w:r>
      <w:r>
        <w:rPr>
          <w:sz w:val="16"/>
          <w:szCs w:val="16"/>
        </w:rPr>
        <w:t xml:space="preserve"> </w:t>
      </w:r>
      <w:r w:rsidRPr="00DD7E62">
        <w:rPr>
          <w:sz w:val="16"/>
          <w:szCs w:val="16"/>
        </w:rPr>
        <w:t>Spesa riferita alle voci stipendiali del personale estraneo alla pubblica amministrazione e alle competenze accessorie del personale di ruolo, estraneo e di prestito</w:t>
      </w:r>
      <w:r>
        <w:rPr>
          <w:sz w:val="16"/>
          <w:szCs w:val="16"/>
        </w:rPr>
        <w:t>.</w:t>
      </w:r>
    </w:p>
  </w:footnote>
  <w:footnote w:id="10">
    <w:p w14:paraId="5C112483" w14:textId="2A51E5F8" w:rsidR="007377A5" w:rsidRPr="005D77CA" w:rsidRDefault="007377A5" w:rsidP="00600D30">
      <w:pPr>
        <w:spacing w:after="0" w:line="240" w:lineRule="auto"/>
        <w:jc w:val="both"/>
        <w:rPr>
          <w:rFonts w:ascii="Times New Roman" w:eastAsia="Times New Roman" w:hAnsi="Times New Roman" w:cs="Times New Roman"/>
          <w:bCs/>
          <w:sz w:val="16"/>
          <w:szCs w:val="16"/>
          <w:lang w:eastAsia="it-IT"/>
        </w:rPr>
      </w:pPr>
      <w:r>
        <w:rPr>
          <w:rStyle w:val="Rimandonotaapidipagina"/>
        </w:rPr>
        <w:footnoteRef/>
      </w:r>
      <w:r>
        <w:t xml:space="preserve"> </w:t>
      </w:r>
      <w:bookmarkStart w:id="5" w:name="_Hlk133414850"/>
      <w:r w:rsidRPr="005D77CA">
        <w:rPr>
          <w:rFonts w:ascii="Times New Roman" w:eastAsia="Times New Roman" w:hAnsi="Times New Roman" w:cs="Times New Roman"/>
          <w:bCs/>
          <w:sz w:val="16"/>
          <w:szCs w:val="16"/>
          <w:lang w:eastAsia="it-IT"/>
        </w:rPr>
        <w:t>Il dato è aggiornato in base alla nuova categoria economica dei seguenti capitoli di spesa, ora inseriti tra gli interventi: nn. 171,173,</w:t>
      </w:r>
      <w:r>
        <w:rPr>
          <w:rFonts w:ascii="Times New Roman" w:eastAsia="Times New Roman" w:hAnsi="Times New Roman" w:cs="Times New Roman"/>
          <w:bCs/>
          <w:sz w:val="16"/>
          <w:szCs w:val="16"/>
          <w:lang w:eastAsia="it-IT"/>
        </w:rPr>
        <w:t>183,</w:t>
      </w:r>
      <w:r w:rsidRPr="005D77CA">
        <w:rPr>
          <w:rFonts w:ascii="Times New Roman" w:eastAsia="Times New Roman" w:hAnsi="Times New Roman" w:cs="Times New Roman"/>
          <w:bCs/>
          <w:sz w:val="16"/>
          <w:szCs w:val="16"/>
          <w:lang w:eastAsia="it-IT"/>
        </w:rPr>
        <w:t>203,217,373,410 e 495 per un totale di euro 91.042.711,97 per il 2021 ed euro 46.954.575,49 per il 2020.</w:t>
      </w:r>
    </w:p>
    <w:bookmarkEnd w:id="5"/>
    <w:p w14:paraId="18B2A8D5" w14:textId="77777777" w:rsidR="007377A5" w:rsidRDefault="007377A5" w:rsidP="00600D30">
      <w:pPr>
        <w:pStyle w:val="Testonotaapidipagina"/>
      </w:pPr>
    </w:p>
  </w:footnote>
  <w:footnote w:id="11">
    <w:p w14:paraId="2C7BB5B6" w14:textId="66D2C138" w:rsidR="007377A5" w:rsidRPr="000C3DF2" w:rsidRDefault="007377A5" w:rsidP="005E3DAB">
      <w:pPr>
        <w:pStyle w:val="Testonotaapidipagina"/>
        <w:jc w:val="both"/>
        <w:rPr>
          <w:sz w:val="16"/>
          <w:szCs w:val="16"/>
        </w:rPr>
      </w:pPr>
      <w:r w:rsidRPr="000C3DF2">
        <w:rPr>
          <w:rStyle w:val="Rimandonotaapidipagina"/>
          <w:sz w:val="16"/>
          <w:szCs w:val="16"/>
        </w:rPr>
        <w:footnoteRef/>
      </w:r>
      <w:r w:rsidRPr="000C3DF2">
        <w:rPr>
          <w:sz w:val="16"/>
          <w:szCs w:val="16"/>
        </w:rPr>
        <w:t xml:space="preserve"> I dati riportati in tabella non comprendono gli impegni per gli esperti nominati presso le strutture di diretta collaborazione</w:t>
      </w:r>
      <w:r>
        <w:rPr>
          <w:sz w:val="16"/>
          <w:szCs w:val="16"/>
        </w:rPr>
        <w:t xml:space="preserve"> </w:t>
      </w:r>
      <w:r w:rsidRPr="000C3DF2">
        <w:rPr>
          <w:sz w:val="16"/>
          <w:szCs w:val="16"/>
        </w:rPr>
        <w:t>che sono inseriti nella spesa complessiva riferita alla diretta collaborazione. Sono, altresì, esclusi dal grafico gli oneri relativi agli esperti che gravano sui fondi strutturali, in quanto la relativa spesa non grava sul bilancio della Presidenza del Consiglio dei ministri.</w:t>
      </w:r>
    </w:p>
  </w:footnote>
  <w:footnote w:id="12">
    <w:p w14:paraId="464278C2" w14:textId="68AACFAC" w:rsidR="007377A5" w:rsidRPr="00305FCD" w:rsidRDefault="007377A5">
      <w:pPr>
        <w:pStyle w:val="Testonotaapidipagina"/>
        <w:rPr>
          <w:rFonts w:eastAsiaTheme="minorHAnsi"/>
          <w:sz w:val="16"/>
          <w:szCs w:val="22"/>
          <w:lang w:eastAsia="en-US"/>
        </w:rPr>
      </w:pPr>
      <w:r>
        <w:rPr>
          <w:rStyle w:val="Rimandonotaapidipagina"/>
        </w:rPr>
        <w:footnoteRef/>
      </w:r>
      <w:r>
        <w:t xml:space="preserve"> </w:t>
      </w:r>
      <w:r w:rsidRPr="00305FCD">
        <w:rPr>
          <w:rFonts w:eastAsiaTheme="minorHAnsi"/>
          <w:sz w:val="16"/>
          <w:szCs w:val="22"/>
          <w:lang w:eastAsia="en-US"/>
        </w:rPr>
        <w:t>Cfr. anche circolare Ministero del Tesoro, del bilancio e della programmazione economica n. 50 in data 8 febbraio 2000</w:t>
      </w:r>
      <w:r>
        <w:rPr>
          <w:rFonts w:eastAsiaTheme="minorHAnsi"/>
          <w:sz w:val="16"/>
          <w:szCs w:val="22"/>
          <w:lang w:eastAsia="en-US"/>
        </w:rPr>
        <w:t>.</w:t>
      </w:r>
    </w:p>
  </w:footnote>
  <w:footnote w:id="13">
    <w:p w14:paraId="2B73F03A" w14:textId="77777777" w:rsidR="007377A5" w:rsidRDefault="007377A5" w:rsidP="003333EC">
      <w:pPr>
        <w:spacing w:after="0" w:line="240" w:lineRule="auto"/>
        <w:jc w:val="both"/>
        <w:rPr>
          <w:rFonts w:ascii="Times New Roman" w:hAnsi="Times New Roman" w:cs="Times New Roman"/>
          <w:sz w:val="16"/>
        </w:rPr>
      </w:pPr>
      <w:r w:rsidRPr="003333EC">
        <w:rPr>
          <w:rFonts w:ascii="Times New Roman" w:hAnsi="Times New Roman" w:cs="Times New Roman"/>
          <w:sz w:val="16"/>
        </w:rPr>
        <w:footnoteRef/>
      </w:r>
      <w:r w:rsidRPr="003333EC">
        <w:rPr>
          <w:rFonts w:ascii="Times New Roman" w:hAnsi="Times New Roman" w:cs="Times New Roman"/>
          <w:sz w:val="16"/>
        </w:rPr>
        <w:t xml:space="preserve"> </w:t>
      </w:r>
      <w:r>
        <w:rPr>
          <w:rFonts w:ascii="Times New Roman" w:hAnsi="Times New Roman" w:cs="Times New Roman"/>
          <w:sz w:val="16"/>
        </w:rPr>
        <w:t>Per il 2021, i</w:t>
      </w:r>
      <w:r w:rsidRPr="003333EC">
        <w:rPr>
          <w:rFonts w:ascii="Times New Roman" w:hAnsi="Times New Roman" w:cs="Times New Roman"/>
          <w:sz w:val="16"/>
        </w:rPr>
        <w:t>l dato è aggiornato in base alla nuova categoria economica dei seguenti capitoli di spesa</w:t>
      </w:r>
      <w:r>
        <w:rPr>
          <w:rFonts w:ascii="Times New Roman" w:hAnsi="Times New Roman" w:cs="Times New Roman"/>
          <w:sz w:val="16"/>
        </w:rPr>
        <w:t>:</w:t>
      </w:r>
    </w:p>
    <w:p w14:paraId="1903B4CB" w14:textId="623684BA" w:rsidR="007377A5" w:rsidRDefault="007377A5" w:rsidP="003333EC">
      <w:pPr>
        <w:spacing w:after="0" w:line="240" w:lineRule="auto"/>
        <w:jc w:val="both"/>
        <w:rPr>
          <w:rFonts w:ascii="Times New Roman" w:hAnsi="Times New Roman" w:cs="Times New Roman"/>
          <w:sz w:val="16"/>
        </w:rPr>
      </w:pPr>
      <w:r>
        <w:rPr>
          <w:rFonts w:ascii="Times New Roman" w:hAnsi="Times New Roman" w:cs="Times New Roman"/>
          <w:sz w:val="16"/>
        </w:rPr>
        <w:t>-</w:t>
      </w:r>
      <w:r w:rsidRPr="000D4E12">
        <w:rPr>
          <w:rFonts w:ascii="Times New Roman" w:hAnsi="Times New Roman" w:cs="Times New Roman"/>
          <w:sz w:val="16"/>
        </w:rPr>
        <w:t xml:space="preserve"> </w:t>
      </w:r>
      <w:r w:rsidRPr="003333EC">
        <w:rPr>
          <w:rFonts w:ascii="Times New Roman" w:hAnsi="Times New Roman" w:cs="Times New Roman"/>
          <w:sz w:val="16"/>
        </w:rPr>
        <w:t>nn. 171,173,</w:t>
      </w:r>
      <w:r>
        <w:rPr>
          <w:rFonts w:ascii="Times New Roman" w:hAnsi="Times New Roman" w:cs="Times New Roman"/>
          <w:sz w:val="16"/>
        </w:rPr>
        <w:t>183,</w:t>
      </w:r>
      <w:r w:rsidRPr="003333EC">
        <w:rPr>
          <w:rFonts w:ascii="Times New Roman" w:hAnsi="Times New Roman" w:cs="Times New Roman"/>
          <w:sz w:val="16"/>
        </w:rPr>
        <w:t>203,217,373,410 e 495,</w:t>
      </w:r>
      <w:r>
        <w:rPr>
          <w:rFonts w:ascii="Times New Roman" w:hAnsi="Times New Roman" w:cs="Times New Roman"/>
          <w:sz w:val="16"/>
        </w:rPr>
        <w:t xml:space="preserve"> inseriti a decorrere dall’e.f. 2022 tra gli interventi,</w:t>
      </w:r>
      <w:r w:rsidRPr="003333EC">
        <w:rPr>
          <w:rFonts w:ascii="Times New Roman" w:hAnsi="Times New Roman" w:cs="Times New Roman"/>
          <w:sz w:val="16"/>
        </w:rPr>
        <w:t xml:space="preserve"> per un totale d</w:t>
      </w:r>
      <w:r>
        <w:rPr>
          <w:rFonts w:ascii="Times New Roman" w:hAnsi="Times New Roman" w:cs="Times New Roman"/>
          <w:sz w:val="16"/>
        </w:rPr>
        <w:t>i euro 91.042.711,97;</w:t>
      </w:r>
    </w:p>
    <w:p w14:paraId="418D3C54" w14:textId="6E584B43" w:rsidR="007377A5" w:rsidRPr="003333EC" w:rsidRDefault="007377A5" w:rsidP="003333EC">
      <w:pPr>
        <w:spacing w:after="0" w:line="240" w:lineRule="auto"/>
        <w:jc w:val="both"/>
        <w:rPr>
          <w:rFonts w:ascii="Times New Roman" w:hAnsi="Times New Roman" w:cs="Times New Roman"/>
          <w:sz w:val="16"/>
        </w:rPr>
      </w:pPr>
      <w:r>
        <w:rPr>
          <w:rFonts w:ascii="Times New Roman" w:hAnsi="Times New Roman" w:cs="Times New Roman"/>
          <w:sz w:val="16"/>
        </w:rPr>
        <w:t xml:space="preserve">- nn. 702,703,705,706,715,742,747,750,754,756,757,761 e 763, </w:t>
      </w:r>
      <w:r w:rsidRPr="000D4E12">
        <w:rPr>
          <w:rFonts w:ascii="Times New Roman" w:hAnsi="Times New Roman" w:cs="Times New Roman"/>
          <w:sz w:val="16"/>
        </w:rPr>
        <w:t xml:space="preserve">inseriti a decorrere dall’e.f. 2022 </w:t>
      </w:r>
      <w:r>
        <w:rPr>
          <w:rFonts w:ascii="Times New Roman" w:hAnsi="Times New Roman" w:cs="Times New Roman"/>
          <w:sz w:val="16"/>
        </w:rPr>
        <w:t>tra gli investimenti, per un totale di euro 315.250.048,00.</w:t>
      </w:r>
    </w:p>
    <w:p w14:paraId="3E3B992D" w14:textId="77777777" w:rsidR="007377A5" w:rsidRDefault="007377A5">
      <w:pPr>
        <w:pStyle w:val="Testonotaapidipagina"/>
      </w:pPr>
    </w:p>
  </w:footnote>
  <w:footnote w:id="14">
    <w:p w14:paraId="5A4B4A13" w14:textId="0ECB11DD" w:rsidR="007377A5" w:rsidRPr="003333EC" w:rsidRDefault="007377A5" w:rsidP="00485ED4">
      <w:pPr>
        <w:spacing w:after="0" w:line="240" w:lineRule="auto"/>
        <w:jc w:val="both"/>
        <w:rPr>
          <w:rFonts w:ascii="Times New Roman" w:hAnsi="Times New Roman" w:cs="Times New Roman"/>
          <w:sz w:val="16"/>
        </w:rPr>
      </w:pPr>
      <w:r>
        <w:rPr>
          <w:rStyle w:val="Rimandonotaapidipagina"/>
        </w:rPr>
        <w:footnoteRef/>
      </w:r>
      <w:r>
        <w:t xml:space="preserve"> </w:t>
      </w:r>
      <w:r>
        <w:rPr>
          <w:rFonts w:ascii="Times New Roman" w:hAnsi="Times New Roman" w:cs="Times New Roman"/>
          <w:sz w:val="16"/>
        </w:rPr>
        <w:t>Per il 2021, i</w:t>
      </w:r>
      <w:r w:rsidRPr="003333EC">
        <w:rPr>
          <w:rFonts w:ascii="Times New Roman" w:hAnsi="Times New Roman" w:cs="Times New Roman"/>
          <w:sz w:val="16"/>
        </w:rPr>
        <w:t>l dato è aggiornato in base a</w:t>
      </w:r>
      <w:r>
        <w:rPr>
          <w:rFonts w:ascii="Times New Roman" w:hAnsi="Times New Roman" w:cs="Times New Roman"/>
          <w:sz w:val="16"/>
        </w:rPr>
        <w:t>lla nuova categoria economica de</w:t>
      </w:r>
      <w:r w:rsidRPr="003333EC">
        <w:rPr>
          <w:rFonts w:ascii="Times New Roman" w:hAnsi="Times New Roman" w:cs="Times New Roman"/>
          <w:sz w:val="16"/>
        </w:rPr>
        <w:t xml:space="preserve">i capitoli </w:t>
      </w:r>
      <w:r>
        <w:rPr>
          <w:rFonts w:ascii="Times New Roman" w:hAnsi="Times New Roman" w:cs="Times New Roman"/>
          <w:sz w:val="16"/>
        </w:rPr>
        <w:t xml:space="preserve">di spesa nn. 702,703,705,706,715,742,747,750,754,756,757,761 e 763, </w:t>
      </w:r>
      <w:r w:rsidRPr="000D4E12">
        <w:rPr>
          <w:rFonts w:ascii="Times New Roman" w:hAnsi="Times New Roman" w:cs="Times New Roman"/>
          <w:sz w:val="16"/>
        </w:rPr>
        <w:t xml:space="preserve">inseriti a decorrere dall’e.f. 2022 </w:t>
      </w:r>
      <w:r>
        <w:rPr>
          <w:rFonts w:ascii="Times New Roman" w:hAnsi="Times New Roman" w:cs="Times New Roman"/>
          <w:sz w:val="16"/>
        </w:rPr>
        <w:t>tra gli investimenti, per un totale di euro 315.250.048,00.</w:t>
      </w:r>
    </w:p>
    <w:p w14:paraId="1AF9B1E8" w14:textId="2023861A" w:rsidR="007377A5" w:rsidRDefault="007377A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D627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DC49F2"/>
    <w:multiLevelType w:val="hybridMultilevel"/>
    <w:tmpl w:val="5832D3E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D370E4"/>
    <w:multiLevelType w:val="hybridMultilevel"/>
    <w:tmpl w:val="6CD0EC8E"/>
    <w:lvl w:ilvl="0" w:tplc="B61A7046">
      <w:start w:val="11"/>
      <w:numFmt w:val="decimal"/>
      <w:lvlText w:val="%1"/>
      <w:lvlJc w:val="left"/>
      <w:pPr>
        <w:ind w:left="4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C562332">
      <w:start w:val="1"/>
      <w:numFmt w:val="lowerLetter"/>
      <w:lvlText w:val="%2"/>
      <w:lvlJc w:val="left"/>
      <w:pPr>
        <w:ind w:left="11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B267E84">
      <w:start w:val="1"/>
      <w:numFmt w:val="lowerRoman"/>
      <w:lvlText w:val="%3"/>
      <w:lvlJc w:val="left"/>
      <w:pPr>
        <w:ind w:left="18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A5A0D9A">
      <w:start w:val="1"/>
      <w:numFmt w:val="decimal"/>
      <w:lvlText w:val="%4"/>
      <w:lvlJc w:val="left"/>
      <w:pPr>
        <w:ind w:left="25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9307092">
      <w:start w:val="1"/>
      <w:numFmt w:val="lowerLetter"/>
      <w:lvlText w:val="%5"/>
      <w:lvlJc w:val="left"/>
      <w:pPr>
        <w:ind w:left="3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9BE0D00">
      <w:start w:val="1"/>
      <w:numFmt w:val="lowerRoman"/>
      <w:lvlText w:val="%6"/>
      <w:lvlJc w:val="left"/>
      <w:pPr>
        <w:ind w:left="39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454CAD6">
      <w:start w:val="1"/>
      <w:numFmt w:val="decimal"/>
      <w:lvlText w:val="%7"/>
      <w:lvlJc w:val="left"/>
      <w:pPr>
        <w:ind w:left="47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16EBA10">
      <w:start w:val="1"/>
      <w:numFmt w:val="lowerLetter"/>
      <w:lvlText w:val="%8"/>
      <w:lvlJc w:val="left"/>
      <w:pPr>
        <w:ind w:left="54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20A3FE">
      <w:start w:val="1"/>
      <w:numFmt w:val="lowerRoman"/>
      <w:lvlText w:val="%9"/>
      <w:lvlJc w:val="left"/>
      <w:pPr>
        <w:ind w:left="61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644493"/>
    <w:multiLevelType w:val="hybridMultilevel"/>
    <w:tmpl w:val="52366F2C"/>
    <w:lvl w:ilvl="0" w:tplc="B58E8E16">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A7795C"/>
    <w:multiLevelType w:val="hybridMultilevel"/>
    <w:tmpl w:val="38904CCE"/>
    <w:lvl w:ilvl="0" w:tplc="86C6F1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1F4C82"/>
    <w:multiLevelType w:val="hybridMultilevel"/>
    <w:tmpl w:val="E12039DC"/>
    <w:lvl w:ilvl="0" w:tplc="5B228AE4">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15:restartNumberingAfterBreak="0">
    <w:nsid w:val="1D6C5F2E"/>
    <w:multiLevelType w:val="multilevel"/>
    <w:tmpl w:val="A1BE7100"/>
    <w:lvl w:ilvl="0">
      <w:start w:val="1"/>
      <w:numFmt w:val="decimal"/>
      <w:lvlText w:val="%1."/>
      <w:lvlJc w:val="left"/>
      <w:pPr>
        <w:ind w:left="720" w:hanging="360"/>
      </w:pPr>
      <w:rPr>
        <w:rFonts w:hint="default"/>
      </w:rPr>
    </w:lvl>
    <w:lvl w:ilvl="1">
      <w:start w:val="5"/>
      <w:numFmt w:val="decimal"/>
      <w:isLgl/>
      <w:lvlText w:val="%1.%2"/>
      <w:lvlJc w:val="left"/>
      <w:pPr>
        <w:ind w:left="960" w:hanging="60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1FBB1353"/>
    <w:multiLevelType w:val="hybridMultilevel"/>
    <w:tmpl w:val="65306C78"/>
    <w:lvl w:ilvl="0" w:tplc="B8DEBC88">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 w15:restartNumberingAfterBreak="0">
    <w:nsid w:val="1FEF5172"/>
    <w:multiLevelType w:val="hybridMultilevel"/>
    <w:tmpl w:val="9F1EB568"/>
    <w:lvl w:ilvl="0" w:tplc="E85CB932">
      <w:start w:val="3"/>
      <w:numFmt w:val="decimalZero"/>
      <w:lvlText w:val="%1"/>
      <w:lvlJc w:val="left"/>
      <w:pPr>
        <w:ind w:left="4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4946963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1AC75F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15E0BC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D6019A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BAC61F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406F02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D523D7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F5A33F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38C7995"/>
    <w:multiLevelType w:val="hybridMultilevel"/>
    <w:tmpl w:val="060A25C8"/>
    <w:lvl w:ilvl="0" w:tplc="7A8CD53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B078A3"/>
    <w:multiLevelType w:val="hybridMultilevel"/>
    <w:tmpl w:val="9976C840"/>
    <w:lvl w:ilvl="0" w:tplc="F0AC750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93765F7"/>
    <w:multiLevelType w:val="hybridMultilevel"/>
    <w:tmpl w:val="CF5C9550"/>
    <w:lvl w:ilvl="0" w:tplc="F7C25964">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15:restartNumberingAfterBreak="0">
    <w:nsid w:val="2BA045C6"/>
    <w:multiLevelType w:val="hybridMultilevel"/>
    <w:tmpl w:val="A0C2BACC"/>
    <w:lvl w:ilvl="0" w:tplc="D31A1A48">
      <w:start w:val="1"/>
      <w:numFmt w:val="decimal"/>
      <w:lvlText w:val="%1)"/>
      <w:lvlJc w:val="left"/>
      <w:pPr>
        <w:ind w:left="1068" w:hanging="360"/>
      </w:pPr>
      <w:rPr>
        <w:rFonts w:hint="default"/>
        <w:b/>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3" w15:restartNumberingAfterBreak="0">
    <w:nsid w:val="347A710F"/>
    <w:multiLevelType w:val="hybridMultilevel"/>
    <w:tmpl w:val="4FE4472A"/>
    <w:lvl w:ilvl="0" w:tplc="7F22CF90">
      <w:start w:val="4"/>
      <w:numFmt w:val="bullet"/>
      <w:lvlText w:val="-"/>
      <w:lvlJc w:val="left"/>
      <w:pPr>
        <w:ind w:left="644" w:hanging="360"/>
      </w:pPr>
      <w:rPr>
        <w:rFonts w:ascii="Times New Roman" w:eastAsiaTheme="minorHAns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4" w15:restartNumberingAfterBreak="0">
    <w:nsid w:val="3C147CEB"/>
    <w:multiLevelType w:val="hybridMultilevel"/>
    <w:tmpl w:val="4FF24E9C"/>
    <w:lvl w:ilvl="0" w:tplc="D0CE1D38">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1634141"/>
    <w:multiLevelType w:val="hybridMultilevel"/>
    <w:tmpl w:val="F0047A9A"/>
    <w:lvl w:ilvl="0" w:tplc="012A1E7C">
      <w:start w:val="2"/>
      <w:numFmt w:val="lowerLetter"/>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48B51EA"/>
    <w:multiLevelType w:val="hybridMultilevel"/>
    <w:tmpl w:val="4FD0553A"/>
    <w:lvl w:ilvl="0" w:tplc="F0E2AA3C">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45C7398C"/>
    <w:multiLevelType w:val="hybridMultilevel"/>
    <w:tmpl w:val="6428E6E0"/>
    <w:lvl w:ilvl="0" w:tplc="C4C2CD5A">
      <w:start w:val="1"/>
      <w:numFmt w:val="lowerLetter"/>
      <w:lvlText w:val="%1)"/>
      <w:lvlJc w:val="left"/>
      <w:pPr>
        <w:ind w:left="644" w:hanging="360"/>
      </w:pPr>
      <w:rPr>
        <w:rFonts w:hint="default"/>
        <w:color w:val="000000" w:themeColor="text1"/>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480B14BF"/>
    <w:multiLevelType w:val="hybridMultilevel"/>
    <w:tmpl w:val="0C28C604"/>
    <w:lvl w:ilvl="0" w:tplc="9C8E710A">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C1C106D"/>
    <w:multiLevelType w:val="hybridMultilevel"/>
    <w:tmpl w:val="8CAE8AE0"/>
    <w:lvl w:ilvl="0" w:tplc="D21AE6A2">
      <w:start w:val="1"/>
      <w:numFmt w:val="lowerLetter"/>
      <w:lvlText w:val="%1)"/>
      <w:lvlJc w:val="left"/>
      <w:pPr>
        <w:ind w:left="1353"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4CDD0E52"/>
    <w:multiLevelType w:val="hybridMultilevel"/>
    <w:tmpl w:val="6F08E806"/>
    <w:lvl w:ilvl="0" w:tplc="94CA95C0">
      <w:numFmt w:val="bullet"/>
      <w:lvlText w:val="-"/>
      <w:lvlJc w:val="left"/>
      <w:pPr>
        <w:ind w:left="1428" w:hanging="360"/>
      </w:pPr>
      <w:rPr>
        <w:rFonts w:ascii="Times New Roman" w:eastAsia="Calibri" w:hAnsi="Times New Roman" w:cs="Times New Roman"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15:restartNumberingAfterBreak="0">
    <w:nsid w:val="4DBE380F"/>
    <w:multiLevelType w:val="hybridMultilevel"/>
    <w:tmpl w:val="4FEEED44"/>
    <w:lvl w:ilvl="0" w:tplc="FB8A9F52">
      <w:start w:val="1"/>
      <w:numFmt w:val="decimal"/>
      <w:lvlText w:val="%1."/>
      <w:lvlJc w:val="left"/>
      <w:pPr>
        <w:ind w:left="786" w:hanging="360"/>
      </w:pPr>
      <w:rPr>
        <w:rFonts w:eastAsiaTheme="minorEastAsia" w:hint="default"/>
        <w:i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2" w15:restartNumberingAfterBreak="0">
    <w:nsid w:val="50186983"/>
    <w:multiLevelType w:val="hybridMultilevel"/>
    <w:tmpl w:val="91E8FE50"/>
    <w:lvl w:ilvl="0" w:tplc="1F20799A">
      <w:start w:val="1"/>
      <w:numFmt w:val="decimal"/>
      <w:lvlText w:val="%1)"/>
      <w:lvlJc w:val="left"/>
      <w:pPr>
        <w:ind w:left="360" w:hanging="360"/>
      </w:pPr>
      <w:rPr>
        <w:rFonts w:hint="default"/>
        <w:b/>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23" w15:restartNumberingAfterBreak="0">
    <w:nsid w:val="553A60B8"/>
    <w:multiLevelType w:val="hybridMultilevel"/>
    <w:tmpl w:val="9B76A2B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3F5FA5"/>
    <w:multiLevelType w:val="hybridMultilevel"/>
    <w:tmpl w:val="A476BC2E"/>
    <w:lvl w:ilvl="0" w:tplc="0F90602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523368"/>
    <w:multiLevelType w:val="hybridMultilevel"/>
    <w:tmpl w:val="E1DC49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EF65406"/>
    <w:multiLevelType w:val="hybridMultilevel"/>
    <w:tmpl w:val="E48C6F1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2262289"/>
    <w:multiLevelType w:val="hybridMultilevel"/>
    <w:tmpl w:val="CEB0DED2"/>
    <w:lvl w:ilvl="0" w:tplc="A75024A2">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3655948"/>
    <w:multiLevelType w:val="hybridMultilevel"/>
    <w:tmpl w:val="062AE8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5C2105A"/>
    <w:multiLevelType w:val="hybridMultilevel"/>
    <w:tmpl w:val="DEB688BA"/>
    <w:lvl w:ilvl="0" w:tplc="D94CD98C">
      <w:start w:val="1"/>
      <w:numFmt w:val="lowerLetter"/>
      <w:lvlText w:val="%1)"/>
      <w:lvlJc w:val="left"/>
      <w:pPr>
        <w:ind w:left="644" w:hanging="360"/>
      </w:pPr>
      <w:rPr>
        <w:rFonts w:hint="default"/>
        <w:color w:val="000000" w:themeColor="text1"/>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6DB26AE"/>
    <w:multiLevelType w:val="hybridMultilevel"/>
    <w:tmpl w:val="12B056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BB30B4A"/>
    <w:multiLevelType w:val="hybridMultilevel"/>
    <w:tmpl w:val="E898ADC4"/>
    <w:lvl w:ilvl="0" w:tplc="F4C27F24">
      <w:start w:val="1"/>
      <w:numFmt w:val="decimal"/>
      <w:lvlText w:val="%1."/>
      <w:lvlJc w:val="left"/>
      <w:pPr>
        <w:ind w:left="644" w:hanging="360"/>
      </w:pPr>
      <w:rPr>
        <w:rFonts w:hint="default"/>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73C93539"/>
    <w:multiLevelType w:val="hybridMultilevel"/>
    <w:tmpl w:val="7D92F148"/>
    <w:lvl w:ilvl="0" w:tplc="9DEE1FAC">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55871EC"/>
    <w:multiLevelType w:val="hybridMultilevel"/>
    <w:tmpl w:val="C54A38C0"/>
    <w:lvl w:ilvl="0" w:tplc="B5B08DDC">
      <w:start w:val="2"/>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4" w15:restartNumberingAfterBreak="0">
    <w:nsid w:val="75715405"/>
    <w:multiLevelType w:val="hybridMultilevel"/>
    <w:tmpl w:val="2940F60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C837BDB"/>
    <w:multiLevelType w:val="hybridMultilevel"/>
    <w:tmpl w:val="69E4C83A"/>
    <w:lvl w:ilvl="0" w:tplc="6166E40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D601638"/>
    <w:multiLevelType w:val="hybridMultilevel"/>
    <w:tmpl w:val="67302EF2"/>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num w:numId="1">
    <w:abstractNumId w:val="6"/>
  </w:num>
  <w:num w:numId="2">
    <w:abstractNumId w:val="30"/>
  </w:num>
  <w:num w:numId="3">
    <w:abstractNumId w:val="3"/>
  </w:num>
  <w:num w:numId="4">
    <w:abstractNumId w:val="9"/>
  </w:num>
  <w:num w:numId="5">
    <w:abstractNumId w:val="35"/>
  </w:num>
  <w:num w:numId="6">
    <w:abstractNumId w:val="10"/>
  </w:num>
  <w:num w:numId="7">
    <w:abstractNumId w:val="32"/>
  </w:num>
  <w:num w:numId="8">
    <w:abstractNumId w:val="26"/>
  </w:num>
  <w:num w:numId="9">
    <w:abstractNumId w:val="23"/>
  </w:num>
  <w:num w:numId="10">
    <w:abstractNumId w:val="22"/>
  </w:num>
  <w:num w:numId="11">
    <w:abstractNumId w:val="4"/>
  </w:num>
  <w:num w:numId="12">
    <w:abstractNumId w:val="1"/>
  </w:num>
  <w:num w:numId="13">
    <w:abstractNumId w:val="24"/>
  </w:num>
  <w:num w:numId="14">
    <w:abstractNumId w:val="34"/>
  </w:num>
  <w:num w:numId="15">
    <w:abstractNumId w:val="28"/>
  </w:num>
  <w:num w:numId="16">
    <w:abstractNumId w:val="15"/>
  </w:num>
  <w:num w:numId="17">
    <w:abstractNumId w:val="18"/>
  </w:num>
  <w:num w:numId="18">
    <w:abstractNumId w:val="12"/>
  </w:num>
  <w:num w:numId="19">
    <w:abstractNumId w:val="20"/>
  </w:num>
  <w:num w:numId="20">
    <w:abstractNumId w:val="14"/>
  </w:num>
  <w:num w:numId="21">
    <w:abstractNumId w:val="27"/>
  </w:num>
  <w:num w:numId="22">
    <w:abstractNumId w:val="25"/>
  </w:num>
  <w:num w:numId="23">
    <w:abstractNumId w:val="29"/>
  </w:num>
  <w:num w:numId="24">
    <w:abstractNumId w:val="33"/>
  </w:num>
  <w:num w:numId="25">
    <w:abstractNumId w:val="19"/>
  </w:num>
  <w:num w:numId="26">
    <w:abstractNumId w:val="17"/>
  </w:num>
  <w:num w:numId="27">
    <w:abstractNumId w:val="21"/>
  </w:num>
  <w:num w:numId="28">
    <w:abstractNumId w:val="13"/>
  </w:num>
  <w:num w:numId="29">
    <w:abstractNumId w:val="31"/>
  </w:num>
  <w:num w:numId="30">
    <w:abstractNumId w:val="7"/>
  </w:num>
  <w:num w:numId="31">
    <w:abstractNumId w:val="16"/>
  </w:num>
  <w:num w:numId="32">
    <w:abstractNumId w:val="11"/>
  </w:num>
  <w:num w:numId="33">
    <w:abstractNumId w:val="0"/>
  </w:num>
  <w:num w:numId="34">
    <w:abstractNumId w:val="36"/>
  </w:num>
  <w:num w:numId="35">
    <w:abstractNumId w:val="5"/>
  </w:num>
  <w:num w:numId="36">
    <w:abstractNumId w:val="8"/>
  </w:num>
  <w:num w:numId="3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283"/>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0D2"/>
    <w:rsid w:val="00000047"/>
    <w:rsid w:val="00000DDA"/>
    <w:rsid w:val="0000119E"/>
    <w:rsid w:val="0000131D"/>
    <w:rsid w:val="00001899"/>
    <w:rsid w:val="000018A4"/>
    <w:rsid w:val="0000260B"/>
    <w:rsid w:val="000035BE"/>
    <w:rsid w:val="00003741"/>
    <w:rsid w:val="00003EC0"/>
    <w:rsid w:val="00004709"/>
    <w:rsid w:val="00004B52"/>
    <w:rsid w:val="00004D9E"/>
    <w:rsid w:val="000050F9"/>
    <w:rsid w:val="00005204"/>
    <w:rsid w:val="00005B0C"/>
    <w:rsid w:val="00005EA6"/>
    <w:rsid w:val="000060F8"/>
    <w:rsid w:val="000064A2"/>
    <w:rsid w:val="00006C71"/>
    <w:rsid w:val="00007045"/>
    <w:rsid w:val="000073EF"/>
    <w:rsid w:val="000078E1"/>
    <w:rsid w:val="00007B7A"/>
    <w:rsid w:val="00007DA1"/>
    <w:rsid w:val="00010602"/>
    <w:rsid w:val="000107B5"/>
    <w:rsid w:val="000124C9"/>
    <w:rsid w:val="00012512"/>
    <w:rsid w:val="00012957"/>
    <w:rsid w:val="00012A6D"/>
    <w:rsid w:val="00012E4E"/>
    <w:rsid w:val="00012E9D"/>
    <w:rsid w:val="00012F07"/>
    <w:rsid w:val="0001323E"/>
    <w:rsid w:val="000136B9"/>
    <w:rsid w:val="00013A95"/>
    <w:rsid w:val="00013B5F"/>
    <w:rsid w:val="00014099"/>
    <w:rsid w:val="00014C63"/>
    <w:rsid w:val="00014D6F"/>
    <w:rsid w:val="00014F38"/>
    <w:rsid w:val="000151EF"/>
    <w:rsid w:val="000157BA"/>
    <w:rsid w:val="00015A8E"/>
    <w:rsid w:val="00015C02"/>
    <w:rsid w:val="00015F26"/>
    <w:rsid w:val="00016699"/>
    <w:rsid w:val="00016FCA"/>
    <w:rsid w:val="00017087"/>
    <w:rsid w:val="000201CB"/>
    <w:rsid w:val="00021959"/>
    <w:rsid w:val="00021B0B"/>
    <w:rsid w:val="00021B7A"/>
    <w:rsid w:val="0002242C"/>
    <w:rsid w:val="00022680"/>
    <w:rsid w:val="00022E24"/>
    <w:rsid w:val="0002317B"/>
    <w:rsid w:val="0002335C"/>
    <w:rsid w:val="00023F17"/>
    <w:rsid w:val="00024ABD"/>
    <w:rsid w:val="00024B7A"/>
    <w:rsid w:val="00024D23"/>
    <w:rsid w:val="000250FD"/>
    <w:rsid w:val="0002528D"/>
    <w:rsid w:val="00025332"/>
    <w:rsid w:val="00025598"/>
    <w:rsid w:val="000257BE"/>
    <w:rsid w:val="00026006"/>
    <w:rsid w:val="000266E1"/>
    <w:rsid w:val="000271A8"/>
    <w:rsid w:val="00027720"/>
    <w:rsid w:val="00027BEC"/>
    <w:rsid w:val="00027F03"/>
    <w:rsid w:val="000307C5"/>
    <w:rsid w:val="0003086A"/>
    <w:rsid w:val="00030B9D"/>
    <w:rsid w:val="00031508"/>
    <w:rsid w:val="00032E6E"/>
    <w:rsid w:val="0003306C"/>
    <w:rsid w:val="00033AE9"/>
    <w:rsid w:val="00033B95"/>
    <w:rsid w:val="000347CC"/>
    <w:rsid w:val="000348E0"/>
    <w:rsid w:val="00034BAD"/>
    <w:rsid w:val="00034E69"/>
    <w:rsid w:val="00035118"/>
    <w:rsid w:val="00035B66"/>
    <w:rsid w:val="00036871"/>
    <w:rsid w:val="00037322"/>
    <w:rsid w:val="00037544"/>
    <w:rsid w:val="0003777F"/>
    <w:rsid w:val="000379B1"/>
    <w:rsid w:val="00037D44"/>
    <w:rsid w:val="00040195"/>
    <w:rsid w:val="00040CFD"/>
    <w:rsid w:val="00040FE2"/>
    <w:rsid w:val="00041A0C"/>
    <w:rsid w:val="000426DB"/>
    <w:rsid w:val="00042C21"/>
    <w:rsid w:val="00043349"/>
    <w:rsid w:val="00043A22"/>
    <w:rsid w:val="0004456F"/>
    <w:rsid w:val="00044B9B"/>
    <w:rsid w:val="00044F48"/>
    <w:rsid w:val="000466E9"/>
    <w:rsid w:val="00046DA2"/>
    <w:rsid w:val="00047392"/>
    <w:rsid w:val="000476C9"/>
    <w:rsid w:val="00047783"/>
    <w:rsid w:val="00047CF7"/>
    <w:rsid w:val="00050E5C"/>
    <w:rsid w:val="00052340"/>
    <w:rsid w:val="000524B6"/>
    <w:rsid w:val="00052F08"/>
    <w:rsid w:val="000531B1"/>
    <w:rsid w:val="00053730"/>
    <w:rsid w:val="00053956"/>
    <w:rsid w:val="00053CD3"/>
    <w:rsid w:val="00053E2C"/>
    <w:rsid w:val="00053F3A"/>
    <w:rsid w:val="00054102"/>
    <w:rsid w:val="00054CD9"/>
    <w:rsid w:val="000553B5"/>
    <w:rsid w:val="00055610"/>
    <w:rsid w:val="000559CF"/>
    <w:rsid w:val="00056E91"/>
    <w:rsid w:val="00057922"/>
    <w:rsid w:val="00057C46"/>
    <w:rsid w:val="00060967"/>
    <w:rsid w:val="00061083"/>
    <w:rsid w:val="0006145A"/>
    <w:rsid w:val="000619C8"/>
    <w:rsid w:val="00061B9D"/>
    <w:rsid w:val="00062108"/>
    <w:rsid w:val="00063070"/>
    <w:rsid w:val="0006332A"/>
    <w:rsid w:val="00063CA8"/>
    <w:rsid w:val="00063E8F"/>
    <w:rsid w:val="00064513"/>
    <w:rsid w:val="0006570B"/>
    <w:rsid w:val="000659C3"/>
    <w:rsid w:val="00065B12"/>
    <w:rsid w:val="00065E38"/>
    <w:rsid w:val="000665A6"/>
    <w:rsid w:val="0006662A"/>
    <w:rsid w:val="000667EA"/>
    <w:rsid w:val="00067017"/>
    <w:rsid w:val="0006706E"/>
    <w:rsid w:val="00067697"/>
    <w:rsid w:val="00067717"/>
    <w:rsid w:val="0006771A"/>
    <w:rsid w:val="00067E38"/>
    <w:rsid w:val="00070611"/>
    <w:rsid w:val="00070BFA"/>
    <w:rsid w:val="00071CF0"/>
    <w:rsid w:val="00071E7C"/>
    <w:rsid w:val="000722F8"/>
    <w:rsid w:val="000723E8"/>
    <w:rsid w:val="00072798"/>
    <w:rsid w:val="00072A21"/>
    <w:rsid w:val="00072B1F"/>
    <w:rsid w:val="00072FEB"/>
    <w:rsid w:val="00073272"/>
    <w:rsid w:val="00074351"/>
    <w:rsid w:val="000746C1"/>
    <w:rsid w:val="00074BC3"/>
    <w:rsid w:val="000758D0"/>
    <w:rsid w:val="000759BB"/>
    <w:rsid w:val="000760C6"/>
    <w:rsid w:val="00076146"/>
    <w:rsid w:val="0007614C"/>
    <w:rsid w:val="000761F8"/>
    <w:rsid w:val="00076A6E"/>
    <w:rsid w:val="00076D33"/>
    <w:rsid w:val="00076E56"/>
    <w:rsid w:val="00076FD5"/>
    <w:rsid w:val="00077241"/>
    <w:rsid w:val="00077923"/>
    <w:rsid w:val="00080022"/>
    <w:rsid w:val="00080ACD"/>
    <w:rsid w:val="00080DB5"/>
    <w:rsid w:val="00080FDA"/>
    <w:rsid w:val="00081062"/>
    <w:rsid w:val="000822BF"/>
    <w:rsid w:val="000826B2"/>
    <w:rsid w:val="000827FD"/>
    <w:rsid w:val="000830C8"/>
    <w:rsid w:val="00083F7B"/>
    <w:rsid w:val="00083FD1"/>
    <w:rsid w:val="0008438B"/>
    <w:rsid w:val="000849FC"/>
    <w:rsid w:val="00084F1D"/>
    <w:rsid w:val="00084FA4"/>
    <w:rsid w:val="00085819"/>
    <w:rsid w:val="0008688B"/>
    <w:rsid w:val="000869DD"/>
    <w:rsid w:val="00086C52"/>
    <w:rsid w:val="000871B5"/>
    <w:rsid w:val="000879B3"/>
    <w:rsid w:val="00087CB0"/>
    <w:rsid w:val="00087D5B"/>
    <w:rsid w:val="00090072"/>
    <w:rsid w:val="000916CD"/>
    <w:rsid w:val="00091A1A"/>
    <w:rsid w:val="00093051"/>
    <w:rsid w:val="0009340D"/>
    <w:rsid w:val="0009381F"/>
    <w:rsid w:val="00093A5F"/>
    <w:rsid w:val="00093F32"/>
    <w:rsid w:val="00093F68"/>
    <w:rsid w:val="000947C8"/>
    <w:rsid w:val="00094BDA"/>
    <w:rsid w:val="00094DF0"/>
    <w:rsid w:val="0009515E"/>
    <w:rsid w:val="00095426"/>
    <w:rsid w:val="000967F7"/>
    <w:rsid w:val="000976A4"/>
    <w:rsid w:val="0009770E"/>
    <w:rsid w:val="000A004F"/>
    <w:rsid w:val="000A0270"/>
    <w:rsid w:val="000A07F7"/>
    <w:rsid w:val="000A0A08"/>
    <w:rsid w:val="000A0A0E"/>
    <w:rsid w:val="000A1B3F"/>
    <w:rsid w:val="000A1C2C"/>
    <w:rsid w:val="000A1CA4"/>
    <w:rsid w:val="000A22F6"/>
    <w:rsid w:val="000A2318"/>
    <w:rsid w:val="000A262F"/>
    <w:rsid w:val="000A4CCA"/>
    <w:rsid w:val="000A65B2"/>
    <w:rsid w:val="000A65EC"/>
    <w:rsid w:val="000A69F3"/>
    <w:rsid w:val="000A6E00"/>
    <w:rsid w:val="000A7685"/>
    <w:rsid w:val="000A7B8D"/>
    <w:rsid w:val="000B059F"/>
    <w:rsid w:val="000B10C6"/>
    <w:rsid w:val="000B1732"/>
    <w:rsid w:val="000B17AB"/>
    <w:rsid w:val="000B1C50"/>
    <w:rsid w:val="000B2552"/>
    <w:rsid w:val="000B27DB"/>
    <w:rsid w:val="000B2DA2"/>
    <w:rsid w:val="000B30BB"/>
    <w:rsid w:val="000B3A5E"/>
    <w:rsid w:val="000B3FCE"/>
    <w:rsid w:val="000B402F"/>
    <w:rsid w:val="000B414A"/>
    <w:rsid w:val="000B4210"/>
    <w:rsid w:val="000B45F3"/>
    <w:rsid w:val="000B4619"/>
    <w:rsid w:val="000B473E"/>
    <w:rsid w:val="000B4968"/>
    <w:rsid w:val="000B4F43"/>
    <w:rsid w:val="000B545E"/>
    <w:rsid w:val="000B5A06"/>
    <w:rsid w:val="000B5B3C"/>
    <w:rsid w:val="000B5D2F"/>
    <w:rsid w:val="000B6A72"/>
    <w:rsid w:val="000B6A74"/>
    <w:rsid w:val="000B6F76"/>
    <w:rsid w:val="000B7271"/>
    <w:rsid w:val="000B7336"/>
    <w:rsid w:val="000B7C32"/>
    <w:rsid w:val="000B7EE8"/>
    <w:rsid w:val="000C04EB"/>
    <w:rsid w:val="000C09DA"/>
    <w:rsid w:val="000C1838"/>
    <w:rsid w:val="000C18CC"/>
    <w:rsid w:val="000C1D26"/>
    <w:rsid w:val="000C1E64"/>
    <w:rsid w:val="000C2842"/>
    <w:rsid w:val="000C28EA"/>
    <w:rsid w:val="000C2B79"/>
    <w:rsid w:val="000C2FED"/>
    <w:rsid w:val="000C3349"/>
    <w:rsid w:val="000C3439"/>
    <w:rsid w:val="000C3774"/>
    <w:rsid w:val="000C3DF2"/>
    <w:rsid w:val="000C3DF5"/>
    <w:rsid w:val="000C3F59"/>
    <w:rsid w:val="000C4431"/>
    <w:rsid w:val="000C44FD"/>
    <w:rsid w:val="000C490A"/>
    <w:rsid w:val="000C49BC"/>
    <w:rsid w:val="000C50E2"/>
    <w:rsid w:val="000C520C"/>
    <w:rsid w:val="000C54EC"/>
    <w:rsid w:val="000C564C"/>
    <w:rsid w:val="000C56F7"/>
    <w:rsid w:val="000C5901"/>
    <w:rsid w:val="000C6062"/>
    <w:rsid w:val="000C6095"/>
    <w:rsid w:val="000C6549"/>
    <w:rsid w:val="000C6584"/>
    <w:rsid w:val="000D038C"/>
    <w:rsid w:val="000D04B2"/>
    <w:rsid w:val="000D0C01"/>
    <w:rsid w:val="000D155C"/>
    <w:rsid w:val="000D174B"/>
    <w:rsid w:val="000D20D5"/>
    <w:rsid w:val="000D271D"/>
    <w:rsid w:val="000D2996"/>
    <w:rsid w:val="000D357A"/>
    <w:rsid w:val="000D380B"/>
    <w:rsid w:val="000D3A06"/>
    <w:rsid w:val="000D4686"/>
    <w:rsid w:val="000D4B61"/>
    <w:rsid w:val="000D4E12"/>
    <w:rsid w:val="000D4EA6"/>
    <w:rsid w:val="000D4F6C"/>
    <w:rsid w:val="000D515B"/>
    <w:rsid w:val="000D5296"/>
    <w:rsid w:val="000D5428"/>
    <w:rsid w:val="000D54AA"/>
    <w:rsid w:val="000D58D1"/>
    <w:rsid w:val="000D5AC3"/>
    <w:rsid w:val="000D5AD6"/>
    <w:rsid w:val="000D5E1C"/>
    <w:rsid w:val="000D6002"/>
    <w:rsid w:val="000D632C"/>
    <w:rsid w:val="000D6443"/>
    <w:rsid w:val="000D6E1E"/>
    <w:rsid w:val="000D7122"/>
    <w:rsid w:val="000D71AC"/>
    <w:rsid w:val="000D7313"/>
    <w:rsid w:val="000D7FA9"/>
    <w:rsid w:val="000E113D"/>
    <w:rsid w:val="000E131E"/>
    <w:rsid w:val="000E144C"/>
    <w:rsid w:val="000E14C4"/>
    <w:rsid w:val="000E2326"/>
    <w:rsid w:val="000E263A"/>
    <w:rsid w:val="000E2AF4"/>
    <w:rsid w:val="000E2CB2"/>
    <w:rsid w:val="000E2CEF"/>
    <w:rsid w:val="000E35B8"/>
    <w:rsid w:val="000E3E74"/>
    <w:rsid w:val="000E45ED"/>
    <w:rsid w:val="000E501A"/>
    <w:rsid w:val="000E517E"/>
    <w:rsid w:val="000E54CA"/>
    <w:rsid w:val="000E5BC1"/>
    <w:rsid w:val="000E614F"/>
    <w:rsid w:val="000E62A5"/>
    <w:rsid w:val="000E63F8"/>
    <w:rsid w:val="000E6946"/>
    <w:rsid w:val="000E6E46"/>
    <w:rsid w:val="000E6F36"/>
    <w:rsid w:val="000E6F65"/>
    <w:rsid w:val="000E72AF"/>
    <w:rsid w:val="000F0360"/>
    <w:rsid w:val="000F0A1D"/>
    <w:rsid w:val="000F0EA4"/>
    <w:rsid w:val="000F1DC1"/>
    <w:rsid w:val="000F2607"/>
    <w:rsid w:val="000F2C14"/>
    <w:rsid w:val="000F2FB3"/>
    <w:rsid w:val="000F331A"/>
    <w:rsid w:val="000F33BB"/>
    <w:rsid w:val="000F36BB"/>
    <w:rsid w:val="000F3AEF"/>
    <w:rsid w:val="000F3B6B"/>
    <w:rsid w:val="000F3CF6"/>
    <w:rsid w:val="000F3EF1"/>
    <w:rsid w:val="000F3F53"/>
    <w:rsid w:val="000F4D2D"/>
    <w:rsid w:val="000F4F86"/>
    <w:rsid w:val="000F6053"/>
    <w:rsid w:val="000F60AE"/>
    <w:rsid w:val="000F60FC"/>
    <w:rsid w:val="000F6791"/>
    <w:rsid w:val="000F6923"/>
    <w:rsid w:val="000F70ED"/>
    <w:rsid w:val="000F75FB"/>
    <w:rsid w:val="000F7DAC"/>
    <w:rsid w:val="001004EF"/>
    <w:rsid w:val="0010080D"/>
    <w:rsid w:val="00101253"/>
    <w:rsid w:val="00101D8F"/>
    <w:rsid w:val="001022DE"/>
    <w:rsid w:val="00103327"/>
    <w:rsid w:val="00103686"/>
    <w:rsid w:val="00103997"/>
    <w:rsid w:val="00103BA0"/>
    <w:rsid w:val="00104ACC"/>
    <w:rsid w:val="00104AF3"/>
    <w:rsid w:val="00104BEC"/>
    <w:rsid w:val="00104CAA"/>
    <w:rsid w:val="00105628"/>
    <w:rsid w:val="00105993"/>
    <w:rsid w:val="00105AD7"/>
    <w:rsid w:val="00105F2A"/>
    <w:rsid w:val="00105F4D"/>
    <w:rsid w:val="00106AD2"/>
    <w:rsid w:val="00107272"/>
    <w:rsid w:val="00107588"/>
    <w:rsid w:val="00107935"/>
    <w:rsid w:val="001109BE"/>
    <w:rsid w:val="00111A61"/>
    <w:rsid w:val="001129FE"/>
    <w:rsid w:val="00112C77"/>
    <w:rsid w:val="001137C3"/>
    <w:rsid w:val="00114416"/>
    <w:rsid w:val="00115CA5"/>
    <w:rsid w:val="00116137"/>
    <w:rsid w:val="001162BC"/>
    <w:rsid w:val="00116C17"/>
    <w:rsid w:val="00117105"/>
    <w:rsid w:val="00120056"/>
    <w:rsid w:val="001206F8"/>
    <w:rsid w:val="0012082D"/>
    <w:rsid w:val="0012099D"/>
    <w:rsid w:val="00121483"/>
    <w:rsid w:val="001214BC"/>
    <w:rsid w:val="001219F4"/>
    <w:rsid w:val="00122298"/>
    <w:rsid w:val="00123063"/>
    <w:rsid w:val="001239E1"/>
    <w:rsid w:val="00124245"/>
    <w:rsid w:val="00124A9E"/>
    <w:rsid w:val="00124AE1"/>
    <w:rsid w:val="00126037"/>
    <w:rsid w:val="00126AC0"/>
    <w:rsid w:val="00126CAE"/>
    <w:rsid w:val="00126DE2"/>
    <w:rsid w:val="00130115"/>
    <w:rsid w:val="001301C9"/>
    <w:rsid w:val="001302F8"/>
    <w:rsid w:val="00131058"/>
    <w:rsid w:val="00131530"/>
    <w:rsid w:val="0013169F"/>
    <w:rsid w:val="00132D88"/>
    <w:rsid w:val="00132EE4"/>
    <w:rsid w:val="0013380C"/>
    <w:rsid w:val="00133FB7"/>
    <w:rsid w:val="001345D3"/>
    <w:rsid w:val="00134B2D"/>
    <w:rsid w:val="0013514D"/>
    <w:rsid w:val="001353D9"/>
    <w:rsid w:val="00135808"/>
    <w:rsid w:val="00135D80"/>
    <w:rsid w:val="00136410"/>
    <w:rsid w:val="00137E98"/>
    <w:rsid w:val="001401A7"/>
    <w:rsid w:val="00140775"/>
    <w:rsid w:val="00141366"/>
    <w:rsid w:val="00141B48"/>
    <w:rsid w:val="00142284"/>
    <w:rsid w:val="00142324"/>
    <w:rsid w:val="001428F2"/>
    <w:rsid w:val="001432AA"/>
    <w:rsid w:val="00143793"/>
    <w:rsid w:val="0014424C"/>
    <w:rsid w:val="001447DF"/>
    <w:rsid w:val="00144B25"/>
    <w:rsid w:val="00144CDA"/>
    <w:rsid w:val="00145459"/>
    <w:rsid w:val="0014549A"/>
    <w:rsid w:val="001464B8"/>
    <w:rsid w:val="00146869"/>
    <w:rsid w:val="00146A90"/>
    <w:rsid w:val="00146B79"/>
    <w:rsid w:val="00146CA6"/>
    <w:rsid w:val="001473C2"/>
    <w:rsid w:val="00147602"/>
    <w:rsid w:val="00147A6D"/>
    <w:rsid w:val="00147B7E"/>
    <w:rsid w:val="00147D3E"/>
    <w:rsid w:val="001508AF"/>
    <w:rsid w:val="00151903"/>
    <w:rsid w:val="00151E47"/>
    <w:rsid w:val="00152526"/>
    <w:rsid w:val="00152BE6"/>
    <w:rsid w:val="00153423"/>
    <w:rsid w:val="001534B6"/>
    <w:rsid w:val="001538C6"/>
    <w:rsid w:val="00154466"/>
    <w:rsid w:val="001545B6"/>
    <w:rsid w:val="0015473B"/>
    <w:rsid w:val="0015485D"/>
    <w:rsid w:val="0015500D"/>
    <w:rsid w:val="00155B98"/>
    <w:rsid w:val="00156AB2"/>
    <w:rsid w:val="00156F80"/>
    <w:rsid w:val="00157B72"/>
    <w:rsid w:val="00157BD9"/>
    <w:rsid w:val="001616EA"/>
    <w:rsid w:val="00161BC7"/>
    <w:rsid w:val="00161E25"/>
    <w:rsid w:val="00161E3D"/>
    <w:rsid w:val="001626F9"/>
    <w:rsid w:val="00162C5D"/>
    <w:rsid w:val="00162CDC"/>
    <w:rsid w:val="00162F8B"/>
    <w:rsid w:val="0016323D"/>
    <w:rsid w:val="00163408"/>
    <w:rsid w:val="001636E2"/>
    <w:rsid w:val="0016388C"/>
    <w:rsid w:val="00164946"/>
    <w:rsid w:val="00164C1C"/>
    <w:rsid w:val="00164D9D"/>
    <w:rsid w:val="001654F5"/>
    <w:rsid w:val="00165728"/>
    <w:rsid w:val="001668C2"/>
    <w:rsid w:val="00166D28"/>
    <w:rsid w:val="00166EAE"/>
    <w:rsid w:val="001702DD"/>
    <w:rsid w:val="00170853"/>
    <w:rsid w:val="001709C6"/>
    <w:rsid w:val="00170EDB"/>
    <w:rsid w:val="00171069"/>
    <w:rsid w:val="0017119A"/>
    <w:rsid w:val="00171232"/>
    <w:rsid w:val="00172499"/>
    <w:rsid w:val="00172619"/>
    <w:rsid w:val="00172898"/>
    <w:rsid w:val="00172945"/>
    <w:rsid w:val="00173054"/>
    <w:rsid w:val="00174A71"/>
    <w:rsid w:val="00174D15"/>
    <w:rsid w:val="001753BE"/>
    <w:rsid w:val="00175E08"/>
    <w:rsid w:val="00176155"/>
    <w:rsid w:val="0017655A"/>
    <w:rsid w:val="00176713"/>
    <w:rsid w:val="00176B71"/>
    <w:rsid w:val="00176BEA"/>
    <w:rsid w:val="00176CB3"/>
    <w:rsid w:val="001779EF"/>
    <w:rsid w:val="00177A73"/>
    <w:rsid w:val="00177BB3"/>
    <w:rsid w:val="00180F1F"/>
    <w:rsid w:val="00180F8C"/>
    <w:rsid w:val="00182168"/>
    <w:rsid w:val="00182509"/>
    <w:rsid w:val="001829E3"/>
    <w:rsid w:val="00182B4E"/>
    <w:rsid w:val="00182F3B"/>
    <w:rsid w:val="00183126"/>
    <w:rsid w:val="0018356B"/>
    <w:rsid w:val="00185D17"/>
    <w:rsid w:val="00185E2D"/>
    <w:rsid w:val="00185E79"/>
    <w:rsid w:val="00185EA2"/>
    <w:rsid w:val="00186455"/>
    <w:rsid w:val="00186C64"/>
    <w:rsid w:val="00186F30"/>
    <w:rsid w:val="0018740F"/>
    <w:rsid w:val="00187470"/>
    <w:rsid w:val="001908E8"/>
    <w:rsid w:val="00190E19"/>
    <w:rsid w:val="00191513"/>
    <w:rsid w:val="0019286D"/>
    <w:rsid w:val="00193090"/>
    <w:rsid w:val="0019311D"/>
    <w:rsid w:val="00195644"/>
    <w:rsid w:val="00195BA6"/>
    <w:rsid w:val="001965D2"/>
    <w:rsid w:val="00196860"/>
    <w:rsid w:val="00196870"/>
    <w:rsid w:val="00196A91"/>
    <w:rsid w:val="00196B0E"/>
    <w:rsid w:val="00196CA2"/>
    <w:rsid w:val="00197380"/>
    <w:rsid w:val="001973CA"/>
    <w:rsid w:val="001976AB"/>
    <w:rsid w:val="001A0A39"/>
    <w:rsid w:val="001A294B"/>
    <w:rsid w:val="001A2E8A"/>
    <w:rsid w:val="001A3349"/>
    <w:rsid w:val="001A35A7"/>
    <w:rsid w:val="001A3D26"/>
    <w:rsid w:val="001A4069"/>
    <w:rsid w:val="001A4201"/>
    <w:rsid w:val="001A5598"/>
    <w:rsid w:val="001A581A"/>
    <w:rsid w:val="001A60F6"/>
    <w:rsid w:val="001A6EDB"/>
    <w:rsid w:val="001A6EFC"/>
    <w:rsid w:val="001A714E"/>
    <w:rsid w:val="001B02F1"/>
    <w:rsid w:val="001B0BAF"/>
    <w:rsid w:val="001B10E3"/>
    <w:rsid w:val="001B1C2E"/>
    <w:rsid w:val="001B1F32"/>
    <w:rsid w:val="001B1FF1"/>
    <w:rsid w:val="001B21B2"/>
    <w:rsid w:val="001B2279"/>
    <w:rsid w:val="001B2472"/>
    <w:rsid w:val="001B29A9"/>
    <w:rsid w:val="001B361F"/>
    <w:rsid w:val="001B3719"/>
    <w:rsid w:val="001B3C82"/>
    <w:rsid w:val="001B3F43"/>
    <w:rsid w:val="001B46A4"/>
    <w:rsid w:val="001B4BE5"/>
    <w:rsid w:val="001B517F"/>
    <w:rsid w:val="001B51F1"/>
    <w:rsid w:val="001B5568"/>
    <w:rsid w:val="001B5784"/>
    <w:rsid w:val="001B6515"/>
    <w:rsid w:val="001B734B"/>
    <w:rsid w:val="001B7647"/>
    <w:rsid w:val="001B7731"/>
    <w:rsid w:val="001B791C"/>
    <w:rsid w:val="001C07D7"/>
    <w:rsid w:val="001C10FE"/>
    <w:rsid w:val="001C15C9"/>
    <w:rsid w:val="001C1677"/>
    <w:rsid w:val="001C1776"/>
    <w:rsid w:val="001C1C7C"/>
    <w:rsid w:val="001C27A0"/>
    <w:rsid w:val="001C2A75"/>
    <w:rsid w:val="001C2B52"/>
    <w:rsid w:val="001C2BD0"/>
    <w:rsid w:val="001C2C1E"/>
    <w:rsid w:val="001C49A1"/>
    <w:rsid w:val="001C5393"/>
    <w:rsid w:val="001C56E4"/>
    <w:rsid w:val="001C60FB"/>
    <w:rsid w:val="001C7234"/>
    <w:rsid w:val="001C75E1"/>
    <w:rsid w:val="001C7BB1"/>
    <w:rsid w:val="001C7E1F"/>
    <w:rsid w:val="001C7FBC"/>
    <w:rsid w:val="001D07BE"/>
    <w:rsid w:val="001D097C"/>
    <w:rsid w:val="001D09A9"/>
    <w:rsid w:val="001D0E8A"/>
    <w:rsid w:val="001D0F50"/>
    <w:rsid w:val="001D100C"/>
    <w:rsid w:val="001D14B2"/>
    <w:rsid w:val="001D177D"/>
    <w:rsid w:val="001D1DD0"/>
    <w:rsid w:val="001D1F4C"/>
    <w:rsid w:val="001D25F5"/>
    <w:rsid w:val="001D2843"/>
    <w:rsid w:val="001D3A6B"/>
    <w:rsid w:val="001D40A4"/>
    <w:rsid w:val="001D41F9"/>
    <w:rsid w:val="001D42F1"/>
    <w:rsid w:val="001D456C"/>
    <w:rsid w:val="001D47A1"/>
    <w:rsid w:val="001D48F6"/>
    <w:rsid w:val="001D5164"/>
    <w:rsid w:val="001D593C"/>
    <w:rsid w:val="001D5B92"/>
    <w:rsid w:val="001D5C5F"/>
    <w:rsid w:val="001D6B9E"/>
    <w:rsid w:val="001D6CA3"/>
    <w:rsid w:val="001D7324"/>
    <w:rsid w:val="001D76B9"/>
    <w:rsid w:val="001D774E"/>
    <w:rsid w:val="001E00C5"/>
    <w:rsid w:val="001E0C58"/>
    <w:rsid w:val="001E11C9"/>
    <w:rsid w:val="001E1331"/>
    <w:rsid w:val="001E13E8"/>
    <w:rsid w:val="001E1502"/>
    <w:rsid w:val="001E188E"/>
    <w:rsid w:val="001E1B67"/>
    <w:rsid w:val="001E2389"/>
    <w:rsid w:val="001E23F0"/>
    <w:rsid w:val="001E25A5"/>
    <w:rsid w:val="001E2A7B"/>
    <w:rsid w:val="001E2CB3"/>
    <w:rsid w:val="001E2E8D"/>
    <w:rsid w:val="001E318A"/>
    <w:rsid w:val="001E3247"/>
    <w:rsid w:val="001E34E4"/>
    <w:rsid w:val="001E3506"/>
    <w:rsid w:val="001E358E"/>
    <w:rsid w:val="001E56FC"/>
    <w:rsid w:val="001E6B6D"/>
    <w:rsid w:val="001E6EAC"/>
    <w:rsid w:val="001E71E3"/>
    <w:rsid w:val="001E7C7A"/>
    <w:rsid w:val="001F05C2"/>
    <w:rsid w:val="001F084C"/>
    <w:rsid w:val="001F0B32"/>
    <w:rsid w:val="001F0D81"/>
    <w:rsid w:val="001F0F7D"/>
    <w:rsid w:val="001F0FD1"/>
    <w:rsid w:val="001F1170"/>
    <w:rsid w:val="001F221C"/>
    <w:rsid w:val="001F2373"/>
    <w:rsid w:val="001F27CC"/>
    <w:rsid w:val="001F38B2"/>
    <w:rsid w:val="001F3AA2"/>
    <w:rsid w:val="001F5634"/>
    <w:rsid w:val="001F5A2C"/>
    <w:rsid w:val="001F5A3F"/>
    <w:rsid w:val="001F664D"/>
    <w:rsid w:val="001F672E"/>
    <w:rsid w:val="001F6795"/>
    <w:rsid w:val="001F6E95"/>
    <w:rsid w:val="001F72AA"/>
    <w:rsid w:val="001F7AB3"/>
    <w:rsid w:val="001F7F17"/>
    <w:rsid w:val="001F7F9D"/>
    <w:rsid w:val="002004E3"/>
    <w:rsid w:val="002008B9"/>
    <w:rsid w:val="002010C0"/>
    <w:rsid w:val="002011A2"/>
    <w:rsid w:val="002017D3"/>
    <w:rsid w:val="0020183F"/>
    <w:rsid w:val="00201AFF"/>
    <w:rsid w:val="002022FC"/>
    <w:rsid w:val="00202A00"/>
    <w:rsid w:val="00202E97"/>
    <w:rsid w:val="002030C7"/>
    <w:rsid w:val="00203BA5"/>
    <w:rsid w:val="002043FB"/>
    <w:rsid w:val="00204434"/>
    <w:rsid w:val="0020467C"/>
    <w:rsid w:val="00204FA3"/>
    <w:rsid w:val="00205CAC"/>
    <w:rsid w:val="0020633C"/>
    <w:rsid w:val="00206D13"/>
    <w:rsid w:val="00206DE0"/>
    <w:rsid w:val="002072ED"/>
    <w:rsid w:val="00207D6F"/>
    <w:rsid w:val="00207EE6"/>
    <w:rsid w:val="0021026A"/>
    <w:rsid w:val="00211415"/>
    <w:rsid w:val="0021199B"/>
    <w:rsid w:val="002126BE"/>
    <w:rsid w:val="0021378C"/>
    <w:rsid w:val="00214363"/>
    <w:rsid w:val="00214BE8"/>
    <w:rsid w:val="00215685"/>
    <w:rsid w:val="00215B57"/>
    <w:rsid w:val="00215BCF"/>
    <w:rsid w:val="00215F9F"/>
    <w:rsid w:val="00216245"/>
    <w:rsid w:val="0021696F"/>
    <w:rsid w:val="00216AE7"/>
    <w:rsid w:val="002171B0"/>
    <w:rsid w:val="00217C23"/>
    <w:rsid w:val="00217E42"/>
    <w:rsid w:val="00220102"/>
    <w:rsid w:val="00220115"/>
    <w:rsid w:val="002201AB"/>
    <w:rsid w:val="002210C8"/>
    <w:rsid w:val="0022115A"/>
    <w:rsid w:val="002218C5"/>
    <w:rsid w:val="00221933"/>
    <w:rsid w:val="00221A6C"/>
    <w:rsid w:val="00221DB4"/>
    <w:rsid w:val="002220B9"/>
    <w:rsid w:val="00222B12"/>
    <w:rsid w:val="00222CFF"/>
    <w:rsid w:val="00222E86"/>
    <w:rsid w:val="0022311E"/>
    <w:rsid w:val="00224176"/>
    <w:rsid w:val="002243C7"/>
    <w:rsid w:val="00224640"/>
    <w:rsid w:val="00224E12"/>
    <w:rsid w:val="00225645"/>
    <w:rsid w:val="0022564D"/>
    <w:rsid w:val="00225BEC"/>
    <w:rsid w:val="00225F60"/>
    <w:rsid w:val="002263CF"/>
    <w:rsid w:val="002268C5"/>
    <w:rsid w:val="00226C38"/>
    <w:rsid w:val="002279F5"/>
    <w:rsid w:val="002301C3"/>
    <w:rsid w:val="00230498"/>
    <w:rsid w:val="002308A8"/>
    <w:rsid w:val="002310CD"/>
    <w:rsid w:val="00231244"/>
    <w:rsid w:val="002318B5"/>
    <w:rsid w:val="002319CA"/>
    <w:rsid w:val="0023227D"/>
    <w:rsid w:val="0023334D"/>
    <w:rsid w:val="0023445E"/>
    <w:rsid w:val="0023473F"/>
    <w:rsid w:val="002354C5"/>
    <w:rsid w:val="002359FF"/>
    <w:rsid w:val="00235E0B"/>
    <w:rsid w:val="00235F94"/>
    <w:rsid w:val="00236649"/>
    <w:rsid w:val="00236989"/>
    <w:rsid w:val="00236EF7"/>
    <w:rsid w:val="00237769"/>
    <w:rsid w:val="00237FC3"/>
    <w:rsid w:val="00240408"/>
    <w:rsid w:val="00240870"/>
    <w:rsid w:val="00242D27"/>
    <w:rsid w:val="00242D79"/>
    <w:rsid w:val="00242FFB"/>
    <w:rsid w:val="0024414F"/>
    <w:rsid w:val="002441C2"/>
    <w:rsid w:val="00244E7B"/>
    <w:rsid w:val="002454EA"/>
    <w:rsid w:val="002467D5"/>
    <w:rsid w:val="00246829"/>
    <w:rsid w:val="00246B63"/>
    <w:rsid w:val="00246F21"/>
    <w:rsid w:val="002477AA"/>
    <w:rsid w:val="00247E6A"/>
    <w:rsid w:val="00250A27"/>
    <w:rsid w:val="00250EF6"/>
    <w:rsid w:val="0025170D"/>
    <w:rsid w:val="002517D8"/>
    <w:rsid w:val="0025192E"/>
    <w:rsid w:val="00251E16"/>
    <w:rsid w:val="00251EA5"/>
    <w:rsid w:val="00252893"/>
    <w:rsid w:val="00252D24"/>
    <w:rsid w:val="00253792"/>
    <w:rsid w:val="00253C0D"/>
    <w:rsid w:val="00254267"/>
    <w:rsid w:val="0025487D"/>
    <w:rsid w:val="00254AB0"/>
    <w:rsid w:val="00255D49"/>
    <w:rsid w:val="00255E81"/>
    <w:rsid w:val="002570C5"/>
    <w:rsid w:val="0025716A"/>
    <w:rsid w:val="00260410"/>
    <w:rsid w:val="002604A8"/>
    <w:rsid w:val="00260894"/>
    <w:rsid w:val="0026201B"/>
    <w:rsid w:val="0026227F"/>
    <w:rsid w:val="00262703"/>
    <w:rsid w:val="00262A86"/>
    <w:rsid w:val="0026326E"/>
    <w:rsid w:val="00263511"/>
    <w:rsid w:val="0026383F"/>
    <w:rsid w:val="00263F6C"/>
    <w:rsid w:val="002651EA"/>
    <w:rsid w:val="00265CDC"/>
    <w:rsid w:val="002666CF"/>
    <w:rsid w:val="00266AC4"/>
    <w:rsid w:val="00266E76"/>
    <w:rsid w:val="002673C0"/>
    <w:rsid w:val="00267A74"/>
    <w:rsid w:val="00267E48"/>
    <w:rsid w:val="00270907"/>
    <w:rsid w:val="00271D9E"/>
    <w:rsid w:val="00271E1A"/>
    <w:rsid w:val="00271E6C"/>
    <w:rsid w:val="002723E2"/>
    <w:rsid w:val="002727C7"/>
    <w:rsid w:val="002731E9"/>
    <w:rsid w:val="00275169"/>
    <w:rsid w:val="002757CA"/>
    <w:rsid w:val="00275C77"/>
    <w:rsid w:val="002769C3"/>
    <w:rsid w:val="00277D21"/>
    <w:rsid w:val="00280667"/>
    <w:rsid w:val="00280B63"/>
    <w:rsid w:val="0028124A"/>
    <w:rsid w:val="002813A1"/>
    <w:rsid w:val="002814A5"/>
    <w:rsid w:val="00281531"/>
    <w:rsid w:val="00281A9B"/>
    <w:rsid w:val="00281C46"/>
    <w:rsid w:val="00281E97"/>
    <w:rsid w:val="0028212D"/>
    <w:rsid w:val="0028233C"/>
    <w:rsid w:val="00282408"/>
    <w:rsid w:val="0028294D"/>
    <w:rsid w:val="00282C23"/>
    <w:rsid w:val="00283720"/>
    <w:rsid w:val="00284AA8"/>
    <w:rsid w:val="00284D70"/>
    <w:rsid w:val="00284D7E"/>
    <w:rsid w:val="00284EB8"/>
    <w:rsid w:val="00285493"/>
    <w:rsid w:val="002854B1"/>
    <w:rsid w:val="00285931"/>
    <w:rsid w:val="002868BD"/>
    <w:rsid w:val="00286C72"/>
    <w:rsid w:val="00286CA2"/>
    <w:rsid w:val="00286F48"/>
    <w:rsid w:val="00286FD8"/>
    <w:rsid w:val="002870DA"/>
    <w:rsid w:val="00287205"/>
    <w:rsid w:val="0028787A"/>
    <w:rsid w:val="002904EF"/>
    <w:rsid w:val="0029060F"/>
    <w:rsid w:val="00290CE6"/>
    <w:rsid w:val="00290D74"/>
    <w:rsid w:val="0029119F"/>
    <w:rsid w:val="00291239"/>
    <w:rsid w:val="00291ABC"/>
    <w:rsid w:val="00291C7C"/>
    <w:rsid w:val="00292565"/>
    <w:rsid w:val="00292A4D"/>
    <w:rsid w:val="0029316E"/>
    <w:rsid w:val="0029390F"/>
    <w:rsid w:val="002941F8"/>
    <w:rsid w:val="002945BB"/>
    <w:rsid w:val="00294A4F"/>
    <w:rsid w:val="002958B4"/>
    <w:rsid w:val="002961A6"/>
    <w:rsid w:val="002962F1"/>
    <w:rsid w:val="0029646E"/>
    <w:rsid w:val="00296923"/>
    <w:rsid w:val="00296CBB"/>
    <w:rsid w:val="002A01B2"/>
    <w:rsid w:val="002A072E"/>
    <w:rsid w:val="002A0EE1"/>
    <w:rsid w:val="002A2BE9"/>
    <w:rsid w:val="002A4059"/>
    <w:rsid w:val="002A4C12"/>
    <w:rsid w:val="002A4C15"/>
    <w:rsid w:val="002A4D51"/>
    <w:rsid w:val="002A4FFA"/>
    <w:rsid w:val="002A5414"/>
    <w:rsid w:val="002A552B"/>
    <w:rsid w:val="002A56FE"/>
    <w:rsid w:val="002A57D7"/>
    <w:rsid w:val="002A5A1B"/>
    <w:rsid w:val="002A662A"/>
    <w:rsid w:val="002A6FEB"/>
    <w:rsid w:val="002A74C9"/>
    <w:rsid w:val="002B00AC"/>
    <w:rsid w:val="002B050A"/>
    <w:rsid w:val="002B0A83"/>
    <w:rsid w:val="002B0F3B"/>
    <w:rsid w:val="002B0F5E"/>
    <w:rsid w:val="002B1289"/>
    <w:rsid w:val="002B1315"/>
    <w:rsid w:val="002B1DB3"/>
    <w:rsid w:val="002B2018"/>
    <w:rsid w:val="002B225B"/>
    <w:rsid w:val="002B276D"/>
    <w:rsid w:val="002B284C"/>
    <w:rsid w:val="002B2889"/>
    <w:rsid w:val="002B378F"/>
    <w:rsid w:val="002B4058"/>
    <w:rsid w:val="002B45A6"/>
    <w:rsid w:val="002B4950"/>
    <w:rsid w:val="002B54A7"/>
    <w:rsid w:val="002B5AA3"/>
    <w:rsid w:val="002B5B18"/>
    <w:rsid w:val="002B60E8"/>
    <w:rsid w:val="002B6310"/>
    <w:rsid w:val="002B642A"/>
    <w:rsid w:val="002B68D2"/>
    <w:rsid w:val="002B6AA9"/>
    <w:rsid w:val="002B6C76"/>
    <w:rsid w:val="002B7C3E"/>
    <w:rsid w:val="002B7C7B"/>
    <w:rsid w:val="002B7CB2"/>
    <w:rsid w:val="002C0184"/>
    <w:rsid w:val="002C0F74"/>
    <w:rsid w:val="002C26E3"/>
    <w:rsid w:val="002C33C9"/>
    <w:rsid w:val="002C3619"/>
    <w:rsid w:val="002C452E"/>
    <w:rsid w:val="002C4543"/>
    <w:rsid w:val="002C4E4A"/>
    <w:rsid w:val="002C4FE4"/>
    <w:rsid w:val="002C5396"/>
    <w:rsid w:val="002C5903"/>
    <w:rsid w:val="002C618C"/>
    <w:rsid w:val="002C61CD"/>
    <w:rsid w:val="002C6CA3"/>
    <w:rsid w:val="002C7167"/>
    <w:rsid w:val="002C7455"/>
    <w:rsid w:val="002C786F"/>
    <w:rsid w:val="002C7A85"/>
    <w:rsid w:val="002C7BB0"/>
    <w:rsid w:val="002D006B"/>
    <w:rsid w:val="002D0082"/>
    <w:rsid w:val="002D02B7"/>
    <w:rsid w:val="002D0B0F"/>
    <w:rsid w:val="002D0B95"/>
    <w:rsid w:val="002D1237"/>
    <w:rsid w:val="002D17B9"/>
    <w:rsid w:val="002D1A0A"/>
    <w:rsid w:val="002D2123"/>
    <w:rsid w:val="002D2E78"/>
    <w:rsid w:val="002D2F76"/>
    <w:rsid w:val="002D3B04"/>
    <w:rsid w:val="002D518B"/>
    <w:rsid w:val="002D55C8"/>
    <w:rsid w:val="002D5726"/>
    <w:rsid w:val="002D5784"/>
    <w:rsid w:val="002D5949"/>
    <w:rsid w:val="002D6212"/>
    <w:rsid w:val="002D64C8"/>
    <w:rsid w:val="002D6619"/>
    <w:rsid w:val="002D7626"/>
    <w:rsid w:val="002D7CDE"/>
    <w:rsid w:val="002D7E00"/>
    <w:rsid w:val="002D7E5A"/>
    <w:rsid w:val="002E010E"/>
    <w:rsid w:val="002E0327"/>
    <w:rsid w:val="002E0741"/>
    <w:rsid w:val="002E0C51"/>
    <w:rsid w:val="002E120B"/>
    <w:rsid w:val="002E14A9"/>
    <w:rsid w:val="002E1AEC"/>
    <w:rsid w:val="002E218E"/>
    <w:rsid w:val="002E21F8"/>
    <w:rsid w:val="002E2699"/>
    <w:rsid w:val="002E26BE"/>
    <w:rsid w:val="002E2B31"/>
    <w:rsid w:val="002E2D14"/>
    <w:rsid w:val="002E33F1"/>
    <w:rsid w:val="002E3917"/>
    <w:rsid w:val="002E398B"/>
    <w:rsid w:val="002E3E03"/>
    <w:rsid w:val="002E42D5"/>
    <w:rsid w:val="002E49CA"/>
    <w:rsid w:val="002E5368"/>
    <w:rsid w:val="002E54BA"/>
    <w:rsid w:val="002E54F0"/>
    <w:rsid w:val="002E5773"/>
    <w:rsid w:val="002E5AF7"/>
    <w:rsid w:val="002E5D92"/>
    <w:rsid w:val="002E5E14"/>
    <w:rsid w:val="002E6126"/>
    <w:rsid w:val="002E6199"/>
    <w:rsid w:val="002E6241"/>
    <w:rsid w:val="002E62CA"/>
    <w:rsid w:val="002E63A2"/>
    <w:rsid w:val="002E66A4"/>
    <w:rsid w:val="002E7A22"/>
    <w:rsid w:val="002E7E43"/>
    <w:rsid w:val="002E7FE9"/>
    <w:rsid w:val="002F0135"/>
    <w:rsid w:val="002F01C5"/>
    <w:rsid w:val="002F02E1"/>
    <w:rsid w:val="002F062B"/>
    <w:rsid w:val="002F0EDB"/>
    <w:rsid w:val="002F1DC0"/>
    <w:rsid w:val="002F1E2F"/>
    <w:rsid w:val="002F3596"/>
    <w:rsid w:val="002F3C9D"/>
    <w:rsid w:val="002F3D5D"/>
    <w:rsid w:val="002F505A"/>
    <w:rsid w:val="002F5192"/>
    <w:rsid w:val="002F67C2"/>
    <w:rsid w:val="002F6DA8"/>
    <w:rsid w:val="002F7321"/>
    <w:rsid w:val="002F7E1D"/>
    <w:rsid w:val="00300143"/>
    <w:rsid w:val="00300D9D"/>
    <w:rsid w:val="00300FFC"/>
    <w:rsid w:val="00301F05"/>
    <w:rsid w:val="003023FF"/>
    <w:rsid w:val="003026A3"/>
    <w:rsid w:val="00302A06"/>
    <w:rsid w:val="00303137"/>
    <w:rsid w:val="00303746"/>
    <w:rsid w:val="00303F9B"/>
    <w:rsid w:val="00304548"/>
    <w:rsid w:val="00304C00"/>
    <w:rsid w:val="00305292"/>
    <w:rsid w:val="003056C6"/>
    <w:rsid w:val="00305ED8"/>
    <w:rsid w:val="00305FCD"/>
    <w:rsid w:val="00306116"/>
    <w:rsid w:val="00306EE4"/>
    <w:rsid w:val="00307119"/>
    <w:rsid w:val="00307ABC"/>
    <w:rsid w:val="00307B1E"/>
    <w:rsid w:val="00307D4D"/>
    <w:rsid w:val="00307EB5"/>
    <w:rsid w:val="0031030E"/>
    <w:rsid w:val="00310EC6"/>
    <w:rsid w:val="00311699"/>
    <w:rsid w:val="00311851"/>
    <w:rsid w:val="0031190A"/>
    <w:rsid w:val="0031234E"/>
    <w:rsid w:val="003123AF"/>
    <w:rsid w:val="003131C4"/>
    <w:rsid w:val="0031328C"/>
    <w:rsid w:val="00313534"/>
    <w:rsid w:val="00313691"/>
    <w:rsid w:val="003141A5"/>
    <w:rsid w:val="00314338"/>
    <w:rsid w:val="00314397"/>
    <w:rsid w:val="00314B4C"/>
    <w:rsid w:val="0031506C"/>
    <w:rsid w:val="00315AAD"/>
    <w:rsid w:val="00316468"/>
    <w:rsid w:val="00316932"/>
    <w:rsid w:val="00316E00"/>
    <w:rsid w:val="0032073E"/>
    <w:rsid w:val="00320858"/>
    <w:rsid w:val="00320A50"/>
    <w:rsid w:val="00320AC9"/>
    <w:rsid w:val="00320C47"/>
    <w:rsid w:val="00320CB4"/>
    <w:rsid w:val="00321390"/>
    <w:rsid w:val="00321B25"/>
    <w:rsid w:val="00321E46"/>
    <w:rsid w:val="0032265B"/>
    <w:rsid w:val="00322660"/>
    <w:rsid w:val="0032275B"/>
    <w:rsid w:val="00322882"/>
    <w:rsid w:val="0032295D"/>
    <w:rsid w:val="00323573"/>
    <w:rsid w:val="00323B73"/>
    <w:rsid w:val="00324249"/>
    <w:rsid w:val="0032528A"/>
    <w:rsid w:val="003257FC"/>
    <w:rsid w:val="0032657D"/>
    <w:rsid w:val="00326788"/>
    <w:rsid w:val="00326DBC"/>
    <w:rsid w:val="00326E37"/>
    <w:rsid w:val="00326E60"/>
    <w:rsid w:val="00326F6F"/>
    <w:rsid w:val="003273F5"/>
    <w:rsid w:val="00327524"/>
    <w:rsid w:val="00327941"/>
    <w:rsid w:val="00327AB5"/>
    <w:rsid w:val="00327C56"/>
    <w:rsid w:val="00330376"/>
    <w:rsid w:val="003308B7"/>
    <w:rsid w:val="00330A93"/>
    <w:rsid w:val="00331067"/>
    <w:rsid w:val="00331ADE"/>
    <w:rsid w:val="003325AC"/>
    <w:rsid w:val="00332F29"/>
    <w:rsid w:val="00332FBC"/>
    <w:rsid w:val="003333EC"/>
    <w:rsid w:val="00334FE9"/>
    <w:rsid w:val="00335299"/>
    <w:rsid w:val="00335904"/>
    <w:rsid w:val="00335F68"/>
    <w:rsid w:val="003363D5"/>
    <w:rsid w:val="003367C0"/>
    <w:rsid w:val="00337531"/>
    <w:rsid w:val="0033772E"/>
    <w:rsid w:val="00337987"/>
    <w:rsid w:val="0034001A"/>
    <w:rsid w:val="00340D55"/>
    <w:rsid w:val="00341269"/>
    <w:rsid w:val="00341686"/>
    <w:rsid w:val="003426E8"/>
    <w:rsid w:val="00342A77"/>
    <w:rsid w:val="00342A7D"/>
    <w:rsid w:val="00342B29"/>
    <w:rsid w:val="003442CF"/>
    <w:rsid w:val="003445A7"/>
    <w:rsid w:val="003446B9"/>
    <w:rsid w:val="00344F0F"/>
    <w:rsid w:val="0034509E"/>
    <w:rsid w:val="003450B2"/>
    <w:rsid w:val="00346528"/>
    <w:rsid w:val="003465CB"/>
    <w:rsid w:val="00346E96"/>
    <w:rsid w:val="00347577"/>
    <w:rsid w:val="00347768"/>
    <w:rsid w:val="003500C9"/>
    <w:rsid w:val="00350269"/>
    <w:rsid w:val="00351101"/>
    <w:rsid w:val="00351815"/>
    <w:rsid w:val="00351A35"/>
    <w:rsid w:val="00351D61"/>
    <w:rsid w:val="00351E0E"/>
    <w:rsid w:val="003524E7"/>
    <w:rsid w:val="003525BD"/>
    <w:rsid w:val="00352787"/>
    <w:rsid w:val="00353539"/>
    <w:rsid w:val="0035383F"/>
    <w:rsid w:val="003541CC"/>
    <w:rsid w:val="00354291"/>
    <w:rsid w:val="00354FA8"/>
    <w:rsid w:val="00355129"/>
    <w:rsid w:val="0035566C"/>
    <w:rsid w:val="003556B6"/>
    <w:rsid w:val="00356074"/>
    <w:rsid w:val="003566AF"/>
    <w:rsid w:val="00356D00"/>
    <w:rsid w:val="00356D90"/>
    <w:rsid w:val="00356F6F"/>
    <w:rsid w:val="003574BA"/>
    <w:rsid w:val="003576DC"/>
    <w:rsid w:val="00361197"/>
    <w:rsid w:val="00361253"/>
    <w:rsid w:val="003612F0"/>
    <w:rsid w:val="00361806"/>
    <w:rsid w:val="003618B9"/>
    <w:rsid w:val="00361CC4"/>
    <w:rsid w:val="00361DF8"/>
    <w:rsid w:val="003622E5"/>
    <w:rsid w:val="00362B4D"/>
    <w:rsid w:val="0036302A"/>
    <w:rsid w:val="003632E1"/>
    <w:rsid w:val="00363F2F"/>
    <w:rsid w:val="00364BB0"/>
    <w:rsid w:val="003650E5"/>
    <w:rsid w:val="003652D6"/>
    <w:rsid w:val="003655D2"/>
    <w:rsid w:val="00365689"/>
    <w:rsid w:val="00365CF3"/>
    <w:rsid w:val="0036619E"/>
    <w:rsid w:val="00366B85"/>
    <w:rsid w:val="00366CD9"/>
    <w:rsid w:val="00366EF4"/>
    <w:rsid w:val="0036743A"/>
    <w:rsid w:val="00370DB0"/>
    <w:rsid w:val="00373054"/>
    <w:rsid w:val="0037307C"/>
    <w:rsid w:val="00373284"/>
    <w:rsid w:val="00373432"/>
    <w:rsid w:val="00373A1B"/>
    <w:rsid w:val="003750FB"/>
    <w:rsid w:val="0037510E"/>
    <w:rsid w:val="00375BB0"/>
    <w:rsid w:val="00375CBC"/>
    <w:rsid w:val="0037636B"/>
    <w:rsid w:val="003767DC"/>
    <w:rsid w:val="003773D2"/>
    <w:rsid w:val="00377B43"/>
    <w:rsid w:val="00377BDB"/>
    <w:rsid w:val="00380B6C"/>
    <w:rsid w:val="00380CF8"/>
    <w:rsid w:val="00380F40"/>
    <w:rsid w:val="00381735"/>
    <w:rsid w:val="00381C89"/>
    <w:rsid w:val="00381E69"/>
    <w:rsid w:val="00382A7E"/>
    <w:rsid w:val="003831F9"/>
    <w:rsid w:val="0038356F"/>
    <w:rsid w:val="0038391C"/>
    <w:rsid w:val="00383AAA"/>
    <w:rsid w:val="0038434E"/>
    <w:rsid w:val="00384768"/>
    <w:rsid w:val="00384B94"/>
    <w:rsid w:val="00384C0F"/>
    <w:rsid w:val="00384D40"/>
    <w:rsid w:val="003853C9"/>
    <w:rsid w:val="0038544A"/>
    <w:rsid w:val="00385618"/>
    <w:rsid w:val="0038639C"/>
    <w:rsid w:val="00386AC8"/>
    <w:rsid w:val="0038753C"/>
    <w:rsid w:val="00387BE5"/>
    <w:rsid w:val="00387C8A"/>
    <w:rsid w:val="003901EF"/>
    <w:rsid w:val="003902D5"/>
    <w:rsid w:val="00390EB7"/>
    <w:rsid w:val="00391755"/>
    <w:rsid w:val="00392123"/>
    <w:rsid w:val="003921B0"/>
    <w:rsid w:val="003921CE"/>
    <w:rsid w:val="003923D3"/>
    <w:rsid w:val="003923F3"/>
    <w:rsid w:val="00393626"/>
    <w:rsid w:val="00393914"/>
    <w:rsid w:val="00393E84"/>
    <w:rsid w:val="00394546"/>
    <w:rsid w:val="00394918"/>
    <w:rsid w:val="00394A9E"/>
    <w:rsid w:val="00394AD4"/>
    <w:rsid w:val="0039513F"/>
    <w:rsid w:val="0039581E"/>
    <w:rsid w:val="00395D7A"/>
    <w:rsid w:val="00396FB1"/>
    <w:rsid w:val="00397256"/>
    <w:rsid w:val="003A06F1"/>
    <w:rsid w:val="003A173B"/>
    <w:rsid w:val="003A24D7"/>
    <w:rsid w:val="003A24EF"/>
    <w:rsid w:val="003A25CA"/>
    <w:rsid w:val="003A25DA"/>
    <w:rsid w:val="003A2712"/>
    <w:rsid w:val="003A2AD5"/>
    <w:rsid w:val="003A3119"/>
    <w:rsid w:val="003A325D"/>
    <w:rsid w:val="003A3E12"/>
    <w:rsid w:val="003A41E3"/>
    <w:rsid w:val="003A42C1"/>
    <w:rsid w:val="003A4471"/>
    <w:rsid w:val="003A44FE"/>
    <w:rsid w:val="003A4718"/>
    <w:rsid w:val="003A484A"/>
    <w:rsid w:val="003A49C1"/>
    <w:rsid w:val="003A4C49"/>
    <w:rsid w:val="003A4D36"/>
    <w:rsid w:val="003A57D0"/>
    <w:rsid w:val="003A5AD0"/>
    <w:rsid w:val="003A5C21"/>
    <w:rsid w:val="003A712A"/>
    <w:rsid w:val="003A78D0"/>
    <w:rsid w:val="003A7D58"/>
    <w:rsid w:val="003B015A"/>
    <w:rsid w:val="003B016D"/>
    <w:rsid w:val="003B0A4D"/>
    <w:rsid w:val="003B189C"/>
    <w:rsid w:val="003B1C3E"/>
    <w:rsid w:val="003B23FF"/>
    <w:rsid w:val="003B25DC"/>
    <w:rsid w:val="003B26B0"/>
    <w:rsid w:val="003B3773"/>
    <w:rsid w:val="003B4912"/>
    <w:rsid w:val="003B4EC6"/>
    <w:rsid w:val="003B4F66"/>
    <w:rsid w:val="003B5496"/>
    <w:rsid w:val="003B57BC"/>
    <w:rsid w:val="003B5894"/>
    <w:rsid w:val="003B58D2"/>
    <w:rsid w:val="003B6122"/>
    <w:rsid w:val="003B7EE1"/>
    <w:rsid w:val="003C0370"/>
    <w:rsid w:val="003C06D7"/>
    <w:rsid w:val="003C0820"/>
    <w:rsid w:val="003C2C50"/>
    <w:rsid w:val="003C30F2"/>
    <w:rsid w:val="003C361C"/>
    <w:rsid w:val="003C41BF"/>
    <w:rsid w:val="003C43C8"/>
    <w:rsid w:val="003C4A4B"/>
    <w:rsid w:val="003C4C36"/>
    <w:rsid w:val="003C537F"/>
    <w:rsid w:val="003C5DE2"/>
    <w:rsid w:val="003C6466"/>
    <w:rsid w:val="003C6B2A"/>
    <w:rsid w:val="003C6D44"/>
    <w:rsid w:val="003C767F"/>
    <w:rsid w:val="003D0366"/>
    <w:rsid w:val="003D1B06"/>
    <w:rsid w:val="003D233D"/>
    <w:rsid w:val="003D3312"/>
    <w:rsid w:val="003D3541"/>
    <w:rsid w:val="003D3B6E"/>
    <w:rsid w:val="003D4283"/>
    <w:rsid w:val="003D4F66"/>
    <w:rsid w:val="003D4FC1"/>
    <w:rsid w:val="003D63C0"/>
    <w:rsid w:val="003D675A"/>
    <w:rsid w:val="003D6803"/>
    <w:rsid w:val="003D6B09"/>
    <w:rsid w:val="003D7483"/>
    <w:rsid w:val="003D7497"/>
    <w:rsid w:val="003D7537"/>
    <w:rsid w:val="003D7925"/>
    <w:rsid w:val="003D7AB6"/>
    <w:rsid w:val="003E00A8"/>
    <w:rsid w:val="003E039A"/>
    <w:rsid w:val="003E0A13"/>
    <w:rsid w:val="003E0C35"/>
    <w:rsid w:val="003E0FF7"/>
    <w:rsid w:val="003E16F9"/>
    <w:rsid w:val="003E1DE7"/>
    <w:rsid w:val="003E2336"/>
    <w:rsid w:val="003E238C"/>
    <w:rsid w:val="003E24E5"/>
    <w:rsid w:val="003E2BE9"/>
    <w:rsid w:val="003E2C4C"/>
    <w:rsid w:val="003E2CB4"/>
    <w:rsid w:val="003E2EB7"/>
    <w:rsid w:val="003E3494"/>
    <w:rsid w:val="003E3F40"/>
    <w:rsid w:val="003E40FE"/>
    <w:rsid w:val="003E451E"/>
    <w:rsid w:val="003E4F3F"/>
    <w:rsid w:val="003E53F6"/>
    <w:rsid w:val="003E5449"/>
    <w:rsid w:val="003E5539"/>
    <w:rsid w:val="003E59AB"/>
    <w:rsid w:val="003E633C"/>
    <w:rsid w:val="003E66A8"/>
    <w:rsid w:val="003E74F8"/>
    <w:rsid w:val="003E7911"/>
    <w:rsid w:val="003E7EFF"/>
    <w:rsid w:val="003F0283"/>
    <w:rsid w:val="003F0CDB"/>
    <w:rsid w:val="003F11DF"/>
    <w:rsid w:val="003F19A8"/>
    <w:rsid w:val="003F1A5A"/>
    <w:rsid w:val="003F37AA"/>
    <w:rsid w:val="003F3DBC"/>
    <w:rsid w:val="003F497A"/>
    <w:rsid w:val="003F4C2F"/>
    <w:rsid w:val="003F56B9"/>
    <w:rsid w:val="003F56BD"/>
    <w:rsid w:val="003F580D"/>
    <w:rsid w:val="003F6421"/>
    <w:rsid w:val="003F662F"/>
    <w:rsid w:val="003F6A68"/>
    <w:rsid w:val="003F7107"/>
    <w:rsid w:val="003F792E"/>
    <w:rsid w:val="003F7C49"/>
    <w:rsid w:val="00400694"/>
    <w:rsid w:val="0040095A"/>
    <w:rsid w:val="004016D7"/>
    <w:rsid w:val="00401970"/>
    <w:rsid w:val="00401AA0"/>
    <w:rsid w:val="004028AB"/>
    <w:rsid w:val="004029CF"/>
    <w:rsid w:val="00403EF3"/>
    <w:rsid w:val="00404301"/>
    <w:rsid w:val="00404D3C"/>
    <w:rsid w:val="00404D43"/>
    <w:rsid w:val="00404D78"/>
    <w:rsid w:val="00404DC2"/>
    <w:rsid w:val="00404F38"/>
    <w:rsid w:val="004053E2"/>
    <w:rsid w:val="004059E3"/>
    <w:rsid w:val="00405BAB"/>
    <w:rsid w:val="004064E6"/>
    <w:rsid w:val="00406AA5"/>
    <w:rsid w:val="004076F4"/>
    <w:rsid w:val="004078A6"/>
    <w:rsid w:val="00407B9B"/>
    <w:rsid w:val="00407C8C"/>
    <w:rsid w:val="00410429"/>
    <w:rsid w:val="00410C3C"/>
    <w:rsid w:val="00410CB5"/>
    <w:rsid w:val="0041129B"/>
    <w:rsid w:val="00411411"/>
    <w:rsid w:val="004120AC"/>
    <w:rsid w:val="0041274C"/>
    <w:rsid w:val="004129DE"/>
    <w:rsid w:val="00412A25"/>
    <w:rsid w:val="00412C83"/>
    <w:rsid w:val="0041342A"/>
    <w:rsid w:val="004136F8"/>
    <w:rsid w:val="00413892"/>
    <w:rsid w:val="00413B79"/>
    <w:rsid w:val="004147D9"/>
    <w:rsid w:val="004148BF"/>
    <w:rsid w:val="004150F2"/>
    <w:rsid w:val="00415587"/>
    <w:rsid w:val="004159D0"/>
    <w:rsid w:val="00415B76"/>
    <w:rsid w:val="004162FA"/>
    <w:rsid w:val="004164FE"/>
    <w:rsid w:val="00416BAC"/>
    <w:rsid w:val="00416DA6"/>
    <w:rsid w:val="00416DBD"/>
    <w:rsid w:val="00416FF4"/>
    <w:rsid w:val="00417B31"/>
    <w:rsid w:val="00417B87"/>
    <w:rsid w:val="0042014B"/>
    <w:rsid w:val="004205AB"/>
    <w:rsid w:val="00420E23"/>
    <w:rsid w:val="00420E36"/>
    <w:rsid w:val="00420F65"/>
    <w:rsid w:val="00421181"/>
    <w:rsid w:val="00421E1D"/>
    <w:rsid w:val="0042248C"/>
    <w:rsid w:val="00422A41"/>
    <w:rsid w:val="00422D44"/>
    <w:rsid w:val="00422EF3"/>
    <w:rsid w:val="00423174"/>
    <w:rsid w:val="00423442"/>
    <w:rsid w:val="00423588"/>
    <w:rsid w:val="004235E3"/>
    <w:rsid w:val="00423A5B"/>
    <w:rsid w:val="00424064"/>
    <w:rsid w:val="004246C3"/>
    <w:rsid w:val="00424A09"/>
    <w:rsid w:val="00424F22"/>
    <w:rsid w:val="00425437"/>
    <w:rsid w:val="00425730"/>
    <w:rsid w:val="00425B8F"/>
    <w:rsid w:val="004263B1"/>
    <w:rsid w:val="00426542"/>
    <w:rsid w:val="00426572"/>
    <w:rsid w:val="004266D2"/>
    <w:rsid w:val="00426FBB"/>
    <w:rsid w:val="00427540"/>
    <w:rsid w:val="0042781A"/>
    <w:rsid w:val="00427859"/>
    <w:rsid w:val="00430BDA"/>
    <w:rsid w:val="004310C6"/>
    <w:rsid w:val="004316F0"/>
    <w:rsid w:val="0043177B"/>
    <w:rsid w:val="00431F3D"/>
    <w:rsid w:val="00432065"/>
    <w:rsid w:val="0043213C"/>
    <w:rsid w:val="004331D0"/>
    <w:rsid w:val="0043322E"/>
    <w:rsid w:val="00433D6B"/>
    <w:rsid w:val="00433F74"/>
    <w:rsid w:val="00435452"/>
    <w:rsid w:val="00435637"/>
    <w:rsid w:val="004357F9"/>
    <w:rsid w:val="004364AF"/>
    <w:rsid w:val="00436877"/>
    <w:rsid w:val="004371AC"/>
    <w:rsid w:val="004374BC"/>
    <w:rsid w:val="004376E0"/>
    <w:rsid w:val="00437B85"/>
    <w:rsid w:val="00437BDD"/>
    <w:rsid w:val="00437FE9"/>
    <w:rsid w:val="004406DF"/>
    <w:rsid w:val="00440792"/>
    <w:rsid w:val="004409F2"/>
    <w:rsid w:val="00440E99"/>
    <w:rsid w:val="00441131"/>
    <w:rsid w:val="0044119B"/>
    <w:rsid w:val="00441479"/>
    <w:rsid w:val="00441E9B"/>
    <w:rsid w:val="00441F0C"/>
    <w:rsid w:val="0044269C"/>
    <w:rsid w:val="0044291B"/>
    <w:rsid w:val="00443CC9"/>
    <w:rsid w:val="00443F20"/>
    <w:rsid w:val="0044401F"/>
    <w:rsid w:val="00444D28"/>
    <w:rsid w:val="00444E99"/>
    <w:rsid w:val="004452D7"/>
    <w:rsid w:val="004456BF"/>
    <w:rsid w:val="00445FFD"/>
    <w:rsid w:val="00446A80"/>
    <w:rsid w:val="00446B9A"/>
    <w:rsid w:val="0044700D"/>
    <w:rsid w:val="00447110"/>
    <w:rsid w:val="00447145"/>
    <w:rsid w:val="00450099"/>
    <w:rsid w:val="0045014D"/>
    <w:rsid w:val="0045017D"/>
    <w:rsid w:val="004501C4"/>
    <w:rsid w:val="004508D5"/>
    <w:rsid w:val="00452490"/>
    <w:rsid w:val="00453377"/>
    <w:rsid w:val="004535A4"/>
    <w:rsid w:val="00453664"/>
    <w:rsid w:val="00453D36"/>
    <w:rsid w:val="00454BFD"/>
    <w:rsid w:val="004553A5"/>
    <w:rsid w:val="00455BFB"/>
    <w:rsid w:val="0045624E"/>
    <w:rsid w:val="00456E71"/>
    <w:rsid w:val="00457015"/>
    <w:rsid w:val="00457452"/>
    <w:rsid w:val="0046066E"/>
    <w:rsid w:val="004607AA"/>
    <w:rsid w:val="0046100B"/>
    <w:rsid w:val="00461048"/>
    <w:rsid w:val="0046155F"/>
    <w:rsid w:val="00461580"/>
    <w:rsid w:val="00461C69"/>
    <w:rsid w:val="004620A4"/>
    <w:rsid w:val="00463409"/>
    <w:rsid w:val="00463847"/>
    <w:rsid w:val="00463879"/>
    <w:rsid w:val="0046387B"/>
    <w:rsid w:val="004639AE"/>
    <w:rsid w:val="00463A29"/>
    <w:rsid w:val="00463A32"/>
    <w:rsid w:val="004640E0"/>
    <w:rsid w:val="00464183"/>
    <w:rsid w:val="00464883"/>
    <w:rsid w:val="00464963"/>
    <w:rsid w:val="0046543E"/>
    <w:rsid w:val="0046559F"/>
    <w:rsid w:val="0046579B"/>
    <w:rsid w:val="00465BB2"/>
    <w:rsid w:val="00466693"/>
    <w:rsid w:val="00466F91"/>
    <w:rsid w:val="0046749F"/>
    <w:rsid w:val="00467759"/>
    <w:rsid w:val="00467A98"/>
    <w:rsid w:val="00470097"/>
    <w:rsid w:val="00470700"/>
    <w:rsid w:val="00470B48"/>
    <w:rsid w:val="00471557"/>
    <w:rsid w:val="00471D37"/>
    <w:rsid w:val="00472250"/>
    <w:rsid w:val="004723A1"/>
    <w:rsid w:val="004724B6"/>
    <w:rsid w:val="004726D1"/>
    <w:rsid w:val="0047296D"/>
    <w:rsid w:val="00473CE3"/>
    <w:rsid w:val="00473DE8"/>
    <w:rsid w:val="00473F9B"/>
    <w:rsid w:val="004743D0"/>
    <w:rsid w:val="004744A7"/>
    <w:rsid w:val="00474784"/>
    <w:rsid w:val="00474E19"/>
    <w:rsid w:val="00475482"/>
    <w:rsid w:val="00475EFC"/>
    <w:rsid w:val="004761B4"/>
    <w:rsid w:val="004766CD"/>
    <w:rsid w:val="00476E7F"/>
    <w:rsid w:val="004771EE"/>
    <w:rsid w:val="00477A48"/>
    <w:rsid w:val="00480598"/>
    <w:rsid w:val="00480A08"/>
    <w:rsid w:val="0048104B"/>
    <w:rsid w:val="00481115"/>
    <w:rsid w:val="004811F0"/>
    <w:rsid w:val="00481526"/>
    <w:rsid w:val="00481651"/>
    <w:rsid w:val="004817BB"/>
    <w:rsid w:val="004822B8"/>
    <w:rsid w:val="004842B5"/>
    <w:rsid w:val="00484A9D"/>
    <w:rsid w:val="00484C49"/>
    <w:rsid w:val="00484DEA"/>
    <w:rsid w:val="004857B3"/>
    <w:rsid w:val="00485DDA"/>
    <w:rsid w:val="00485ED4"/>
    <w:rsid w:val="00486B3E"/>
    <w:rsid w:val="00486CDA"/>
    <w:rsid w:val="00487B32"/>
    <w:rsid w:val="00490BA3"/>
    <w:rsid w:val="004912FA"/>
    <w:rsid w:val="004922B1"/>
    <w:rsid w:val="00492467"/>
    <w:rsid w:val="00492D5A"/>
    <w:rsid w:val="004931B1"/>
    <w:rsid w:val="0049328C"/>
    <w:rsid w:val="004937C2"/>
    <w:rsid w:val="004941C2"/>
    <w:rsid w:val="00494941"/>
    <w:rsid w:val="00494D8B"/>
    <w:rsid w:val="00495C14"/>
    <w:rsid w:val="00496EBB"/>
    <w:rsid w:val="0049728B"/>
    <w:rsid w:val="004975EA"/>
    <w:rsid w:val="00497891"/>
    <w:rsid w:val="00497AB2"/>
    <w:rsid w:val="00497BA3"/>
    <w:rsid w:val="00497C59"/>
    <w:rsid w:val="004A0BE4"/>
    <w:rsid w:val="004A0CC8"/>
    <w:rsid w:val="004A0CD7"/>
    <w:rsid w:val="004A1040"/>
    <w:rsid w:val="004A10B2"/>
    <w:rsid w:val="004A17BD"/>
    <w:rsid w:val="004A188E"/>
    <w:rsid w:val="004A1F6E"/>
    <w:rsid w:val="004A2145"/>
    <w:rsid w:val="004A2813"/>
    <w:rsid w:val="004A3046"/>
    <w:rsid w:val="004A36EE"/>
    <w:rsid w:val="004A38EB"/>
    <w:rsid w:val="004A3C92"/>
    <w:rsid w:val="004A3DF0"/>
    <w:rsid w:val="004A3F21"/>
    <w:rsid w:val="004A40FA"/>
    <w:rsid w:val="004A4674"/>
    <w:rsid w:val="004A4FEE"/>
    <w:rsid w:val="004A55B8"/>
    <w:rsid w:val="004A5BAA"/>
    <w:rsid w:val="004A6680"/>
    <w:rsid w:val="004A6EC2"/>
    <w:rsid w:val="004A7A7B"/>
    <w:rsid w:val="004B0985"/>
    <w:rsid w:val="004B19A2"/>
    <w:rsid w:val="004B219B"/>
    <w:rsid w:val="004B2508"/>
    <w:rsid w:val="004B2A1B"/>
    <w:rsid w:val="004B2DBB"/>
    <w:rsid w:val="004B46D1"/>
    <w:rsid w:val="004B46E9"/>
    <w:rsid w:val="004B4FAB"/>
    <w:rsid w:val="004B543E"/>
    <w:rsid w:val="004B5B42"/>
    <w:rsid w:val="004B5CA1"/>
    <w:rsid w:val="004B5FF7"/>
    <w:rsid w:val="004B67CA"/>
    <w:rsid w:val="004B6B91"/>
    <w:rsid w:val="004B7DD1"/>
    <w:rsid w:val="004C0349"/>
    <w:rsid w:val="004C03FA"/>
    <w:rsid w:val="004C09A3"/>
    <w:rsid w:val="004C0B1C"/>
    <w:rsid w:val="004C0C45"/>
    <w:rsid w:val="004C0FDC"/>
    <w:rsid w:val="004C1658"/>
    <w:rsid w:val="004C1720"/>
    <w:rsid w:val="004C2436"/>
    <w:rsid w:val="004C28AE"/>
    <w:rsid w:val="004C29BF"/>
    <w:rsid w:val="004C2F44"/>
    <w:rsid w:val="004C3676"/>
    <w:rsid w:val="004C37A3"/>
    <w:rsid w:val="004C3C75"/>
    <w:rsid w:val="004C3DC0"/>
    <w:rsid w:val="004C3F60"/>
    <w:rsid w:val="004C4F74"/>
    <w:rsid w:val="004C546E"/>
    <w:rsid w:val="004C5A7E"/>
    <w:rsid w:val="004C6AEC"/>
    <w:rsid w:val="004C6C96"/>
    <w:rsid w:val="004C7003"/>
    <w:rsid w:val="004C7F0B"/>
    <w:rsid w:val="004D00EC"/>
    <w:rsid w:val="004D148B"/>
    <w:rsid w:val="004D1729"/>
    <w:rsid w:val="004D17F3"/>
    <w:rsid w:val="004D1B44"/>
    <w:rsid w:val="004D1BA1"/>
    <w:rsid w:val="004D1D03"/>
    <w:rsid w:val="004D243B"/>
    <w:rsid w:val="004D30B8"/>
    <w:rsid w:val="004D3819"/>
    <w:rsid w:val="004D38BF"/>
    <w:rsid w:val="004D39BE"/>
    <w:rsid w:val="004D4EEC"/>
    <w:rsid w:val="004D54F1"/>
    <w:rsid w:val="004D57AD"/>
    <w:rsid w:val="004D5FFB"/>
    <w:rsid w:val="004D6215"/>
    <w:rsid w:val="004D765E"/>
    <w:rsid w:val="004D7CCC"/>
    <w:rsid w:val="004E0065"/>
    <w:rsid w:val="004E0221"/>
    <w:rsid w:val="004E0252"/>
    <w:rsid w:val="004E1B7C"/>
    <w:rsid w:val="004E20A4"/>
    <w:rsid w:val="004E23B6"/>
    <w:rsid w:val="004E263D"/>
    <w:rsid w:val="004E2747"/>
    <w:rsid w:val="004E3256"/>
    <w:rsid w:val="004E35D7"/>
    <w:rsid w:val="004E4B5F"/>
    <w:rsid w:val="004E5188"/>
    <w:rsid w:val="004E576C"/>
    <w:rsid w:val="004E5F7E"/>
    <w:rsid w:val="004E5FEC"/>
    <w:rsid w:val="004E623E"/>
    <w:rsid w:val="004E62C6"/>
    <w:rsid w:val="004E658B"/>
    <w:rsid w:val="004E66AB"/>
    <w:rsid w:val="004E6AB7"/>
    <w:rsid w:val="004E7535"/>
    <w:rsid w:val="004E7675"/>
    <w:rsid w:val="004E7D29"/>
    <w:rsid w:val="004F003A"/>
    <w:rsid w:val="004F029B"/>
    <w:rsid w:val="004F0590"/>
    <w:rsid w:val="004F066D"/>
    <w:rsid w:val="004F06FA"/>
    <w:rsid w:val="004F090D"/>
    <w:rsid w:val="004F0EDF"/>
    <w:rsid w:val="004F1EA8"/>
    <w:rsid w:val="004F2012"/>
    <w:rsid w:val="004F2BE9"/>
    <w:rsid w:val="004F3018"/>
    <w:rsid w:val="004F35D3"/>
    <w:rsid w:val="004F3768"/>
    <w:rsid w:val="004F3C26"/>
    <w:rsid w:val="004F49DA"/>
    <w:rsid w:val="004F4B8D"/>
    <w:rsid w:val="004F58E5"/>
    <w:rsid w:val="004F5CBB"/>
    <w:rsid w:val="004F5E22"/>
    <w:rsid w:val="004F6582"/>
    <w:rsid w:val="004F6790"/>
    <w:rsid w:val="004F6B6E"/>
    <w:rsid w:val="004F6CB6"/>
    <w:rsid w:val="004F6E6A"/>
    <w:rsid w:val="004F776B"/>
    <w:rsid w:val="004F7866"/>
    <w:rsid w:val="004F7AA2"/>
    <w:rsid w:val="004F7DE9"/>
    <w:rsid w:val="00500141"/>
    <w:rsid w:val="00500494"/>
    <w:rsid w:val="005007A0"/>
    <w:rsid w:val="00500A04"/>
    <w:rsid w:val="005027F5"/>
    <w:rsid w:val="00502B71"/>
    <w:rsid w:val="005037E6"/>
    <w:rsid w:val="00503A6F"/>
    <w:rsid w:val="005040D3"/>
    <w:rsid w:val="005045DD"/>
    <w:rsid w:val="0050517E"/>
    <w:rsid w:val="005053B6"/>
    <w:rsid w:val="00505A76"/>
    <w:rsid w:val="00506443"/>
    <w:rsid w:val="00506AE3"/>
    <w:rsid w:val="00506E24"/>
    <w:rsid w:val="0050761A"/>
    <w:rsid w:val="00507668"/>
    <w:rsid w:val="0050769E"/>
    <w:rsid w:val="00507D98"/>
    <w:rsid w:val="005102E5"/>
    <w:rsid w:val="005103EA"/>
    <w:rsid w:val="00510F9D"/>
    <w:rsid w:val="00511504"/>
    <w:rsid w:val="005115B9"/>
    <w:rsid w:val="00511750"/>
    <w:rsid w:val="00512584"/>
    <w:rsid w:val="00512BBD"/>
    <w:rsid w:val="005134BA"/>
    <w:rsid w:val="00513898"/>
    <w:rsid w:val="00514BB1"/>
    <w:rsid w:val="00514D34"/>
    <w:rsid w:val="00514FCE"/>
    <w:rsid w:val="005150B9"/>
    <w:rsid w:val="00515FC2"/>
    <w:rsid w:val="0051609F"/>
    <w:rsid w:val="0051636F"/>
    <w:rsid w:val="00517885"/>
    <w:rsid w:val="00517A27"/>
    <w:rsid w:val="00517D58"/>
    <w:rsid w:val="005205CF"/>
    <w:rsid w:val="005208B1"/>
    <w:rsid w:val="0052093D"/>
    <w:rsid w:val="005210DD"/>
    <w:rsid w:val="005231D2"/>
    <w:rsid w:val="0052325F"/>
    <w:rsid w:val="005247D5"/>
    <w:rsid w:val="00524E5D"/>
    <w:rsid w:val="00525260"/>
    <w:rsid w:val="005255AF"/>
    <w:rsid w:val="00525DD5"/>
    <w:rsid w:val="005260AB"/>
    <w:rsid w:val="005260AD"/>
    <w:rsid w:val="005261E1"/>
    <w:rsid w:val="00527321"/>
    <w:rsid w:val="005278B7"/>
    <w:rsid w:val="0053032C"/>
    <w:rsid w:val="00530DE6"/>
    <w:rsid w:val="005322F8"/>
    <w:rsid w:val="0053270F"/>
    <w:rsid w:val="00533E00"/>
    <w:rsid w:val="00534850"/>
    <w:rsid w:val="00534DA4"/>
    <w:rsid w:val="00535EFC"/>
    <w:rsid w:val="00536067"/>
    <w:rsid w:val="005364DB"/>
    <w:rsid w:val="00536DFE"/>
    <w:rsid w:val="00537E38"/>
    <w:rsid w:val="005402EF"/>
    <w:rsid w:val="00540C44"/>
    <w:rsid w:val="005412A3"/>
    <w:rsid w:val="00541C4C"/>
    <w:rsid w:val="005424E8"/>
    <w:rsid w:val="00542AEC"/>
    <w:rsid w:val="0054372B"/>
    <w:rsid w:val="00543DDC"/>
    <w:rsid w:val="00543FE5"/>
    <w:rsid w:val="005446C8"/>
    <w:rsid w:val="00544FA9"/>
    <w:rsid w:val="00545415"/>
    <w:rsid w:val="005459BD"/>
    <w:rsid w:val="005463C7"/>
    <w:rsid w:val="0054643A"/>
    <w:rsid w:val="0054665F"/>
    <w:rsid w:val="00546882"/>
    <w:rsid w:val="00546E06"/>
    <w:rsid w:val="00547752"/>
    <w:rsid w:val="00547C0A"/>
    <w:rsid w:val="00547DAB"/>
    <w:rsid w:val="00547DEA"/>
    <w:rsid w:val="00547EA5"/>
    <w:rsid w:val="00550915"/>
    <w:rsid w:val="00550C76"/>
    <w:rsid w:val="00551D2D"/>
    <w:rsid w:val="00551D81"/>
    <w:rsid w:val="005537EF"/>
    <w:rsid w:val="00553DA3"/>
    <w:rsid w:val="00554AC0"/>
    <w:rsid w:val="005555B3"/>
    <w:rsid w:val="00555AAB"/>
    <w:rsid w:val="00556177"/>
    <w:rsid w:val="005567EA"/>
    <w:rsid w:val="00557489"/>
    <w:rsid w:val="005576DE"/>
    <w:rsid w:val="00557A25"/>
    <w:rsid w:val="00557CD1"/>
    <w:rsid w:val="005604A5"/>
    <w:rsid w:val="00560666"/>
    <w:rsid w:val="005615E7"/>
    <w:rsid w:val="005616FA"/>
    <w:rsid w:val="005620CE"/>
    <w:rsid w:val="005622DB"/>
    <w:rsid w:val="005623BB"/>
    <w:rsid w:val="005632DD"/>
    <w:rsid w:val="005636B2"/>
    <w:rsid w:val="00563BA8"/>
    <w:rsid w:val="0056450F"/>
    <w:rsid w:val="00564B23"/>
    <w:rsid w:val="00564B7E"/>
    <w:rsid w:val="00564F24"/>
    <w:rsid w:val="005653CC"/>
    <w:rsid w:val="005659A8"/>
    <w:rsid w:val="00565A7E"/>
    <w:rsid w:val="00565A82"/>
    <w:rsid w:val="00566110"/>
    <w:rsid w:val="0056644A"/>
    <w:rsid w:val="005664D7"/>
    <w:rsid w:val="00566F4A"/>
    <w:rsid w:val="005670D0"/>
    <w:rsid w:val="005678C2"/>
    <w:rsid w:val="00567F5D"/>
    <w:rsid w:val="005702CF"/>
    <w:rsid w:val="00571075"/>
    <w:rsid w:val="005710FD"/>
    <w:rsid w:val="00571391"/>
    <w:rsid w:val="00571863"/>
    <w:rsid w:val="00571DE1"/>
    <w:rsid w:val="00572464"/>
    <w:rsid w:val="00572A22"/>
    <w:rsid w:val="00573501"/>
    <w:rsid w:val="00573E4E"/>
    <w:rsid w:val="00573F6B"/>
    <w:rsid w:val="005741A5"/>
    <w:rsid w:val="005754FB"/>
    <w:rsid w:val="00575C7D"/>
    <w:rsid w:val="00576C0A"/>
    <w:rsid w:val="00577478"/>
    <w:rsid w:val="00577CA7"/>
    <w:rsid w:val="00577D21"/>
    <w:rsid w:val="0058153E"/>
    <w:rsid w:val="005821CA"/>
    <w:rsid w:val="00582492"/>
    <w:rsid w:val="005835E2"/>
    <w:rsid w:val="00583663"/>
    <w:rsid w:val="005836CF"/>
    <w:rsid w:val="00583E4E"/>
    <w:rsid w:val="00583E56"/>
    <w:rsid w:val="00583F24"/>
    <w:rsid w:val="00584A94"/>
    <w:rsid w:val="005860AD"/>
    <w:rsid w:val="0058619E"/>
    <w:rsid w:val="0058636F"/>
    <w:rsid w:val="0058690D"/>
    <w:rsid w:val="00586AC3"/>
    <w:rsid w:val="00586DAF"/>
    <w:rsid w:val="00587136"/>
    <w:rsid w:val="005876BA"/>
    <w:rsid w:val="00587C9C"/>
    <w:rsid w:val="0059096C"/>
    <w:rsid w:val="00591038"/>
    <w:rsid w:val="005920A5"/>
    <w:rsid w:val="00592471"/>
    <w:rsid w:val="0059256D"/>
    <w:rsid w:val="0059273E"/>
    <w:rsid w:val="005930C7"/>
    <w:rsid w:val="005933A0"/>
    <w:rsid w:val="005937B9"/>
    <w:rsid w:val="00593F19"/>
    <w:rsid w:val="00594169"/>
    <w:rsid w:val="00595000"/>
    <w:rsid w:val="00595746"/>
    <w:rsid w:val="00595AD4"/>
    <w:rsid w:val="005964C6"/>
    <w:rsid w:val="005965C5"/>
    <w:rsid w:val="0059685F"/>
    <w:rsid w:val="00596872"/>
    <w:rsid w:val="00596A6B"/>
    <w:rsid w:val="005978C2"/>
    <w:rsid w:val="00597E0F"/>
    <w:rsid w:val="005A01AA"/>
    <w:rsid w:val="005A02E9"/>
    <w:rsid w:val="005A03FA"/>
    <w:rsid w:val="005A0827"/>
    <w:rsid w:val="005A0B9C"/>
    <w:rsid w:val="005A0C72"/>
    <w:rsid w:val="005A0CA1"/>
    <w:rsid w:val="005A1413"/>
    <w:rsid w:val="005A1AEB"/>
    <w:rsid w:val="005A27EF"/>
    <w:rsid w:val="005A2E0F"/>
    <w:rsid w:val="005A3A88"/>
    <w:rsid w:val="005A43BC"/>
    <w:rsid w:val="005A454F"/>
    <w:rsid w:val="005A4B3B"/>
    <w:rsid w:val="005A6390"/>
    <w:rsid w:val="005A69D0"/>
    <w:rsid w:val="005A7778"/>
    <w:rsid w:val="005A79D7"/>
    <w:rsid w:val="005A7B52"/>
    <w:rsid w:val="005B0569"/>
    <w:rsid w:val="005B117F"/>
    <w:rsid w:val="005B125E"/>
    <w:rsid w:val="005B146F"/>
    <w:rsid w:val="005B1FAB"/>
    <w:rsid w:val="005B1FF3"/>
    <w:rsid w:val="005B21C7"/>
    <w:rsid w:val="005B2975"/>
    <w:rsid w:val="005B29B4"/>
    <w:rsid w:val="005B3021"/>
    <w:rsid w:val="005B302C"/>
    <w:rsid w:val="005B310A"/>
    <w:rsid w:val="005B311E"/>
    <w:rsid w:val="005B34C8"/>
    <w:rsid w:val="005B384C"/>
    <w:rsid w:val="005B38DD"/>
    <w:rsid w:val="005B3EB3"/>
    <w:rsid w:val="005B451E"/>
    <w:rsid w:val="005B491F"/>
    <w:rsid w:val="005B568B"/>
    <w:rsid w:val="005B5BE3"/>
    <w:rsid w:val="005B5FDA"/>
    <w:rsid w:val="005B662A"/>
    <w:rsid w:val="005B683B"/>
    <w:rsid w:val="005B6D19"/>
    <w:rsid w:val="005B6FA1"/>
    <w:rsid w:val="005B720F"/>
    <w:rsid w:val="005B7396"/>
    <w:rsid w:val="005B7990"/>
    <w:rsid w:val="005C0009"/>
    <w:rsid w:val="005C0177"/>
    <w:rsid w:val="005C04EB"/>
    <w:rsid w:val="005C05F5"/>
    <w:rsid w:val="005C0685"/>
    <w:rsid w:val="005C0A38"/>
    <w:rsid w:val="005C0D7C"/>
    <w:rsid w:val="005C1382"/>
    <w:rsid w:val="005C1A0B"/>
    <w:rsid w:val="005C1A21"/>
    <w:rsid w:val="005C1E12"/>
    <w:rsid w:val="005C21A1"/>
    <w:rsid w:val="005C2D32"/>
    <w:rsid w:val="005C2EDA"/>
    <w:rsid w:val="005C30DE"/>
    <w:rsid w:val="005C3669"/>
    <w:rsid w:val="005C480C"/>
    <w:rsid w:val="005C5957"/>
    <w:rsid w:val="005C5A20"/>
    <w:rsid w:val="005C5D0C"/>
    <w:rsid w:val="005C5FBC"/>
    <w:rsid w:val="005C62ED"/>
    <w:rsid w:val="005C643F"/>
    <w:rsid w:val="005C7040"/>
    <w:rsid w:val="005C744E"/>
    <w:rsid w:val="005C77FD"/>
    <w:rsid w:val="005D082F"/>
    <w:rsid w:val="005D1DF6"/>
    <w:rsid w:val="005D1F6C"/>
    <w:rsid w:val="005D20E7"/>
    <w:rsid w:val="005D2ACE"/>
    <w:rsid w:val="005D3B9F"/>
    <w:rsid w:val="005D3F17"/>
    <w:rsid w:val="005D43E9"/>
    <w:rsid w:val="005D4778"/>
    <w:rsid w:val="005D47F3"/>
    <w:rsid w:val="005D5444"/>
    <w:rsid w:val="005D5B01"/>
    <w:rsid w:val="005D6182"/>
    <w:rsid w:val="005D6BD3"/>
    <w:rsid w:val="005D6D30"/>
    <w:rsid w:val="005D77CA"/>
    <w:rsid w:val="005D7E84"/>
    <w:rsid w:val="005D7F95"/>
    <w:rsid w:val="005E0777"/>
    <w:rsid w:val="005E193B"/>
    <w:rsid w:val="005E1AFD"/>
    <w:rsid w:val="005E1E07"/>
    <w:rsid w:val="005E21B1"/>
    <w:rsid w:val="005E282B"/>
    <w:rsid w:val="005E2B3D"/>
    <w:rsid w:val="005E2D6A"/>
    <w:rsid w:val="005E2DA6"/>
    <w:rsid w:val="005E2EBC"/>
    <w:rsid w:val="005E32F2"/>
    <w:rsid w:val="005E333E"/>
    <w:rsid w:val="005E39C7"/>
    <w:rsid w:val="005E3B6D"/>
    <w:rsid w:val="005E3DAB"/>
    <w:rsid w:val="005E40C0"/>
    <w:rsid w:val="005E4322"/>
    <w:rsid w:val="005E4679"/>
    <w:rsid w:val="005E46BB"/>
    <w:rsid w:val="005E4B3F"/>
    <w:rsid w:val="005E4C47"/>
    <w:rsid w:val="005E51AD"/>
    <w:rsid w:val="005E523B"/>
    <w:rsid w:val="005E5474"/>
    <w:rsid w:val="005E6204"/>
    <w:rsid w:val="005E7001"/>
    <w:rsid w:val="005E724A"/>
    <w:rsid w:val="005E76B3"/>
    <w:rsid w:val="005E7814"/>
    <w:rsid w:val="005E7AAB"/>
    <w:rsid w:val="005F0ADB"/>
    <w:rsid w:val="005F0BF2"/>
    <w:rsid w:val="005F166C"/>
    <w:rsid w:val="005F2846"/>
    <w:rsid w:val="005F2DB7"/>
    <w:rsid w:val="005F3BE9"/>
    <w:rsid w:val="005F427F"/>
    <w:rsid w:val="005F4C6B"/>
    <w:rsid w:val="005F506D"/>
    <w:rsid w:val="005F50F7"/>
    <w:rsid w:val="005F60D1"/>
    <w:rsid w:val="005F6141"/>
    <w:rsid w:val="005F630E"/>
    <w:rsid w:val="005F675A"/>
    <w:rsid w:val="005F713A"/>
    <w:rsid w:val="005F79DD"/>
    <w:rsid w:val="005F7FD9"/>
    <w:rsid w:val="00600326"/>
    <w:rsid w:val="006003CF"/>
    <w:rsid w:val="006005EB"/>
    <w:rsid w:val="00600D25"/>
    <w:rsid w:val="00600D30"/>
    <w:rsid w:val="00601FFF"/>
    <w:rsid w:val="006021D0"/>
    <w:rsid w:val="0060236A"/>
    <w:rsid w:val="00602548"/>
    <w:rsid w:val="006027B7"/>
    <w:rsid w:val="00602D8F"/>
    <w:rsid w:val="00602E66"/>
    <w:rsid w:val="00602F18"/>
    <w:rsid w:val="00602F3A"/>
    <w:rsid w:val="00603060"/>
    <w:rsid w:val="006030EA"/>
    <w:rsid w:val="006033B6"/>
    <w:rsid w:val="0060349A"/>
    <w:rsid w:val="006037DF"/>
    <w:rsid w:val="00603CB3"/>
    <w:rsid w:val="00603CDD"/>
    <w:rsid w:val="00604349"/>
    <w:rsid w:val="006043D4"/>
    <w:rsid w:val="00604954"/>
    <w:rsid w:val="006054D6"/>
    <w:rsid w:val="006054DC"/>
    <w:rsid w:val="006055D7"/>
    <w:rsid w:val="00605A8F"/>
    <w:rsid w:val="00605C68"/>
    <w:rsid w:val="006065BF"/>
    <w:rsid w:val="006066D3"/>
    <w:rsid w:val="00606A75"/>
    <w:rsid w:val="00607751"/>
    <w:rsid w:val="006102B4"/>
    <w:rsid w:val="006106F2"/>
    <w:rsid w:val="006109D1"/>
    <w:rsid w:val="00610A33"/>
    <w:rsid w:val="00610D45"/>
    <w:rsid w:val="00611006"/>
    <w:rsid w:val="00611601"/>
    <w:rsid w:val="00612D13"/>
    <w:rsid w:val="006139CC"/>
    <w:rsid w:val="00613DF0"/>
    <w:rsid w:val="006144E3"/>
    <w:rsid w:val="0061490D"/>
    <w:rsid w:val="0061495A"/>
    <w:rsid w:val="00615EFE"/>
    <w:rsid w:val="0061649A"/>
    <w:rsid w:val="006164E1"/>
    <w:rsid w:val="00616530"/>
    <w:rsid w:val="006170C8"/>
    <w:rsid w:val="00617C35"/>
    <w:rsid w:val="00617CE0"/>
    <w:rsid w:val="006200EE"/>
    <w:rsid w:val="00620E1D"/>
    <w:rsid w:val="006211C8"/>
    <w:rsid w:val="006214C6"/>
    <w:rsid w:val="00621550"/>
    <w:rsid w:val="00621700"/>
    <w:rsid w:val="00621BBD"/>
    <w:rsid w:val="00621CED"/>
    <w:rsid w:val="00622C4B"/>
    <w:rsid w:val="0062333E"/>
    <w:rsid w:val="00623B97"/>
    <w:rsid w:val="00623CC7"/>
    <w:rsid w:val="00623F1C"/>
    <w:rsid w:val="00624524"/>
    <w:rsid w:val="00624582"/>
    <w:rsid w:val="00624624"/>
    <w:rsid w:val="00624893"/>
    <w:rsid w:val="00624BF6"/>
    <w:rsid w:val="00624D83"/>
    <w:rsid w:val="00624E1A"/>
    <w:rsid w:val="00625C24"/>
    <w:rsid w:val="00625FF9"/>
    <w:rsid w:val="0062728A"/>
    <w:rsid w:val="00627A2C"/>
    <w:rsid w:val="00627EE0"/>
    <w:rsid w:val="00630228"/>
    <w:rsid w:val="00630520"/>
    <w:rsid w:val="00630DE0"/>
    <w:rsid w:val="00630F55"/>
    <w:rsid w:val="006310A9"/>
    <w:rsid w:val="00631795"/>
    <w:rsid w:val="00631BDB"/>
    <w:rsid w:val="00631FA0"/>
    <w:rsid w:val="00633476"/>
    <w:rsid w:val="006337F7"/>
    <w:rsid w:val="0063394C"/>
    <w:rsid w:val="00633F73"/>
    <w:rsid w:val="00634DCC"/>
    <w:rsid w:val="00634DDE"/>
    <w:rsid w:val="006353A2"/>
    <w:rsid w:val="006353BE"/>
    <w:rsid w:val="00635E98"/>
    <w:rsid w:val="00636791"/>
    <w:rsid w:val="00636CA0"/>
    <w:rsid w:val="00636E4F"/>
    <w:rsid w:val="00637AA9"/>
    <w:rsid w:val="00637AE0"/>
    <w:rsid w:val="006411F9"/>
    <w:rsid w:val="00641307"/>
    <w:rsid w:val="00641BCF"/>
    <w:rsid w:val="00641FB9"/>
    <w:rsid w:val="00642110"/>
    <w:rsid w:val="00642A54"/>
    <w:rsid w:val="00642B25"/>
    <w:rsid w:val="00642C48"/>
    <w:rsid w:val="006438EF"/>
    <w:rsid w:val="00644603"/>
    <w:rsid w:val="006446CF"/>
    <w:rsid w:val="00644710"/>
    <w:rsid w:val="00644C6B"/>
    <w:rsid w:val="00644D27"/>
    <w:rsid w:val="00644D3A"/>
    <w:rsid w:val="00644FC6"/>
    <w:rsid w:val="00645094"/>
    <w:rsid w:val="00645238"/>
    <w:rsid w:val="00645512"/>
    <w:rsid w:val="00645CD7"/>
    <w:rsid w:val="00645ED6"/>
    <w:rsid w:val="00646020"/>
    <w:rsid w:val="00646133"/>
    <w:rsid w:val="0064672F"/>
    <w:rsid w:val="0064692E"/>
    <w:rsid w:val="006469A9"/>
    <w:rsid w:val="00646D0B"/>
    <w:rsid w:val="00646D2E"/>
    <w:rsid w:val="0064732B"/>
    <w:rsid w:val="00647598"/>
    <w:rsid w:val="0064771B"/>
    <w:rsid w:val="00647761"/>
    <w:rsid w:val="00647CD7"/>
    <w:rsid w:val="006505BC"/>
    <w:rsid w:val="00650739"/>
    <w:rsid w:val="006508EF"/>
    <w:rsid w:val="00650965"/>
    <w:rsid w:val="00650B6A"/>
    <w:rsid w:val="006518E8"/>
    <w:rsid w:val="00651C8D"/>
    <w:rsid w:val="00651F69"/>
    <w:rsid w:val="0065257D"/>
    <w:rsid w:val="00653670"/>
    <w:rsid w:val="00653716"/>
    <w:rsid w:val="0065398D"/>
    <w:rsid w:val="00653A25"/>
    <w:rsid w:val="00653A4A"/>
    <w:rsid w:val="00653B2D"/>
    <w:rsid w:val="00655366"/>
    <w:rsid w:val="0065554D"/>
    <w:rsid w:val="0065583D"/>
    <w:rsid w:val="00655EFA"/>
    <w:rsid w:val="00656160"/>
    <w:rsid w:val="0065639A"/>
    <w:rsid w:val="00657120"/>
    <w:rsid w:val="006571E9"/>
    <w:rsid w:val="00660060"/>
    <w:rsid w:val="00660202"/>
    <w:rsid w:val="00661D8A"/>
    <w:rsid w:val="00661EC6"/>
    <w:rsid w:val="006620BA"/>
    <w:rsid w:val="00662878"/>
    <w:rsid w:val="006630BA"/>
    <w:rsid w:val="00663430"/>
    <w:rsid w:val="00663878"/>
    <w:rsid w:val="006641DF"/>
    <w:rsid w:val="00664F7D"/>
    <w:rsid w:val="006651E2"/>
    <w:rsid w:val="0066534F"/>
    <w:rsid w:val="006653E4"/>
    <w:rsid w:val="006655ED"/>
    <w:rsid w:val="00665C14"/>
    <w:rsid w:val="00665F38"/>
    <w:rsid w:val="00666732"/>
    <w:rsid w:val="006671B5"/>
    <w:rsid w:val="006676AB"/>
    <w:rsid w:val="0067075E"/>
    <w:rsid w:val="00671765"/>
    <w:rsid w:val="00672480"/>
    <w:rsid w:val="0067283E"/>
    <w:rsid w:val="00672A92"/>
    <w:rsid w:val="00672DE1"/>
    <w:rsid w:val="00673B2E"/>
    <w:rsid w:val="00673DBE"/>
    <w:rsid w:val="0067402E"/>
    <w:rsid w:val="006752CE"/>
    <w:rsid w:val="006767D5"/>
    <w:rsid w:val="006768AE"/>
    <w:rsid w:val="00677D3F"/>
    <w:rsid w:val="00677F31"/>
    <w:rsid w:val="006803C0"/>
    <w:rsid w:val="006808B8"/>
    <w:rsid w:val="00680918"/>
    <w:rsid w:val="00680CC0"/>
    <w:rsid w:val="0068105D"/>
    <w:rsid w:val="00682132"/>
    <w:rsid w:val="006824C7"/>
    <w:rsid w:val="00682CF6"/>
    <w:rsid w:val="006838EB"/>
    <w:rsid w:val="00684331"/>
    <w:rsid w:val="006843A2"/>
    <w:rsid w:val="00684455"/>
    <w:rsid w:val="00684827"/>
    <w:rsid w:val="00684A3F"/>
    <w:rsid w:val="00684F40"/>
    <w:rsid w:val="00685653"/>
    <w:rsid w:val="00685963"/>
    <w:rsid w:val="00685B74"/>
    <w:rsid w:val="00685B81"/>
    <w:rsid w:val="00685DEB"/>
    <w:rsid w:val="006867B0"/>
    <w:rsid w:val="00687228"/>
    <w:rsid w:val="00687CBB"/>
    <w:rsid w:val="00690633"/>
    <w:rsid w:val="00690F31"/>
    <w:rsid w:val="0069122A"/>
    <w:rsid w:val="00691CE0"/>
    <w:rsid w:val="00692900"/>
    <w:rsid w:val="00692CFE"/>
    <w:rsid w:val="00692E0B"/>
    <w:rsid w:val="006930B9"/>
    <w:rsid w:val="0069425D"/>
    <w:rsid w:val="00694503"/>
    <w:rsid w:val="00695275"/>
    <w:rsid w:val="00695B70"/>
    <w:rsid w:val="00695CEF"/>
    <w:rsid w:val="006964E0"/>
    <w:rsid w:val="00696887"/>
    <w:rsid w:val="00696A7C"/>
    <w:rsid w:val="00696F89"/>
    <w:rsid w:val="006973FC"/>
    <w:rsid w:val="00697593"/>
    <w:rsid w:val="00697AB3"/>
    <w:rsid w:val="00697B6A"/>
    <w:rsid w:val="006A030D"/>
    <w:rsid w:val="006A0611"/>
    <w:rsid w:val="006A1CF3"/>
    <w:rsid w:val="006A1CFD"/>
    <w:rsid w:val="006A21FF"/>
    <w:rsid w:val="006A2938"/>
    <w:rsid w:val="006A41AB"/>
    <w:rsid w:val="006A4429"/>
    <w:rsid w:val="006A484F"/>
    <w:rsid w:val="006A494D"/>
    <w:rsid w:val="006A4B61"/>
    <w:rsid w:val="006A4BAA"/>
    <w:rsid w:val="006A5CAF"/>
    <w:rsid w:val="006A5D43"/>
    <w:rsid w:val="006A5E8F"/>
    <w:rsid w:val="006A6AEF"/>
    <w:rsid w:val="006A6B05"/>
    <w:rsid w:val="006A6DBB"/>
    <w:rsid w:val="006A720F"/>
    <w:rsid w:val="006A73D9"/>
    <w:rsid w:val="006A7478"/>
    <w:rsid w:val="006A7728"/>
    <w:rsid w:val="006A7DFB"/>
    <w:rsid w:val="006B0769"/>
    <w:rsid w:val="006B092E"/>
    <w:rsid w:val="006B0AD5"/>
    <w:rsid w:val="006B1022"/>
    <w:rsid w:val="006B1448"/>
    <w:rsid w:val="006B1CB6"/>
    <w:rsid w:val="006B24CA"/>
    <w:rsid w:val="006B27F1"/>
    <w:rsid w:val="006B2CBD"/>
    <w:rsid w:val="006B3506"/>
    <w:rsid w:val="006B35E4"/>
    <w:rsid w:val="006B37BC"/>
    <w:rsid w:val="006B3FD9"/>
    <w:rsid w:val="006B462D"/>
    <w:rsid w:val="006B47AD"/>
    <w:rsid w:val="006B4C3C"/>
    <w:rsid w:val="006B4D02"/>
    <w:rsid w:val="006B4D79"/>
    <w:rsid w:val="006B4F92"/>
    <w:rsid w:val="006B4FE2"/>
    <w:rsid w:val="006B5054"/>
    <w:rsid w:val="006B5060"/>
    <w:rsid w:val="006B52D5"/>
    <w:rsid w:val="006B5AA1"/>
    <w:rsid w:val="006B64C3"/>
    <w:rsid w:val="006B65BF"/>
    <w:rsid w:val="006B67AB"/>
    <w:rsid w:val="006B6DA6"/>
    <w:rsid w:val="006B73AA"/>
    <w:rsid w:val="006B7D0F"/>
    <w:rsid w:val="006B7DDD"/>
    <w:rsid w:val="006B7EAE"/>
    <w:rsid w:val="006C067C"/>
    <w:rsid w:val="006C09EF"/>
    <w:rsid w:val="006C0BCE"/>
    <w:rsid w:val="006C0C92"/>
    <w:rsid w:val="006C17AC"/>
    <w:rsid w:val="006C3838"/>
    <w:rsid w:val="006C3BC1"/>
    <w:rsid w:val="006C3F24"/>
    <w:rsid w:val="006C433D"/>
    <w:rsid w:val="006C47F3"/>
    <w:rsid w:val="006C4E49"/>
    <w:rsid w:val="006C4ECF"/>
    <w:rsid w:val="006C56D1"/>
    <w:rsid w:val="006C5B80"/>
    <w:rsid w:val="006C6004"/>
    <w:rsid w:val="006C6C6F"/>
    <w:rsid w:val="006C710D"/>
    <w:rsid w:val="006C730C"/>
    <w:rsid w:val="006C781E"/>
    <w:rsid w:val="006C79CE"/>
    <w:rsid w:val="006C7A58"/>
    <w:rsid w:val="006C7E1B"/>
    <w:rsid w:val="006D01D0"/>
    <w:rsid w:val="006D044B"/>
    <w:rsid w:val="006D0E37"/>
    <w:rsid w:val="006D15C4"/>
    <w:rsid w:val="006D16B2"/>
    <w:rsid w:val="006D1BB8"/>
    <w:rsid w:val="006D1E9D"/>
    <w:rsid w:val="006D36A9"/>
    <w:rsid w:val="006D4F40"/>
    <w:rsid w:val="006D57EB"/>
    <w:rsid w:val="006D58F6"/>
    <w:rsid w:val="006D6A33"/>
    <w:rsid w:val="006D6B8B"/>
    <w:rsid w:val="006D6C9A"/>
    <w:rsid w:val="006D6ED8"/>
    <w:rsid w:val="006D76AF"/>
    <w:rsid w:val="006D7753"/>
    <w:rsid w:val="006E1407"/>
    <w:rsid w:val="006E1C53"/>
    <w:rsid w:val="006E24E1"/>
    <w:rsid w:val="006E2B1E"/>
    <w:rsid w:val="006E2D59"/>
    <w:rsid w:val="006E301B"/>
    <w:rsid w:val="006E31B9"/>
    <w:rsid w:val="006E45C8"/>
    <w:rsid w:val="006E49DE"/>
    <w:rsid w:val="006E4DCC"/>
    <w:rsid w:val="006E53AD"/>
    <w:rsid w:val="006E6F22"/>
    <w:rsid w:val="006E7A1F"/>
    <w:rsid w:val="006E7B85"/>
    <w:rsid w:val="006F0085"/>
    <w:rsid w:val="006F0197"/>
    <w:rsid w:val="006F0592"/>
    <w:rsid w:val="006F06F1"/>
    <w:rsid w:val="006F0935"/>
    <w:rsid w:val="006F09A0"/>
    <w:rsid w:val="006F1759"/>
    <w:rsid w:val="006F2628"/>
    <w:rsid w:val="006F2D1F"/>
    <w:rsid w:val="006F3883"/>
    <w:rsid w:val="006F3D59"/>
    <w:rsid w:val="006F3F73"/>
    <w:rsid w:val="006F43F7"/>
    <w:rsid w:val="006F5116"/>
    <w:rsid w:val="006F54DA"/>
    <w:rsid w:val="006F5CDC"/>
    <w:rsid w:val="006F5ED8"/>
    <w:rsid w:val="006F637E"/>
    <w:rsid w:val="006F6AF3"/>
    <w:rsid w:val="006F6FB2"/>
    <w:rsid w:val="006F6FC4"/>
    <w:rsid w:val="006F6FDF"/>
    <w:rsid w:val="006F7569"/>
    <w:rsid w:val="006F7699"/>
    <w:rsid w:val="006F7CCB"/>
    <w:rsid w:val="006F7E57"/>
    <w:rsid w:val="006F7FF1"/>
    <w:rsid w:val="00700D67"/>
    <w:rsid w:val="00700E0B"/>
    <w:rsid w:val="007017A7"/>
    <w:rsid w:val="00701915"/>
    <w:rsid w:val="00701B61"/>
    <w:rsid w:val="00701F23"/>
    <w:rsid w:val="007021C4"/>
    <w:rsid w:val="0070289E"/>
    <w:rsid w:val="0070294E"/>
    <w:rsid w:val="007033DB"/>
    <w:rsid w:val="007035DF"/>
    <w:rsid w:val="00703D22"/>
    <w:rsid w:val="00703D6D"/>
    <w:rsid w:val="00703DA6"/>
    <w:rsid w:val="007045E7"/>
    <w:rsid w:val="00704D38"/>
    <w:rsid w:val="0070546E"/>
    <w:rsid w:val="007062C4"/>
    <w:rsid w:val="00706C0B"/>
    <w:rsid w:val="007078E2"/>
    <w:rsid w:val="00710287"/>
    <w:rsid w:val="0071057B"/>
    <w:rsid w:val="007108A9"/>
    <w:rsid w:val="007109A5"/>
    <w:rsid w:val="00710C6F"/>
    <w:rsid w:val="007118E5"/>
    <w:rsid w:val="00711E87"/>
    <w:rsid w:val="0071255B"/>
    <w:rsid w:val="007125E6"/>
    <w:rsid w:val="00712A67"/>
    <w:rsid w:val="00713A12"/>
    <w:rsid w:val="00713FA4"/>
    <w:rsid w:val="00714963"/>
    <w:rsid w:val="00714CCB"/>
    <w:rsid w:val="00714CE3"/>
    <w:rsid w:val="00715807"/>
    <w:rsid w:val="00715AC8"/>
    <w:rsid w:val="00715C24"/>
    <w:rsid w:val="00715C2A"/>
    <w:rsid w:val="00715F16"/>
    <w:rsid w:val="00716295"/>
    <w:rsid w:val="0071657A"/>
    <w:rsid w:val="00716982"/>
    <w:rsid w:val="00716F21"/>
    <w:rsid w:val="007172BB"/>
    <w:rsid w:val="0071762F"/>
    <w:rsid w:val="00717ED6"/>
    <w:rsid w:val="00720542"/>
    <w:rsid w:val="00720D08"/>
    <w:rsid w:val="00721492"/>
    <w:rsid w:val="007217BE"/>
    <w:rsid w:val="007219C2"/>
    <w:rsid w:val="007225C3"/>
    <w:rsid w:val="00722627"/>
    <w:rsid w:val="00722CBB"/>
    <w:rsid w:val="00723A8A"/>
    <w:rsid w:val="00724354"/>
    <w:rsid w:val="00724E70"/>
    <w:rsid w:val="00725447"/>
    <w:rsid w:val="007254B4"/>
    <w:rsid w:val="0072593D"/>
    <w:rsid w:val="00725B5E"/>
    <w:rsid w:val="00726008"/>
    <w:rsid w:val="00726B28"/>
    <w:rsid w:val="00726DDF"/>
    <w:rsid w:val="00727BDC"/>
    <w:rsid w:val="00727C57"/>
    <w:rsid w:val="00727E8F"/>
    <w:rsid w:val="0073026C"/>
    <w:rsid w:val="0073104A"/>
    <w:rsid w:val="00731274"/>
    <w:rsid w:val="00731FA4"/>
    <w:rsid w:val="007325B2"/>
    <w:rsid w:val="0073295B"/>
    <w:rsid w:val="00732CFA"/>
    <w:rsid w:val="00732E44"/>
    <w:rsid w:val="00733155"/>
    <w:rsid w:val="00733689"/>
    <w:rsid w:val="0073380A"/>
    <w:rsid w:val="00733B4C"/>
    <w:rsid w:val="00733C05"/>
    <w:rsid w:val="00733FCD"/>
    <w:rsid w:val="00734C76"/>
    <w:rsid w:val="00734DEC"/>
    <w:rsid w:val="00735953"/>
    <w:rsid w:val="00736098"/>
    <w:rsid w:val="007360F9"/>
    <w:rsid w:val="00736E78"/>
    <w:rsid w:val="007371E7"/>
    <w:rsid w:val="007373C5"/>
    <w:rsid w:val="007377A5"/>
    <w:rsid w:val="007377A7"/>
    <w:rsid w:val="00737CB3"/>
    <w:rsid w:val="007402CB"/>
    <w:rsid w:val="00740489"/>
    <w:rsid w:val="007406E6"/>
    <w:rsid w:val="00740CCE"/>
    <w:rsid w:val="007414DE"/>
    <w:rsid w:val="007425D9"/>
    <w:rsid w:val="0074276F"/>
    <w:rsid w:val="00743697"/>
    <w:rsid w:val="00743D6C"/>
    <w:rsid w:val="00744B39"/>
    <w:rsid w:val="00745B56"/>
    <w:rsid w:val="00746143"/>
    <w:rsid w:val="0074647A"/>
    <w:rsid w:val="007470B8"/>
    <w:rsid w:val="007472D8"/>
    <w:rsid w:val="00750668"/>
    <w:rsid w:val="00750B0B"/>
    <w:rsid w:val="00750D0B"/>
    <w:rsid w:val="00751614"/>
    <w:rsid w:val="00751738"/>
    <w:rsid w:val="00751C8C"/>
    <w:rsid w:val="00752027"/>
    <w:rsid w:val="0075256D"/>
    <w:rsid w:val="00752EE3"/>
    <w:rsid w:val="00753446"/>
    <w:rsid w:val="00753D77"/>
    <w:rsid w:val="00754364"/>
    <w:rsid w:val="007547D8"/>
    <w:rsid w:val="00754A27"/>
    <w:rsid w:val="0075528A"/>
    <w:rsid w:val="00755E0C"/>
    <w:rsid w:val="00755E2E"/>
    <w:rsid w:val="0075605E"/>
    <w:rsid w:val="007561D5"/>
    <w:rsid w:val="00756A6C"/>
    <w:rsid w:val="00756A90"/>
    <w:rsid w:val="00756ACA"/>
    <w:rsid w:val="00756E9C"/>
    <w:rsid w:val="00756EB5"/>
    <w:rsid w:val="007571F3"/>
    <w:rsid w:val="0075730D"/>
    <w:rsid w:val="0075762E"/>
    <w:rsid w:val="00757D19"/>
    <w:rsid w:val="007600D7"/>
    <w:rsid w:val="00760DF2"/>
    <w:rsid w:val="00761ECB"/>
    <w:rsid w:val="00762D9F"/>
    <w:rsid w:val="00762DCC"/>
    <w:rsid w:val="00762E96"/>
    <w:rsid w:val="007634DA"/>
    <w:rsid w:val="00763E13"/>
    <w:rsid w:val="00764018"/>
    <w:rsid w:val="0076408C"/>
    <w:rsid w:val="00764999"/>
    <w:rsid w:val="00765378"/>
    <w:rsid w:val="007654EE"/>
    <w:rsid w:val="007659BE"/>
    <w:rsid w:val="007664DF"/>
    <w:rsid w:val="007668EC"/>
    <w:rsid w:val="00766B8C"/>
    <w:rsid w:val="00766DC0"/>
    <w:rsid w:val="00766EF4"/>
    <w:rsid w:val="00767470"/>
    <w:rsid w:val="007702B0"/>
    <w:rsid w:val="0077036A"/>
    <w:rsid w:val="00770696"/>
    <w:rsid w:val="007707E2"/>
    <w:rsid w:val="00770C7A"/>
    <w:rsid w:val="00770D81"/>
    <w:rsid w:val="007710AE"/>
    <w:rsid w:val="007712C5"/>
    <w:rsid w:val="00771FDD"/>
    <w:rsid w:val="007729C9"/>
    <w:rsid w:val="00773244"/>
    <w:rsid w:val="007743CA"/>
    <w:rsid w:val="007751BD"/>
    <w:rsid w:val="00775234"/>
    <w:rsid w:val="0077576D"/>
    <w:rsid w:val="00775842"/>
    <w:rsid w:val="00775A8A"/>
    <w:rsid w:val="007760A1"/>
    <w:rsid w:val="00776C1B"/>
    <w:rsid w:val="00776D24"/>
    <w:rsid w:val="007774D7"/>
    <w:rsid w:val="00777C1F"/>
    <w:rsid w:val="00777EEC"/>
    <w:rsid w:val="00780AC7"/>
    <w:rsid w:val="00780BF6"/>
    <w:rsid w:val="007813A5"/>
    <w:rsid w:val="007814C7"/>
    <w:rsid w:val="00781634"/>
    <w:rsid w:val="0078165A"/>
    <w:rsid w:val="00781A14"/>
    <w:rsid w:val="00781B8C"/>
    <w:rsid w:val="00782109"/>
    <w:rsid w:val="00782206"/>
    <w:rsid w:val="00782735"/>
    <w:rsid w:val="0078381E"/>
    <w:rsid w:val="00783A91"/>
    <w:rsid w:val="00784A1B"/>
    <w:rsid w:val="00784A1C"/>
    <w:rsid w:val="00784C30"/>
    <w:rsid w:val="007854F4"/>
    <w:rsid w:val="00786239"/>
    <w:rsid w:val="00786546"/>
    <w:rsid w:val="00787A5B"/>
    <w:rsid w:val="00787E0C"/>
    <w:rsid w:val="00790207"/>
    <w:rsid w:val="0079073C"/>
    <w:rsid w:val="007907A0"/>
    <w:rsid w:val="00790BB6"/>
    <w:rsid w:val="00790D66"/>
    <w:rsid w:val="0079134F"/>
    <w:rsid w:val="007916A2"/>
    <w:rsid w:val="007922EE"/>
    <w:rsid w:val="00793104"/>
    <w:rsid w:val="00793C18"/>
    <w:rsid w:val="00793DB4"/>
    <w:rsid w:val="00793EDB"/>
    <w:rsid w:val="00793F1F"/>
    <w:rsid w:val="00793FF2"/>
    <w:rsid w:val="00794D36"/>
    <w:rsid w:val="00794E79"/>
    <w:rsid w:val="007954E1"/>
    <w:rsid w:val="0079571C"/>
    <w:rsid w:val="007957FF"/>
    <w:rsid w:val="00795B45"/>
    <w:rsid w:val="00795B75"/>
    <w:rsid w:val="00795BD1"/>
    <w:rsid w:val="00795D3B"/>
    <w:rsid w:val="00796511"/>
    <w:rsid w:val="007966DE"/>
    <w:rsid w:val="00796939"/>
    <w:rsid w:val="007974FE"/>
    <w:rsid w:val="00797BF6"/>
    <w:rsid w:val="00797C85"/>
    <w:rsid w:val="00797F99"/>
    <w:rsid w:val="007A0703"/>
    <w:rsid w:val="007A1BC6"/>
    <w:rsid w:val="007A2146"/>
    <w:rsid w:val="007A24F5"/>
    <w:rsid w:val="007A2599"/>
    <w:rsid w:val="007A2C59"/>
    <w:rsid w:val="007A2D34"/>
    <w:rsid w:val="007A3136"/>
    <w:rsid w:val="007A3AC8"/>
    <w:rsid w:val="007A3CBF"/>
    <w:rsid w:val="007A3E65"/>
    <w:rsid w:val="007A41CE"/>
    <w:rsid w:val="007A4D78"/>
    <w:rsid w:val="007A4F8A"/>
    <w:rsid w:val="007A5216"/>
    <w:rsid w:val="007A60C0"/>
    <w:rsid w:val="007A7EE5"/>
    <w:rsid w:val="007B0122"/>
    <w:rsid w:val="007B024A"/>
    <w:rsid w:val="007B0AC4"/>
    <w:rsid w:val="007B1403"/>
    <w:rsid w:val="007B1DC1"/>
    <w:rsid w:val="007B1EAA"/>
    <w:rsid w:val="007B224A"/>
    <w:rsid w:val="007B2B39"/>
    <w:rsid w:val="007B2E62"/>
    <w:rsid w:val="007B2FD7"/>
    <w:rsid w:val="007B326F"/>
    <w:rsid w:val="007B3445"/>
    <w:rsid w:val="007B3E97"/>
    <w:rsid w:val="007B40C4"/>
    <w:rsid w:val="007B4735"/>
    <w:rsid w:val="007B4F8E"/>
    <w:rsid w:val="007B56C3"/>
    <w:rsid w:val="007B6078"/>
    <w:rsid w:val="007B70CE"/>
    <w:rsid w:val="007B7407"/>
    <w:rsid w:val="007C0192"/>
    <w:rsid w:val="007C06DE"/>
    <w:rsid w:val="007C0B4D"/>
    <w:rsid w:val="007C0CA5"/>
    <w:rsid w:val="007C0F39"/>
    <w:rsid w:val="007C1B0B"/>
    <w:rsid w:val="007C1D29"/>
    <w:rsid w:val="007C1D35"/>
    <w:rsid w:val="007C20B4"/>
    <w:rsid w:val="007C24C8"/>
    <w:rsid w:val="007C2789"/>
    <w:rsid w:val="007C3414"/>
    <w:rsid w:val="007C35C3"/>
    <w:rsid w:val="007C3BBF"/>
    <w:rsid w:val="007C419B"/>
    <w:rsid w:val="007C45B3"/>
    <w:rsid w:val="007C48C8"/>
    <w:rsid w:val="007C4A06"/>
    <w:rsid w:val="007C6520"/>
    <w:rsid w:val="007C6EFA"/>
    <w:rsid w:val="007C73C8"/>
    <w:rsid w:val="007C7C4E"/>
    <w:rsid w:val="007D08C2"/>
    <w:rsid w:val="007D17D5"/>
    <w:rsid w:val="007D2634"/>
    <w:rsid w:val="007D295F"/>
    <w:rsid w:val="007D2BFD"/>
    <w:rsid w:val="007D2D7E"/>
    <w:rsid w:val="007D2E51"/>
    <w:rsid w:val="007D3224"/>
    <w:rsid w:val="007D41D3"/>
    <w:rsid w:val="007D4732"/>
    <w:rsid w:val="007D474F"/>
    <w:rsid w:val="007D49E0"/>
    <w:rsid w:val="007D49F1"/>
    <w:rsid w:val="007D4AA9"/>
    <w:rsid w:val="007D4C2D"/>
    <w:rsid w:val="007D5026"/>
    <w:rsid w:val="007D5554"/>
    <w:rsid w:val="007D55A9"/>
    <w:rsid w:val="007D61DE"/>
    <w:rsid w:val="007D6643"/>
    <w:rsid w:val="007D666E"/>
    <w:rsid w:val="007D6908"/>
    <w:rsid w:val="007D6A15"/>
    <w:rsid w:val="007D6DDC"/>
    <w:rsid w:val="007D7A9E"/>
    <w:rsid w:val="007D7D77"/>
    <w:rsid w:val="007E034D"/>
    <w:rsid w:val="007E048D"/>
    <w:rsid w:val="007E0727"/>
    <w:rsid w:val="007E08C1"/>
    <w:rsid w:val="007E0939"/>
    <w:rsid w:val="007E101F"/>
    <w:rsid w:val="007E13ED"/>
    <w:rsid w:val="007E13FB"/>
    <w:rsid w:val="007E155B"/>
    <w:rsid w:val="007E1923"/>
    <w:rsid w:val="007E1A2A"/>
    <w:rsid w:val="007E21D9"/>
    <w:rsid w:val="007E2DC0"/>
    <w:rsid w:val="007E30D3"/>
    <w:rsid w:val="007E3D78"/>
    <w:rsid w:val="007E40E7"/>
    <w:rsid w:val="007E46BF"/>
    <w:rsid w:val="007E5165"/>
    <w:rsid w:val="007E643E"/>
    <w:rsid w:val="007E6502"/>
    <w:rsid w:val="007E6E45"/>
    <w:rsid w:val="007E6FBF"/>
    <w:rsid w:val="007E7875"/>
    <w:rsid w:val="007E7A05"/>
    <w:rsid w:val="007E7AD9"/>
    <w:rsid w:val="007E7DA5"/>
    <w:rsid w:val="007F079C"/>
    <w:rsid w:val="007F14E7"/>
    <w:rsid w:val="007F1A8C"/>
    <w:rsid w:val="007F1BBC"/>
    <w:rsid w:val="007F1EAA"/>
    <w:rsid w:val="007F1F48"/>
    <w:rsid w:val="007F28C5"/>
    <w:rsid w:val="007F2BC4"/>
    <w:rsid w:val="007F36F2"/>
    <w:rsid w:val="007F37D4"/>
    <w:rsid w:val="007F3B26"/>
    <w:rsid w:val="007F5869"/>
    <w:rsid w:val="007F614B"/>
    <w:rsid w:val="007F62EB"/>
    <w:rsid w:val="007F6301"/>
    <w:rsid w:val="007F7949"/>
    <w:rsid w:val="007F7D7A"/>
    <w:rsid w:val="007F7EA1"/>
    <w:rsid w:val="00800133"/>
    <w:rsid w:val="008004D1"/>
    <w:rsid w:val="00800610"/>
    <w:rsid w:val="00800C0E"/>
    <w:rsid w:val="00802699"/>
    <w:rsid w:val="008033DF"/>
    <w:rsid w:val="00803ECE"/>
    <w:rsid w:val="00804A38"/>
    <w:rsid w:val="008050D2"/>
    <w:rsid w:val="00805234"/>
    <w:rsid w:val="00805434"/>
    <w:rsid w:val="008060D2"/>
    <w:rsid w:val="008060DE"/>
    <w:rsid w:val="0080611F"/>
    <w:rsid w:val="0080726D"/>
    <w:rsid w:val="0080752B"/>
    <w:rsid w:val="00807ACC"/>
    <w:rsid w:val="00807B8F"/>
    <w:rsid w:val="00807C37"/>
    <w:rsid w:val="0081056D"/>
    <w:rsid w:val="00810DC8"/>
    <w:rsid w:val="00810E82"/>
    <w:rsid w:val="00810E94"/>
    <w:rsid w:val="0081220B"/>
    <w:rsid w:val="008125C4"/>
    <w:rsid w:val="008130FE"/>
    <w:rsid w:val="00813349"/>
    <w:rsid w:val="0081338E"/>
    <w:rsid w:val="008134AA"/>
    <w:rsid w:val="00813BB3"/>
    <w:rsid w:val="00814916"/>
    <w:rsid w:val="00814CBF"/>
    <w:rsid w:val="00815103"/>
    <w:rsid w:val="0081538A"/>
    <w:rsid w:val="0081561C"/>
    <w:rsid w:val="00815D25"/>
    <w:rsid w:val="008167E2"/>
    <w:rsid w:val="00816852"/>
    <w:rsid w:val="0081723A"/>
    <w:rsid w:val="00817857"/>
    <w:rsid w:val="00817BAE"/>
    <w:rsid w:val="008200CB"/>
    <w:rsid w:val="0082021C"/>
    <w:rsid w:val="008222CD"/>
    <w:rsid w:val="0082254A"/>
    <w:rsid w:val="00822669"/>
    <w:rsid w:val="00822689"/>
    <w:rsid w:val="008226BE"/>
    <w:rsid w:val="0082344F"/>
    <w:rsid w:val="0082412F"/>
    <w:rsid w:val="0082441B"/>
    <w:rsid w:val="00824963"/>
    <w:rsid w:val="00825BD3"/>
    <w:rsid w:val="00825EE4"/>
    <w:rsid w:val="008265CD"/>
    <w:rsid w:val="008268B7"/>
    <w:rsid w:val="0082747E"/>
    <w:rsid w:val="0082753B"/>
    <w:rsid w:val="0082776D"/>
    <w:rsid w:val="008279A2"/>
    <w:rsid w:val="008279CE"/>
    <w:rsid w:val="00827BF9"/>
    <w:rsid w:val="00830C3B"/>
    <w:rsid w:val="00830CFD"/>
    <w:rsid w:val="008311EA"/>
    <w:rsid w:val="00831B01"/>
    <w:rsid w:val="008320A8"/>
    <w:rsid w:val="008321F3"/>
    <w:rsid w:val="0083248E"/>
    <w:rsid w:val="00832D29"/>
    <w:rsid w:val="00832DEF"/>
    <w:rsid w:val="00832F6A"/>
    <w:rsid w:val="008331BA"/>
    <w:rsid w:val="008335F2"/>
    <w:rsid w:val="0083370C"/>
    <w:rsid w:val="00833D44"/>
    <w:rsid w:val="008342E1"/>
    <w:rsid w:val="00834573"/>
    <w:rsid w:val="00835121"/>
    <w:rsid w:val="008351D0"/>
    <w:rsid w:val="00835600"/>
    <w:rsid w:val="008365F6"/>
    <w:rsid w:val="008367BB"/>
    <w:rsid w:val="00836A40"/>
    <w:rsid w:val="00836DA5"/>
    <w:rsid w:val="00836F10"/>
    <w:rsid w:val="0083731A"/>
    <w:rsid w:val="00837411"/>
    <w:rsid w:val="00837A06"/>
    <w:rsid w:val="00837C0C"/>
    <w:rsid w:val="00840352"/>
    <w:rsid w:val="00840483"/>
    <w:rsid w:val="008405D7"/>
    <w:rsid w:val="00840C54"/>
    <w:rsid w:val="00840E6A"/>
    <w:rsid w:val="00840F2B"/>
    <w:rsid w:val="0084108B"/>
    <w:rsid w:val="0084122B"/>
    <w:rsid w:val="0084174B"/>
    <w:rsid w:val="00841B52"/>
    <w:rsid w:val="00841B77"/>
    <w:rsid w:val="00841D37"/>
    <w:rsid w:val="00842759"/>
    <w:rsid w:val="00842E36"/>
    <w:rsid w:val="0084388A"/>
    <w:rsid w:val="0084395A"/>
    <w:rsid w:val="0084399B"/>
    <w:rsid w:val="008450DC"/>
    <w:rsid w:val="008453B6"/>
    <w:rsid w:val="00845587"/>
    <w:rsid w:val="00845AB1"/>
    <w:rsid w:val="00845D1D"/>
    <w:rsid w:val="008462AA"/>
    <w:rsid w:val="00846AA9"/>
    <w:rsid w:val="00846ADE"/>
    <w:rsid w:val="00846DAE"/>
    <w:rsid w:val="00846E5E"/>
    <w:rsid w:val="00846EA6"/>
    <w:rsid w:val="00847691"/>
    <w:rsid w:val="00847A31"/>
    <w:rsid w:val="008503FE"/>
    <w:rsid w:val="00851734"/>
    <w:rsid w:val="0085189F"/>
    <w:rsid w:val="00851F2D"/>
    <w:rsid w:val="00852348"/>
    <w:rsid w:val="008539DC"/>
    <w:rsid w:val="00854DC4"/>
    <w:rsid w:val="008553E8"/>
    <w:rsid w:val="00855707"/>
    <w:rsid w:val="00857536"/>
    <w:rsid w:val="00857ACC"/>
    <w:rsid w:val="00857CA0"/>
    <w:rsid w:val="00857E33"/>
    <w:rsid w:val="00860370"/>
    <w:rsid w:val="00860FE3"/>
    <w:rsid w:val="00861592"/>
    <w:rsid w:val="00861671"/>
    <w:rsid w:val="0086174B"/>
    <w:rsid w:val="0086204A"/>
    <w:rsid w:val="008620F3"/>
    <w:rsid w:val="00862D03"/>
    <w:rsid w:val="00863467"/>
    <w:rsid w:val="00864306"/>
    <w:rsid w:val="00864328"/>
    <w:rsid w:val="00864423"/>
    <w:rsid w:val="00864C21"/>
    <w:rsid w:val="00864D9A"/>
    <w:rsid w:val="008654ED"/>
    <w:rsid w:val="008661BE"/>
    <w:rsid w:val="00866358"/>
    <w:rsid w:val="008667E7"/>
    <w:rsid w:val="008671F9"/>
    <w:rsid w:val="0086752C"/>
    <w:rsid w:val="008702B6"/>
    <w:rsid w:val="0087049B"/>
    <w:rsid w:val="00870845"/>
    <w:rsid w:val="00870ACA"/>
    <w:rsid w:val="0087203A"/>
    <w:rsid w:val="0087214D"/>
    <w:rsid w:val="00872A59"/>
    <w:rsid w:val="00873954"/>
    <w:rsid w:val="00873E42"/>
    <w:rsid w:val="00873FAE"/>
    <w:rsid w:val="00874013"/>
    <w:rsid w:val="00874361"/>
    <w:rsid w:val="00874D2A"/>
    <w:rsid w:val="00874F2E"/>
    <w:rsid w:val="00874F7F"/>
    <w:rsid w:val="00875284"/>
    <w:rsid w:val="0087573E"/>
    <w:rsid w:val="0087640C"/>
    <w:rsid w:val="00876F8B"/>
    <w:rsid w:val="00877166"/>
    <w:rsid w:val="00877350"/>
    <w:rsid w:val="008779E7"/>
    <w:rsid w:val="00877AAF"/>
    <w:rsid w:val="00877D31"/>
    <w:rsid w:val="00880799"/>
    <w:rsid w:val="00880D8F"/>
    <w:rsid w:val="00880FAC"/>
    <w:rsid w:val="00881335"/>
    <w:rsid w:val="00882307"/>
    <w:rsid w:val="00882AF7"/>
    <w:rsid w:val="00882B1F"/>
    <w:rsid w:val="00883860"/>
    <w:rsid w:val="00883915"/>
    <w:rsid w:val="00884C21"/>
    <w:rsid w:val="00885010"/>
    <w:rsid w:val="008851A4"/>
    <w:rsid w:val="00885A7B"/>
    <w:rsid w:val="00885D17"/>
    <w:rsid w:val="00885D6D"/>
    <w:rsid w:val="0088680A"/>
    <w:rsid w:val="00886B64"/>
    <w:rsid w:val="008872F5"/>
    <w:rsid w:val="00887407"/>
    <w:rsid w:val="008879E6"/>
    <w:rsid w:val="00887BF7"/>
    <w:rsid w:val="00887DCA"/>
    <w:rsid w:val="00890591"/>
    <w:rsid w:val="00890C03"/>
    <w:rsid w:val="00891061"/>
    <w:rsid w:val="0089136C"/>
    <w:rsid w:val="00891B2B"/>
    <w:rsid w:val="00891F9E"/>
    <w:rsid w:val="00892997"/>
    <w:rsid w:val="008937DE"/>
    <w:rsid w:val="00893B8A"/>
    <w:rsid w:val="00893DF6"/>
    <w:rsid w:val="00893F6F"/>
    <w:rsid w:val="0089492F"/>
    <w:rsid w:val="00894AB7"/>
    <w:rsid w:val="00895CEC"/>
    <w:rsid w:val="00897419"/>
    <w:rsid w:val="00897587"/>
    <w:rsid w:val="008978FC"/>
    <w:rsid w:val="008A0442"/>
    <w:rsid w:val="008A0B3F"/>
    <w:rsid w:val="008A0BAF"/>
    <w:rsid w:val="008A0D2A"/>
    <w:rsid w:val="008A0D36"/>
    <w:rsid w:val="008A113C"/>
    <w:rsid w:val="008A1630"/>
    <w:rsid w:val="008A1C01"/>
    <w:rsid w:val="008A3127"/>
    <w:rsid w:val="008A3632"/>
    <w:rsid w:val="008A46E1"/>
    <w:rsid w:val="008A4804"/>
    <w:rsid w:val="008A4B9A"/>
    <w:rsid w:val="008A4EF5"/>
    <w:rsid w:val="008A5315"/>
    <w:rsid w:val="008A6B81"/>
    <w:rsid w:val="008A738E"/>
    <w:rsid w:val="008A7814"/>
    <w:rsid w:val="008B0C80"/>
    <w:rsid w:val="008B161D"/>
    <w:rsid w:val="008B1825"/>
    <w:rsid w:val="008B1AF6"/>
    <w:rsid w:val="008B1C40"/>
    <w:rsid w:val="008B2268"/>
    <w:rsid w:val="008B24E8"/>
    <w:rsid w:val="008B27A1"/>
    <w:rsid w:val="008B3A50"/>
    <w:rsid w:val="008B3CCD"/>
    <w:rsid w:val="008B424C"/>
    <w:rsid w:val="008B43B1"/>
    <w:rsid w:val="008B4456"/>
    <w:rsid w:val="008B512D"/>
    <w:rsid w:val="008B5628"/>
    <w:rsid w:val="008B5898"/>
    <w:rsid w:val="008B5F25"/>
    <w:rsid w:val="008B63F0"/>
    <w:rsid w:val="008B69BC"/>
    <w:rsid w:val="008B6A6B"/>
    <w:rsid w:val="008B6EEF"/>
    <w:rsid w:val="008B716D"/>
    <w:rsid w:val="008B75DA"/>
    <w:rsid w:val="008B77BC"/>
    <w:rsid w:val="008B780B"/>
    <w:rsid w:val="008B7C2F"/>
    <w:rsid w:val="008B7C5A"/>
    <w:rsid w:val="008C071A"/>
    <w:rsid w:val="008C0A58"/>
    <w:rsid w:val="008C1F34"/>
    <w:rsid w:val="008C1FF3"/>
    <w:rsid w:val="008C2B2C"/>
    <w:rsid w:val="008C2FF0"/>
    <w:rsid w:val="008C3623"/>
    <w:rsid w:val="008C37FD"/>
    <w:rsid w:val="008C3C51"/>
    <w:rsid w:val="008C3E3A"/>
    <w:rsid w:val="008C4015"/>
    <w:rsid w:val="008C45D9"/>
    <w:rsid w:val="008C4D66"/>
    <w:rsid w:val="008C5147"/>
    <w:rsid w:val="008C5300"/>
    <w:rsid w:val="008C5418"/>
    <w:rsid w:val="008C5C8A"/>
    <w:rsid w:val="008C61D4"/>
    <w:rsid w:val="008C63EC"/>
    <w:rsid w:val="008C6E4F"/>
    <w:rsid w:val="008C7A6E"/>
    <w:rsid w:val="008C7B96"/>
    <w:rsid w:val="008D077F"/>
    <w:rsid w:val="008D0C10"/>
    <w:rsid w:val="008D1765"/>
    <w:rsid w:val="008D1915"/>
    <w:rsid w:val="008D1C38"/>
    <w:rsid w:val="008D1D8D"/>
    <w:rsid w:val="008D2331"/>
    <w:rsid w:val="008D319C"/>
    <w:rsid w:val="008D3483"/>
    <w:rsid w:val="008D3751"/>
    <w:rsid w:val="008D3A21"/>
    <w:rsid w:val="008D3CCD"/>
    <w:rsid w:val="008D439D"/>
    <w:rsid w:val="008D45A0"/>
    <w:rsid w:val="008D45A8"/>
    <w:rsid w:val="008D4EB8"/>
    <w:rsid w:val="008D51BC"/>
    <w:rsid w:val="008D5501"/>
    <w:rsid w:val="008D56F1"/>
    <w:rsid w:val="008D606C"/>
    <w:rsid w:val="008D6FFB"/>
    <w:rsid w:val="008D708E"/>
    <w:rsid w:val="008D7153"/>
    <w:rsid w:val="008D7577"/>
    <w:rsid w:val="008D7BDC"/>
    <w:rsid w:val="008D7E2F"/>
    <w:rsid w:val="008E00D5"/>
    <w:rsid w:val="008E02E4"/>
    <w:rsid w:val="008E0640"/>
    <w:rsid w:val="008E1187"/>
    <w:rsid w:val="008E15E5"/>
    <w:rsid w:val="008E1817"/>
    <w:rsid w:val="008E209D"/>
    <w:rsid w:val="008E2595"/>
    <w:rsid w:val="008E4586"/>
    <w:rsid w:val="008E4A3A"/>
    <w:rsid w:val="008E5591"/>
    <w:rsid w:val="008E639C"/>
    <w:rsid w:val="008E65BE"/>
    <w:rsid w:val="008E6812"/>
    <w:rsid w:val="008E710C"/>
    <w:rsid w:val="008E7209"/>
    <w:rsid w:val="008E72DA"/>
    <w:rsid w:val="008E742B"/>
    <w:rsid w:val="008E7498"/>
    <w:rsid w:val="008E771E"/>
    <w:rsid w:val="008E779E"/>
    <w:rsid w:val="008E785D"/>
    <w:rsid w:val="008E79E0"/>
    <w:rsid w:val="008F00D8"/>
    <w:rsid w:val="008F061D"/>
    <w:rsid w:val="008F0846"/>
    <w:rsid w:val="008F0B38"/>
    <w:rsid w:val="008F0EA6"/>
    <w:rsid w:val="008F0F6A"/>
    <w:rsid w:val="008F233F"/>
    <w:rsid w:val="008F258D"/>
    <w:rsid w:val="008F27F5"/>
    <w:rsid w:val="008F28E4"/>
    <w:rsid w:val="008F2D52"/>
    <w:rsid w:val="008F3768"/>
    <w:rsid w:val="008F384A"/>
    <w:rsid w:val="008F3A60"/>
    <w:rsid w:val="008F3CD6"/>
    <w:rsid w:val="008F40AB"/>
    <w:rsid w:val="008F4285"/>
    <w:rsid w:val="008F42CF"/>
    <w:rsid w:val="008F455E"/>
    <w:rsid w:val="008F4BB2"/>
    <w:rsid w:val="008F4E76"/>
    <w:rsid w:val="008F52F4"/>
    <w:rsid w:val="008F5A6E"/>
    <w:rsid w:val="008F65AD"/>
    <w:rsid w:val="008F6E8F"/>
    <w:rsid w:val="00900C43"/>
    <w:rsid w:val="009012B7"/>
    <w:rsid w:val="00901949"/>
    <w:rsid w:val="00901A57"/>
    <w:rsid w:val="00901AED"/>
    <w:rsid w:val="00902339"/>
    <w:rsid w:val="00903512"/>
    <w:rsid w:val="00904482"/>
    <w:rsid w:val="009044CE"/>
    <w:rsid w:val="00904712"/>
    <w:rsid w:val="00904C82"/>
    <w:rsid w:val="00904D04"/>
    <w:rsid w:val="00905F5E"/>
    <w:rsid w:val="009061C5"/>
    <w:rsid w:val="00906C4A"/>
    <w:rsid w:val="00907138"/>
    <w:rsid w:val="009077C4"/>
    <w:rsid w:val="00907AD2"/>
    <w:rsid w:val="00907B4A"/>
    <w:rsid w:val="0091019F"/>
    <w:rsid w:val="00910527"/>
    <w:rsid w:val="009109C8"/>
    <w:rsid w:val="00910E84"/>
    <w:rsid w:val="00911218"/>
    <w:rsid w:val="00911AD8"/>
    <w:rsid w:val="0091291D"/>
    <w:rsid w:val="0091295C"/>
    <w:rsid w:val="00912C16"/>
    <w:rsid w:val="00912DAF"/>
    <w:rsid w:val="00913C24"/>
    <w:rsid w:val="0091426A"/>
    <w:rsid w:val="009143DB"/>
    <w:rsid w:val="009144CB"/>
    <w:rsid w:val="009144E7"/>
    <w:rsid w:val="00914EB6"/>
    <w:rsid w:val="0091504C"/>
    <w:rsid w:val="00915099"/>
    <w:rsid w:val="009155D6"/>
    <w:rsid w:val="00915A0E"/>
    <w:rsid w:val="00915AD4"/>
    <w:rsid w:val="0091604A"/>
    <w:rsid w:val="00916385"/>
    <w:rsid w:val="00916527"/>
    <w:rsid w:val="00916F55"/>
    <w:rsid w:val="00917155"/>
    <w:rsid w:val="00917599"/>
    <w:rsid w:val="00917E6A"/>
    <w:rsid w:val="00917FC4"/>
    <w:rsid w:val="00920057"/>
    <w:rsid w:val="0092007D"/>
    <w:rsid w:val="0092034E"/>
    <w:rsid w:val="00920B0B"/>
    <w:rsid w:val="00920B55"/>
    <w:rsid w:val="00920B9E"/>
    <w:rsid w:val="00920E6C"/>
    <w:rsid w:val="00921780"/>
    <w:rsid w:val="009217BE"/>
    <w:rsid w:val="00922A7D"/>
    <w:rsid w:val="00922E5B"/>
    <w:rsid w:val="00922EFA"/>
    <w:rsid w:val="00923209"/>
    <w:rsid w:val="009232E6"/>
    <w:rsid w:val="0092372C"/>
    <w:rsid w:val="00923985"/>
    <w:rsid w:val="00923C32"/>
    <w:rsid w:val="00924059"/>
    <w:rsid w:val="009243C6"/>
    <w:rsid w:val="009244DF"/>
    <w:rsid w:val="00925074"/>
    <w:rsid w:val="009251C8"/>
    <w:rsid w:val="00925996"/>
    <w:rsid w:val="00925ED2"/>
    <w:rsid w:val="0092650D"/>
    <w:rsid w:val="009268D7"/>
    <w:rsid w:val="00927967"/>
    <w:rsid w:val="00930315"/>
    <w:rsid w:val="009311B7"/>
    <w:rsid w:val="009325DE"/>
    <w:rsid w:val="0093323A"/>
    <w:rsid w:val="0093323B"/>
    <w:rsid w:val="00933572"/>
    <w:rsid w:val="0093389A"/>
    <w:rsid w:val="00933B78"/>
    <w:rsid w:val="00933CCD"/>
    <w:rsid w:val="00933E15"/>
    <w:rsid w:val="00933ECC"/>
    <w:rsid w:val="00933EDD"/>
    <w:rsid w:val="00933EED"/>
    <w:rsid w:val="00934068"/>
    <w:rsid w:val="009342E5"/>
    <w:rsid w:val="00934450"/>
    <w:rsid w:val="009349CD"/>
    <w:rsid w:val="009353A5"/>
    <w:rsid w:val="00936331"/>
    <w:rsid w:val="0093635A"/>
    <w:rsid w:val="00936624"/>
    <w:rsid w:val="00937500"/>
    <w:rsid w:val="00941290"/>
    <w:rsid w:val="00941478"/>
    <w:rsid w:val="0094159B"/>
    <w:rsid w:val="00941A44"/>
    <w:rsid w:val="00941A9E"/>
    <w:rsid w:val="00942133"/>
    <w:rsid w:val="00942249"/>
    <w:rsid w:val="00942E1A"/>
    <w:rsid w:val="00942FCF"/>
    <w:rsid w:val="009442CC"/>
    <w:rsid w:val="00944605"/>
    <w:rsid w:val="00944871"/>
    <w:rsid w:val="00944C61"/>
    <w:rsid w:val="00945401"/>
    <w:rsid w:val="0094555A"/>
    <w:rsid w:val="0094750F"/>
    <w:rsid w:val="009478D5"/>
    <w:rsid w:val="00947E8F"/>
    <w:rsid w:val="00950127"/>
    <w:rsid w:val="009506C0"/>
    <w:rsid w:val="00950A39"/>
    <w:rsid w:val="00951699"/>
    <w:rsid w:val="00952354"/>
    <w:rsid w:val="00954192"/>
    <w:rsid w:val="00954290"/>
    <w:rsid w:val="009544B0"/>
    <w:rsid w:val="009548FE"/>
    <w:rsid w:val="00954A93"/>
    <w:rsid w:val="00954C4A"/>
    <w:rsid w:val="00954DAF"/>
    <w:rsid w:val="00955279"/>
    <w:rsid w:val="0095626A"/>
    <w:rsid w:val="009563D2"/>
    <w:rsid w:val="0095782E"/>
    <w:rsid w:val="00957DAA"/>
    <w:rsid w:val="00960371"/>
    <w:rsid w:val="00960973"/>
    <w:rsid w:val="009619C6"/>
    <w:rsid w:val="009621AA"/>
    <w:rsid w:val="0096246A"/>
    <w:rsid w:val="00962694"/>
    <w:rsid w:val="0096272A"/>
    <w:rsid w:val="0096312E"/>
    <w:rsid w:val="0096326F"/>
    <w:rsid w:val="0096367C"/>
    <w:rsid w:val="00963ACA"/>
    <w:rsid w:val="00963CA1"/>
    <w:rsid w:val="009642E0"/>
    <w:rsid w:val="00964DF9"/>
    <w:rsid w:val="00965045"/>
    <w:rsid w:val="00965294"/>
    <w:rsid w:val="00965FCE"/>
    <w:rsid w:val="009660CF"/>
    <w:rsid w:val="00966AC1"/>
    <w:rsid w:val="00966E3F"/>
    <w:rsid w:val="0096757F"/>
    <w:rsid w:val="009676C9"/>
    <w:rsid w:val="00970FB6"/>
    <w:rsid w:val="0097126F"/>
    <w:rsid w:val="009712E5"/>
    <w:rsid w:val="009717CC"/>
    <w:rsid w:val="00971E9A"/>
    <w:rsid w:val="0097204C"/>
    <w:rsid w:val="0097215E"/>
    <w:rsid w:val="00972544"/>
    <w:rsid w:val="00972A92"/>
    <w:rsid w:val="00972B68"/>
    <w:rsid w:val="00972E23"/>
    <w:rsid w:val="009730D5"/>
    <w:rsid w:val="00973611"/>
    <w:rsid w:val="00974564"/>
    <w:rsid w:val="009749D6"/>
    <w:rsid w:val="009754D6"/>
    <w:rsid w:val="009757F7"/>
    <w:rsid w:val="00976648"/>
    <w:rsid w:val="0097690F"/>
    <w:rsid w:val="0097735A"/>
    <w:rsid w:val="009801BC"/>
    <w:rsid w:val="009802BE"/>
    <w:rsid w:val="0098095B"/>
    <w:rsid w:val="00981015"/>
    <w:rsid w:val="00981057"/>
    <w:rsid w:val="009813A0"/>
    <w:rsid w:val="00981A05"/>
    <w:rsid w:val="00981CB0"/>
    <w:rsid w:val="00981F92"/>
    <w:rsid w:val="0098209D"/>
    <w:rsid w:val="009820C9"/>
    <w:rsid w:val="00982498"/>
    <w:rsid w:val="00982BB2"/>
    <w:rsid w:val="00983F0E"/>
    <w:rsid w:val="009844C2"/>
    <w:rsid w:val="00984670"/>
    <w:rsid w:val="00984F02"/>
    <w:rsid w:val="00985260"/>
    <w:rsid w:val="00985525"/>
    <w:rsid w:val="009857CC"/>
    <w:rsid w:val="00985919"/>
    <w:rsid w:val="00985C79"/>
    <w:rsid w:val="00985D0D"/>
    <w:rsid w:val="00986769"/>
    <w:rsid w:val="00986E52"/>
    <w:rsid w:val="00986FC0"/>
    <w:rsid w:val="009875D8"/>
    <w:rsid w:val="00987B46"/>
    <w:rsid w:val="009900DD"/>
    <w:rsid w:val="009901F1"/>
    <w:rsid w:val="009904AF"/>
    <w:rsid w:val="009908F4"/>
    <w:rsid w:val="0099098B"/>
    <w:rsid w:val="00990ADC"/>
    <w:rsid w:val="00990ADF"/>
    <w:rsid w:val="009920D4"/>
    <w:rsid w:val="0099240B"/>
    <w:rsid w:val="00992E0A"/>
    <w:rsid w:val="00993C47"/>
    <w:rsid w:val="00993DF4"/>
    <w:rsid w:val="00993DFB"/>
    <w:rsid w:val="00993E1D"/>
    <w:rsid w:val="00994398"/>
    <w:rsid w:val="00994FAB"/>
    <w:rsid w:val="009951C0"/>
    <w:rsid w:val="00995357"/>
    <w:rsid w:val="009953CC"/>
    <w:rsid w:val="009961C5"/>
    <w:rsid w:val="009967D8"/>
    <w:rsid w:val="009968D8"/>
    <w:rsid w:val="009A015E"/>
    <w:rsid w:val="009A0340"/>
    <w:rsid w:val="009A087F"/>
    <w:rsid w:val="009A095B"/>
    <w:rsid w:val="009A0BA7"/>
    <w:rsid w:val="009A0F6D"/>
    <w:rsid w:val="009A250F"/>
    <w:rsid w:val="009A271C"/>
    <w:rsid w:val="009A2997"/>
    <w:rsid w:val="009A2C4C"/>
    <w:rsid w:val="009A30E8"/>
    <w:rsid w:val="009A501A"/>
    <w:rsid w:val="009A53DB"/>
    <w:rsid w:val="009A5AD9"/>
    <w:rsid w:val="009A5EEB"/>
    <w:rsid w:val="009A6411"/>
    <w:rsid w:val="009A64D1"/>
    <w:rsid w:val="009A6AE7"/>
    <w:rsid w:val="009A6C60"/>
    <w:rsid w:val="009A6FE1"/>
    <w:rsid w:val="009A73EC"/>
    <w:rsid w:val="009A740F"/>
    <w:rsid w:val="009A761A"/>
    <w:rsid w:val="009A784A"/>
    <w:rsid w:val="009A791B"/>
    <w:rsid w:val="009B00A3"/>
    <w:rsid w:val="009B0313"/>
    <w:rsid w:val="009B0B29"/>
    <w:rsid w:val="009B1107"/>
    <w:rsid w:val="009B207F"/>
    <w:rsid w:val="009B247F"/>
    <w:rsid w:val="009B2AF4"/>
    <w:rsid w:val="009B30E1"/>
    <w:rsid w:val="009B34AC"/>
    <w:rsid w:val="009B3A89"/>
    <w:rsid w:val="009B3D97"/>
    <w:rsid w:val="009B3FDC"/>
    <w:rsid w:val="009B4B36"/>
    <w:rsid w:val="009B4C8F"/>
    <w:rsid w:val="009B539A"/>
    <w:rsid w:val="009B56F2"/>
    <w:rsid w:val="009B6F30"/>
    <w:rsid w:val="009B7A4A"/>
    <w:rsid w:val="009B7FB1"/>
    <w:rsid w:val="009C0090"/>
    <w:rsid w:val="009C045A"/>
    <w:rsid w:val="009C049F"/>
    <w:rsid w:val="009C0832"/>
    <w:rsid w:val="009C09D5"/>
    <w:rsid w:val="009C0B86"/>
    <w:rsid w:val="009C0CA3"/>
    <w:rsid w:val="009C0DB0"/>
    <w:rsid w:val="009C1179"/>
    <w:rsid w:val="009C127F"/>
    <w:rsid w:val="009C2590"/>
    <w:rsid w:val="009C2A87"/>
    <w:rsid w:val="009C2FB3"/>
    <w:rsid w:val="009C3490"/>
    <w:rsid w:val="009C3990"/>
    <w:rsid w:val="009C39CE"/>
    <w:rsid w:val="009C3A8B"/>
    <w:rsid w:val="009C4262"/>
    <w:rsid w:val="009C443E"/>
    <w:rsid w:val="009C44C5"/>
    <w:rsid w:val="009C6D2B"/>
    <w:rsid w:val="009C6DEF"/>
    <w:rsid w:val="009C748C"/>
    <w:rsid w:val="009C75F3"/>
    <w:rsid w:val="009C7812"/>
    <w:rsid w:val="009C7ACC"/>
    <w:rsid w:val="009C7DFB"/>
    <w:rsid w:val="009D086C"/>
    <w:rsid w:val="009D0C7C"/>
    <w:rsid w:val="009D139A"/>
    <w:rsid w:val="009D1B58"/>
    <w:rsid w:val="009D1E4D"/>
    <w:rsid w:val="009D1F16"/>
    <w:rsid w:val="009D26AE"/>
    <w:rsid w:val="009D3B4C"/>
    <w:rsid w:val="009D3B82"/>
    <w:rsid w:val="009D4DA5"/>
    <w:rsid w:val="009D5767"/>
    <w:rsid w:val="009D5C05"/>
    <w:rsid w:val="009D600C"/>
    <w:rsid w:val="009D648C"/>
    <w:rsid w:val="009D6AE3"/>
    <w:rsid w:val="009D6B01"/>
    <w:rsid w:val="009D72DD"/>
    <w:rsid w:val="009D7518"/>
    <w:rsid w:val="009D7D0B"/>
    <w:rsid w:val="009E02E2"/>
    <w:rsid w:val="009E0763"/>
    <w:rsid w:val="009E2882"/>
    <w:rsid w:val="009E2A9B"/>
    <w:rsid w:val="009E31E0"/>
    <w:rsid w:val="009E384E"/>
    <w:rsid w:val="009E3D3D"/>
    <w:rsid w:val="009E3F69"/>
    <w:rsid w:val="009E4276"/>
    <w:rsid w:val="009E4470"/>
    <w:rsid w:val="009E4F57"/>
    <w:rsid w:val="009E5105"/>
    <w:rsid w:val="009E518D"/>
    <w:rsid w:val="009E55A4"/>
    <w:rsid w:val="009E5BAE"/>
    <w:rsid w:val="009E5BCE"/>
    <w:rsid w:val="009E5F0E"/>
    <w:rsid w:val="009E674C"/>
    <w:rsid w:val="009E6D76"/>
    <w:rsid w:val="009E6DAA"/>
    <w:rsid w:val="009E7624"/>
    <w:rsid w:val="009E77B2"/>
    <w:rsid w:val="009E7E17"/>
    <w:rsid w:val="009E7F37"/>
    <w:rsid w:val="009F02A3"/>
    <w:rsid w:val="009F0657"/>
    <w:rsid w:val="009F0901"/>
    <w:rsid w:val="009F0FC6"/>
    <w:rsid w:val="009F1067"/>
    <w:rsid w:val="009F14A1"/>
    <w:rsid w:val="009F1DE1"/>
    <w:rsid w:val="009F1F83"/>
    <w:rsid w:val="009F2CC9"/>
    <w:rsid w:val="009F340B"/>
    <w:rsid w:val="009F3F3C"/>
    <w:rsid w:val="009F42E2"/>
    <w:rsid w:val="009F4357"/>
    <w:rsid w:val="009F48D8"/>
    <w:rsid w:val="009F5C31"/>
    <w:rsid w:val="009F5E47"/>
    <w:rsid w:val="009F5F74"/>
    <w:rsid w:val="009F65F4"/>
    <w:rsid w:val="009F699D"/>
    <w:rsid w:val="009F77D1"/>
    <w:rsid w:val="009F7F33"/>
    <w:rsid w:val="009F7F87"/>
    <w:rsid w:val="00A0079C"/>
    <w:rsid w:val="00A00B73"/>
    <w:rsid w:val="00A00C14"/>
    <w:rsid w:val="00A01C14"/>
    <w:rsid w:val="00A02037"/>
    <w:rsid w:val="00A02D5E"/>
    <w:rsid w:val="00A02E42"/>
    <w:rsid w:val="00A02EB7"/>
    <w:rsid w:val="00A030A9"/>
    <w:rsid w:val="00A030DC"/>
    <w:rsid w:val="00A03372"/>
    <w:rsid w:val="00A03DFE"/>
    <w:rsid w:val="00A04DC6"/>
    <w:rsid w:val="00A050F6"/>
    <w:rsid w:val="00A06000"/>
    <w:rsid w:val="00A067A5"/>
    <w:rsid w:val="00A069BD"/>
    <w:rsid w:val="00A06EEC"/>
    <w:rsid w:val="00A0772F"/>
    <w:rsid w:val="00A079AD"/>
    <w:rsid w:val="00A10D06"/>
    <w:rsid w:val="00A10EEB"/>
    <w:rsid w:val="00A12449"/>
    <w:rsid w:val="00A12B97"/>
    <w:rsid w:val="00A135FF"/>
    <w:rsid w:val="00A14131"/>
    <w:rsid w:val="00A144AD"/>
    <w:rsid w:val="00A1462C"/>
    <w:rsid w:val="00A14676"/>
    <w:rsid w:val="00A14CCD"/>
    <w:rsid w:val="00A14D94"/>
    <w:rsid w:val="00A168F2"/>
    <w:rsid w:val="00A16D91"/>
    <w:rsid w:val="00A175E2"/>
    <w:rsid w:val="00A178EE"/>
    <w:rsid w:val="00A17BE8"/>
    <w:rsid w:val="00A17E27"/>
    <w:rsid w:val="00A17FAB"/>
    <w:rsid w:val="00A20E3E"/>
    <w:rsid w:val="00A211B5"/>
    <w:rsid w:val="00A21780"/>
    <w:rsid w:val="00A219ED"/>
    <w:rsid w:val="00A21E60"/>
    <w:rsid w:val="00A21EE1"/>
    <w:rsid w:val="00A2288D"/>
    <w:rsid w:val="00A229F3"/>
    <w:rsid w:val="00A2359E"/>
    <w:rsid w:val="00A23BF8"/>
    <w:rsid w:val="00A23E4B"/>
    <w:rsid w:val="00A240DE"/>
    <w:rsid w:val="00A2424D"/>
    <w:rsid w:val="00A24313"/>
    <w:rsid w:val="00A24C69"/>
    <w:rsid w:val="00A24E51"/>
    <w:rsid w:val="00A25027"/>
    <w:rsid w:val="00A250B2"/>
    <w:rsid w:val="00A256D7"/>
    <w:rsid w:val="00A2672C"/>
    <w:rsid w:val="00A272A1"/>
    <w:rsid w:val="00A27362"/>
    <w:rsid w:val="00A27798"/>
    <w:rsid w:val="00A278F8"/>
    <w:rsid w:val="00A30E07"/>
    <w:rsid w:val="00A31870"/>
    <w:rsid w:val="00A31979"/>
    <w:rsid w:val="00A32E28"/>
    <w:rsid w:val="00A335BE"/>
    <w:rsid w:val="00A33B6A"/>
    <w:rsid w:val="00A343BD"/>
    <w:rsid w:val="00A348CA"/>
    <w:rsid w:val="00A34B5E"/>
    <w:rsid w:val="00A35097"/>
    <w:rsid w:val="00A354F4"/>
    <w:rsid w:val="00A355C9"/>
    <w:rsid w:val="00A359D9"/>
    <w:rsid w:val="00A36791"/>
    <w:rsid w:val="00A3687A"/>
    <w:rsid w:val="00A36ACF"/>
    <w:rsid w:val="00A36D7A"/>
    <w:rsid w:val="00A36D9D"/>
    <w:rsid w:val="00A37C15"/>
    <w:rsid w:val="00A40763"/>
    <w:rsid w:val="00A41828"/>
    <w:rsid w:val="00A42909"/>
    <w:rsid w:val="00A43011"/>
    <w:rsid w:val="00A4333D"/>
    <w:rsid w:val="00A435AC"/>
    <w:rsid w:val="00A43607"/>
    <w:rsid w:val="00A4395E"/>
    <w:rsid w:val="00A43A92"/>
    <w:rsid w:val="00A448D7"/>
    <w:rsid w:val="00A44DD5"/>
    <w:rsid w:val="00A45DC1"/>
    <w:rsid w:val="00A45E3E"/>
    <w:rsid w:val="00A460CB"/>
    <w:rsid w:val="00A46220"/>
    <w:rsid w:val="00A46EAB"/>
    <w:rsid w:val="00A471DC"/>
    <w:rsid w:val="00A47716"/>
    <w:rsid w:val="00A47A17"/>
    <w:rsid w:val="00A50111"/>
    <w:rsid w:val="00A50373"/>
    <w:rsid w:val="00A5066D"/>
    <w:rsid w:val="00A50806"/>
    <w:rsid w:val="00A50A48"/>
    <w:rsid w:val="00A51431"/>
    <w:rsid w:val="00A514DB"/>
    <w:rsid w:val="00A52637"/>
    <w:rsid w:val="00A5291C"/>
    <w:rsid w:val="00A52B2B"/>
    <w:rsid w:val="00A53277"/>
    <w:rsid w:val="00A53626"/>
    <w:rsid w:val="00A538FB"/>
    <w:rsid w:val="00A53970"/>
    <w:rsid w:val="00A53C03"/>
    <w:rsid w:val="00A54067"/>
    <w:rsid w:val="00A54575"/>
    <w:rsid w:val="00A54629"/>
    <w:rsid w:val="00A54DC3"/>
    <w:rsid w:val="00A550F6"/>
    <w:rsid w:val="00A55260"/>
    <w:rsid w:val="00A555C0"/>
    <w:rsid w:val="00A55629"/>
    <w:rsid w:val="00A5595D"/>
    <w:rsid w:val="00A55C42"/>
    <w:rsid w:val="00A55DD3"/>
    <w:rsid w:val="00A563D6"/>
    <w:rsid w:val="00A569AD"/>
    <w:rsid w:val="00A569F6"/>
    <w:rsid w:val="00A57B6F"/>
    <w:rsid w:val="00A57C9B"/>
    <w:rsid w:val="00A57E99"/>
    <w:rsid w:val="00A60082"/>
    <w:rsid w:val="00A601C6"/>
    <w:rsid w:val="00A60252"/>
    <w:rsid w:val="00A60740"/>
    <w:rsid w:val="00A620EE"/>
    <w:rsid w:val="00A62201"/>
    <w:rsid w:val="00A62208"/>
    <w:rsid w:val="00A62AD1"/>
    <w:rsid w:val="00A62D6C"/>
    <w:rsid w:val="00A62DC0"/>
    <w:rsid w:val="00A62E50"/>
    <w:rsid w:val="00A63214"/>
    <w:rsid w:val="00A640ED"/>
    <w:rsid w:val="00A64B0F"/>
    <w:rsid w:val="00A6503B"/>
    <w:rsid w:val="00A6503E"/>
    <w:rsid w:val="00A65041"/>
    <w:rsid w:val="00A6546E"/>
    <w:rsid w:val="00A65862"/>
    <w:rsid w:val="00A65D53"/>
    <w:rsid w:val="00A65D5E"/>
    <w:rsid w:val="00A65E01"/>
    <w:rsid w:val="00A66243"/>
    <w:rsid w:val="00A66FD2"/>
    <w:rsid w:val="00A67B91"/>
    <w:rsid w:val="00A67DD0"/>
    <w:rsid w:val="00A704CD"/>
    <w:rsid w:val="00A70CF6"/>
    <w:rsid w:val="00A711EF"/>
    <w:rsid w:val="00A714B2"/>
    <w:rsid w:val="00A71975"/>
    <w:rsid w:val="00A71D6C"/>
    <w:rsid w:val="00A72088"/>
    <w:rsid w:val="00A72559"/>
    <w:rsid w:val="00A729B1"/>
    <w:rsid w:val="00A7325D"/>
    <w:rsid w:val="00A7328A"/>
    <w:rsid w:val="00A7332B"/>
    <w:rsid w:val="00A73805"/>
    <w:rsid w:val="00A749A1"/>
    <w:rsid w:val="00A74CAC"/>
    <w:rsid w:val="00A7501F"/>
    <w:rsid w:val="00A76503"/>
    <w:rsid w:val="00A765C4"/>
    <w:rsid w:val="00A7704E"/>
    <w:rsid w:val="00A776DF"/>
    <w:rsid w:val="00A77BEA"/>
    <w:rsid w:val="00A8032A"/>
    <w:rsid w:val="00A80D67"/>
    <w:rsid w:val="00A8105D"/>
    <w:rsid w:val="00A82B40"/>
    <w:rsid w:val="00A82F0F"/>
    <w:rsid w:val="00A831C4"/>
    <w:rsid w:val="00A83D7B"/>
    <w:rsid w:val="00A860A3"/>
    <w:rsid w:val="00A86211"/>
    <w:rsid w:val="00A8621C"/>
    <w:rsid w:val="00A86783"/>
    <w:rsid w:val="00A872CD"/>
    <w:rsid w:val="00A87732"/>
    <w:rsid w:val="00A87A47"/>
    <w:rsid w:val="00A87B39"/>
    <w:rsid w:val="00A9071E"/>
    <w:rsid w:val="00A908B6"/>
    <w:rsid w:val="00A911A4"/>
    <w:rsid w:val="00A914B4"/>
    <w:rsid w:val="00A92E94"/>
    <w:rsid w:val="00A930D4"/>
    <w:rsid w:val="00A93248"/>
    <w:rsid w:val="00A9422A"/>
    <w:rsid w:val="00A94591"/>
    <w:rsid w:val="00A948A8"/>
    <w:rsid w:val="00A954A8"/>
    <w:rsid w:val="00A95B0D"/>
    <w:rsid w:val="00A95D1E"/>
    <w:rsid w:val="00A96447"/>
    <w:rsid w:val="00A968F4"/>
    <w:rsid w:val="00A96A76"/>
    <w:rsid w:val="00A970A5"/>
    <w:rsid w:val="00A973EA"/>
    <w:rsid w:val="00A97F73"/>
    <w:rsid w:val="00AA06C4"/>
    <w:rsid w:val="00AA0759"/>
    <w:rsid w:val="00AA077B"/>
    <w:rsid w:val="00AA1007"/>
    <w:rsid w:val="00AA1509"/>
    <w:rsid w:val="00AA1659"/>
    <w:rsid w:val="00AA179A"/>
    <w:rsid w:val="00AA1C9C"/>
    <w:rsid w:val="00AA2485"/>
    <w:rsid w:val="00AA24BB"/>
    <w:rsid w:val="00AA257C"/>
    <w:rsid w:val="00AA2E95"/>
    <w:rsid w:val="00AA3165"/>
    <w:rsid w:val="00AA505C"/>
    <w:rsid w:val="00AA54D1"/>
    <w:rsid w:val="00AA5838"/>
    <w:rsid w:val="00AA588D"/>
    <w:rsid w:val="00AA60F6"/>
    <w:rsid w:val="00AA61AF"/>
    <w:rsid w:val="00AA6928"/>
    <w:rsid w:val="00AA6950"/>
    <w:rsid w:val="00AA7395"/>
    <w:rsid w:val="00AA77BE"/>
    <w:rsid w:val="00AA7D39"/>
    <w:rsid w:val="00AB0369"/>
    <w:rsid w:val="00AB0790"/>
    <w:rsid w:val="00AB0B27"/>
    <w:rsid w:val="00AB1194"/>
    <w:rsid w:val="00AB11A2"/>
    <w:rsid w:val="00AB1C16"/>
    <w:rsid w:val="00AB1EF7"/>
    <w:rsid w:val="00AB1FF5"/>
    <w:rsid w:val="00AB282C"/>
    <w:rsid w:val="00AB2AAF"/>
    <w:rsid w:val="00AB2EDB"/>
    <w:rsid w:val="00AB2F3D"/>
    <w:rsid w:val="00AB30CF"/>
    <w:rsid w:val="00AB3DBC"/>
    <w:rsid w:val="00AB3DFD"/>
    <w:rsid w:val="00AB3F09"/>
    <w:rsid w:val="00AB4D1F"/>
    <w:rsid w:val="00AB6A89"/>
    <w:rsid w:val="00AB6F8A"/>
    <w:rsid w:val="00AB704A"/>
    <w:rsid w:val="00AB7489"/>
    <w:rsid w:val="00AB74B6"/>
    <w:rsid w:val="00AB79B2"/>
    <w:rsid w:val="00AB7BDA"/>
    <w:rsid w:val="00AB7DAB"/>
    <w:rsid w:val="00AC0626"/>
    <w:rsid w:val="00AC07C5"/>
    <w:rsid w:val="00AC0B11"/>
    <w:rsid w:val="00AC0FD2"/>
    <w:rsid w:val="00AC2324"/>
    <w:rsid w:val="00AC2379"/>
    <w:rsid w:val="00AC25F4"/>
    <w:rsid w:val="00AC2E77"/>
    <w:rsid w:val="00AC3FDC"/>
    <w:rsid w:val="00AC4212"/>
    <w:rsid w:val="00AC450B"/>
    <w:rsid w:val="00AC4798"/>
    <w:rsid w:val="00AC4EE4"/>
    <w:rsid w:val="00AC5B36"/>
    <w:rsid w:val="00AC615C"/>
    <w:rsid w:val="00AC6745"/>
    <w:rsid w:val="00AC6984"/>
    <w:rsid w:val="00AC6BF7"/>
    <w:rsid w:val="00AC6CF9"/>
    <w:rsid w:val="00AD00CA"/>
    <w:rsid w:val="00AD0C75"/>
    <w:rsid w:val="00AD1FFA"/>
    <w:rsid w:val="00AD2297"/>
    <w:rsid w:val="00AD23E8"/>
    <w:rsid w:val="00AD2EA6"/>
    <w:rsid w:val="00AD3094"/>
    <w:rsid w:val="00AD3820"/>
    <w:rsid w:val="00AD3C46"/>
    <w:rsid w:val="00AD3CA0"/>
    <w:rsid w:val="00AD41C6"/>
    <w:rsid w:val="00AD5366"/>
    <w:rsid w:val="00AD5961"/>
    <w:rsid w:val="00AD690D"/>
    <w:rsid w:val="00AD6EDD"/>
    <w:rsid w:val="00AD7629"/>
    <w:rsid w:val="00AD7899"/>
    <w:rsid w:val="00AD797A"/>
    <w:rsid w:val="00AD7E8C"/>
    <w:rsid w:val="00AE01E9"/>
    <w:rsid w:val="00AE0ABA"/>
    <w:rsid w:val="00AE11EA"/>
    <w:rsid w:val="00AE1E82"/>
    <w:rsid w:val="00AE223D"/>
    <w:rsid w:val="00AE3059"/>
    <w:rsid w:val="00AE31D0"/>
    <w:rsid w:val="00AE33E9"/>
    <w:rsid w:val="00AE34D5"/>
    <w:rsid w:val="00AE375E"/>
    <w:rsid w:val="00AE48C9"/>
    <w:rsid w:val="00AE4A02"/>
    <w:rsid w:val="00AE5115"/>
    <w:rsid w:val="00AE5C76"/>
    <w:rsid w:val="00AE5CA0"/>
    <w:rsid w:val="00AE5FA9"/>
    <w:rsid w:val="00AE607E"/>
    <w:rsid w:val="00AE63A9"/>
    <w:rsid w:val="00AE7DF4"/>
    <w:rsid w:val="00AF00CB"/>
    <w:rsid w:val="00AF0330"/>
    <w:rsid w:val="00AF2493"/>
    <w:rsid w:val="00AF2F2E"/>
    <w:rsid w:val="00AF3281"/>
    <w:rsid w:val="00AF3394"/>
    <w:rsid w:val="00AF43F6"/>
    <w:rsid w:val="00AF45CC"/>
    <w:rsid w:val="00AF462A"/>
    <w:rsid w:val="00AF4DFD"/>
    <w:rsid w:val="00AF4FAA"/>
    <w:rsid w:val="00AF52C8"/>
    <w:rsid w:val="00AF547B"/>
    <w:rsid w:val="00AF54E8"/>
    <w:rsid w:val="00AF578E"/>
    <w:rsid w:val="00AF5932"/>
    <w:rsid w:val="00AF5F2B"/>
    <w:rsid w:val="00AF6731"/>
    <w:rsid w:val="00AF6EA7"/>
    <w:rsid w:val="00AF72DD"/>
    <w:rsid w:val="00AF7EF4"/>
    <w:rsid w:val="00B00068"/>
    <w:rsid w:val="00B009EA"/>
    <w:rsid w:val="00B011D8"/>
    <w:rsid w:val="00B01918"/>
    <w:rsid w:val="00B02C68"/>
    <w:rsid w:val="00B03167"/>
    <w:rsid w:val="00B03666"/>
    <w:rsid w:val="00B039A3"/>
    <w:rsid w:val="00B04101"/>
    <w:rsid w:val="00B0449A"/>
    <w:rsid w:val="00B049C1"/>
    <w:rsid w:val="00B04F97"/>
    <w:rsid w:val="00B05361"/>
    <w:rsid w:val="00B053C6"/>
    <w:rsid w:val="00B060BB"/>
    <w:rsid w:val="00B066A8"/>
    <w:rsid w:val="00B06763"/>
    <w:rsid w:val="00B06886"/>
    <w:rsid w:val="00B06996"/>
    <w:rsid w:val="00B06B30"/>
    <w:rsid w:val="00B06E46"/>
    <w:rsid w:val="00B06FBD"/>
    <w:rsid w:val="00B074C1"/>
    <w:rsid w:val="00B076CE"/>
    <w:rsid w:val="00B07AAF"/>
    <w:rsid w:val="00B07C44"/>
    <w:rsid w:val="00B07D0D"/>
    <w:rsid w:val="00B101DA"/>
    <w:rsid w:val="00B10C1C"/>
    <w:rsid w:val="00B10F49"/>
    <w:rsid w:val="00B112E8"/>
    <w:rsid w:val="00B1165C"/>
    <w:rsid w:val="00B11EBA"/>
    <w:rsid w:val="00B12320"/>
    <w:rsid w:val="00B13861"/>
    <w:rsid w:val="00B13B5D"/>
    <w:rsid w:val="00B157C3"/>
    <w:rsid w:val="00B1614F"/>
    <w:rsid w:val="00B162D3"/>
    <w:rsid w:val="00B1672A"/>
    <w:rsid w:val="00B16BB0"/>
    <w:rsid w:val="00B17542"/>
    <w:rsid w:val="00B17D03"/>
    <w:rsid w:val="00B2052C"/>
    <w:rsid w:val="00B207A6"/>
    <w:rsid w:val="00B20CF3"/>
    <w:rsid w:val="00B213D5"/>
    <w:rsid w:val="00B21B84"/>
    <w:rsid w:val="00B228A0"/>
    <w:rsid w:val="00B23384"/>
    <w:rsid w:val="00B23884"/>
    <w:rsid w:val="00B23BC0"/>
    <w:rsid w:val="00B248FA"/>
    <w:rsid w:val="00B24C02"/>
    <w:rsid w:val="00B2549B"/>
    <w:rsid w:val="00B25881"/>
    <w:rsid w:val="00B2598C"/>
    <w:rsid w:val="00B26147"/>
    <w:rsid w:val="00B26C8A"/>
    <w:rsid w:val="00B27547"/>
    <w:rsid w:val="00B27704"/>
    <w:rsid w:val="00B278A3"/>
    <w:rsid w:val="00B27D1B"/>
    <w:rsid w:val="00B305B4"/>
    <w:rsid w:val="00B3071A"/>
    <w:rsid w:val="00B30CEA"/>
    <w:rsid w:val="00B30FD7"/>
    <w:rsid w:val="00B316F2"/>
    <w:rsid w:val="00B32043"/>
    <w:rsid w:val="00B32145"/>
    <w:rsid w:val="00B32802"/>
    <w:rsid w:val="00B32916"/>
    <w:rsid w:val="00B32A1A"/>
    <w:rsid w:val="00B32A30"/>
    <w:rsid w:val="00B32BA5"/>
    <w:rsid w:val="00B32D5F"/>
    <w:rsid w:val="00B33135"/>
    <w:rsid w:val="00B3341E"/>
    <w:rsid w:val="00B334A0"/>
    <w:rsid w:val="00B336BE"/>
    <w:rsid w:val="00B33E3E"/>
    <w:rsid w:val="00B345CC"/>
    <w:rsid w:val="00B348C8"/>
    <w:rsid w:val="00B34DE3"/>
    <w:rsid w:val="00B34FFF"/>
    <w:rsid w:val="00B35056"/>
    <w:rsid w:val="00B35436"/>
    <w:rsid w:val="00B357C2"/>
    <w:rsid w:val="00B3594E"/>
    <w:rsid w:val="00B3603F"/>
    <w:rsid w:val="00B360CB"/>
    <w:rsid w:val="00B365DB"/>
    <w:rsid w:val="00B36BB7"/>
    <w:rsid w:val="00B36F83"/>
    <w:rsid w:val="00B3781E"/>
    <w:rsid w:val="00B37FC9"/>
    <w:rsid w:val="00B4020D"/>
    <w:rsid w:val="00B4053E"/>
    <w:rsid w:val="00B40BFC"/>
    <w:rsid w:val="00B40FC9"/>
    <w:rsid w:val="00B411A1"/>
    <w:rsid w:val="00B412B9"/>
    <w:rsid w:val="00B412F4"/>
    <w:rsid w:val="00B4130B"/>
    <w:rsid w:val="00B41830"/>
    <w:rsid w:val="00B41A2B"/>
    <w:rsid w:val="00B42151"/>
    <w:rsid w:val="00B42199"/>
    <w:rsid w:val="00B429A4"/>
    <w:rsid w:val="00B42CD2"/>
    <w:rsid w:val="00B43248"/>
    <w:rsid w:val="00B4390C"/>
    <w:rsid w:val="00B443A4"/>
    <w:rsid w:val="00B44AA1"/>
    <w:rsid w:val="00B44D48"/>
    <w:rsid w:val="00B4555E"/>
    <w:rsid w:val="00B458C1"/>
    <w:rsid w:val="00B45ACE"/>
    <w:rsid w:val="00B45C97"/>
    <w:rsid w:val="00B45DC3"/>
    <w:rsid w:val="00B46128"/>
    <w:rsid w:val="00B4627B"/>
    <w:rsid w:val="00B46B27"/>
    <w:rsid w:val="00B47439"/>
    <w:rsid w:val="00B47D63"/>
    <w:rsid w:val="00B50453"/>
    <w:rsid w:val="00B5087E"/>
    <w:rsid w:val="00B50A08"/>
    <w:rsid w:val="00B50B64"/>
    <w:rsid w:val="00B50EA9"/>
    <w:rsid w:val="00B5150F"/>
    <w:rsid w:val="00B5173B"/>
    <w:rsid w:val="00B51A32"/>
    <w:rsid w:val="00B52772"/>
    <w:rsid w:val="00B52EE0"/>
    <w:rsid w:val="00B54807"/>
    <w:rsid w:val="00B54B99"/>
    <w:rsid w:val="00B55F93"/>
    <w:rsid w:val="00B56624"/>
    <w:rsid w:val="00B5702D"/>
    <w:rsid w:val="00B5715D"/>
    <w:rsid w:val="00B57B76"/>
    <w:rsid w:val="00B57BA3"/>
    <w:rsid w:val="00B57C0A"/>
    <w:rsid w:val="00B57D69"/>
    <w:rsid w:val="00B6069C"/>
    <w:rsid w:val="00B6074C"/>
    <w:rsid w:val="00B614A0"/>
    <w:rsid w:val="00B61920"/>
    <w:rsid w:val="00B61B39"/>
    <w:rsid w:val="00B622CA"/>
    <w:rsid w:val="00B63F8D"/>
    <w:rsid w:val="00B6475E"/>
    <w:rsid w:val="00B6669B"/>
    <w:rsid w:val="00B66AA3"/>
    <w:rsid w:val="00B66E21"/>
    <w:rsid w:val="00B675FC"/>
    <w:rsid w:val="00B67897"/>
    <w:rsid w:val="00B67E2F"/>
    <w:rsid w:val="00B7084D"/>
    <w:rsid w:val="00B70F72"/>
    <w:rsid w:val="00B7106F"/>
    <w:rsid w:val="00B7200E"/>
    <w:rsid w:val="00B72310"/>
    <w:rsid w:val="00B7236B"/>
    <w:rsid w:val="00B73691"/>
    <w:rsid w:val="00B7433A"/>
    <w:rsid w:val="00B74A4D"/>
    <w:rsid w:val="00B75D25"/>
    <w:rsid w:val="00B7605E"/>
    <w:rsid w:val="00B769CA"/>
    <w:rsid w:val="00B803C5"/>
    <w:rsid w:val="00B806C5"/>
    <w:rsid w:val="00B8102F"/>
    <w:rsid w:val="00B81664"/>
    <w:rsid w:val="00B81968"/>
    <w:rsid w:val="00B81970"/>
    <w:rsid w:val="00B820CA"/>
    <w:rsid w:val="00B8236E"/>
    <w:rsid w:val="00B82750"/>
    <w:rsid w:val="00B831D1"/>
    <w:rsid w:val="00B83288"/>
    <w:rsid w:val="00B83A78"/>
    <w:rsid w:val="00B83CEE"/>
    <w:rsid w:val="00B83D4E"/>
    <w:rsid w:val="00B84FC1"/>
    <w:rsid w:val="00B851DD"/>
    <w:rsid w:val="00B85543"/>
    <w:rsid w:val="00B865FF"/>
    <w:rsid w:val="00B86821"/>
    <w:rsid w:val="00B86BF3"/>
    <w:rsid w:val="00B8707D"/>
    <w:rsid w:val="00B90538"/>
    <w:rsid w:val="00B90D9A"/>
    <w:rsid w:val="00B9101F"/>
    <w:rsid w:val="00B915AF"/>
    <w:rsid w:val="00B91E57"/>
    <w:rsid w:val="00B92090"/>
    <w:rsid w:val="00B921AB"/>
    <w:rsid w:val="00B92BB3"/>
    <w:rsid w:val="00B92D24"/>
    <w:rsid w:val="00B92F9C"/>
    <w:rsid w:val="00B92FD0"/>
    <w:rsid w:val="00B931E0"/>
    <w:rsid w:val="00B93735"/>
    <w:rsid w:val="00B93CE5"/>
    <w:rsid w:val="00B9443F"/>
    <w:rsid w:val="00B959C7"/>
    <w:rsid w:val="00B95A31"/>
    <w:rsid w:val="00B95C10"/>
    <w:rsid w:val="00B95D6A"/>
    <w:rsid w:val="00B965B8"/>
    <w:rsid w:val="00B967AE"/>
    <w:rsid w:val="00B96AAC"/>
    <w:rsid w:val="00B96B72"/>
    <w:rsid w:val="00B97122"/>
    <w:rsid w:val="00BA06D3"/>
    <w:rsid w:val="00BA07EA"/>
    <w:rsid w:val="00BA08E2"/>
    <w:rsid w:val="00BA0B32"/>
    <w:rsid w:val="00BA168F"/>
    <w:rsid w:val="00BA16DD"/>
    <w:rsid w:val="00BA193C"/>
    <w:rsid w:val="00BA1CD8"/>
    <w:rsid w:val="00BA1D33"/>
    <w:rsid w:val="00BA1F58"/>
    <w:rsid w:val="00BA2301"/>
    <w:rsid w:val="00BA2646"/>
    <w:rsid w:val="00BA2AE5"/>
    <w:rsid w:val="00BA3451"/>
    <w:rsid w:val="00BA3BDB"/>
    <w:rsid w:val="00BA4625"/>
    <w:rsid w:val="00BA4ECB"/>
    <w:rsid w:val="00BA4F14"/>
    <w:rsid w:val="00BA599E"/>
    <w:rsid w:val="00BA5DEB"/>
    <w:rsid w:val="00BA6786"/>
    <w:rsid w:val="00BA779D"/>
    <w:rsid w:val="00BB0543"/>
    <w:rsid w:val="00BB054C"/>
    <w:rsid w:val="00BB0670"/>
    <w:rsid w:val="00BB0C26"/>
    <w:rsid w:val="00BB0E7D"/>
    <w:rsid w:val="00BB0EBA"/>
    <w:rsid w:val="00BB1050"/>
    <w:rsid w:val="00BB1127"/>
    <w:rsid w:val="00BB1745"/>
    <w:rsid w:val="00BB17A3"/>
    <w:rsid w:val="00BB1FAA"/>
    <w:rsid w:val="00BB1FCF"/>
    <w:rsid w:val="00BB22B8"/>
    <w:rsid w:val="00BB26E3"/>
    <w:rsid w:val="00BB271A"/>
    <w:rsid w:val="00BB2A67"/>
    <w:rsid w:val="00BB2BFF"/>
    <w:rsid w:val="00BB373E"/>
    <w:rsid w:val="00BB3D2E"/>
    <w:rsid w:val="00BB43F3"/>
    <w:rsid w:val="00BB5249"/>
    <w:rsid w:val="00BB56F8"/>
    <w:rsid w:val="00BB5FE0"/>
    <w:rsid w:val="00BB64B5"/>
    <w:rsid w:val="00BB68A1"/>
    <w:rsid w:val="00BB7873"/>
    <w:rsid w:val="00BB7876"/>
    <w:rsid w:val="00BB7BEE"/>
    <w:rsid w:val="00BC034E"/>
    <w:rsid w:val="00BC0B29"/>
    <w:rsid w:val="00BC12ED"/>
    <w:rsid w:val="00BC1A2F"/>
    <w:rsid w:val="00BC227F"/>
    <w:rsid w:val="00BC2909"/>
    <w:rsid w:val="00BC3D6F"/>
    <w:rsid w:val="00BC3E27"/>
    <w:rsid w:val="00BC3E45"/>
    <w:rsid w:val="00BC57DA"/>
    <w:rsid w:val="00BC5A52"/>
    <w:rsid w:val="00BC7279"/>
    <w:rsid w:val="00BC7413"/>
    <w:rsid w:val="00BC784B"/>
    <w:rsid w:val="00BD0D3E"/>
    <w:rsid w:val="00BD0DFE"/>
    <w:rsid w:val="00BD1631"/>
    <w:rsid w:val="00BD18FE"/>
    <w:rsid w:val="00BD1BB6"/>
    <w:rsid w:val="00BD1E1F"/>
    <w:rsid w:val="00BD1F7D"/>
    <w:rsid w:val="00BD2655"/>
    <w:rsid w:val="00BD28EE"/>
    <w:rsid w:val="00BD3563"/>
    <w:rsid w:val="00BD3A16"/>
    <w:rsid w:val="00BD3A6E"/>
    <w:rsid w:val="00BD3C4E"/>
    <w:rsid w:val="00BD4555"/>
    <w:rsid w:val="00BD48D4"/>
    <w:rsid w:val="00BD5D31"/>
    <w:rsid w:val="00BD63AB"/>
    <w:rsid w:val="00BD6499"/>
    <w:rsid w:val="00BD6A3B"/>
    <w:rsid w:val="00BD6C70"/>
    <w:rsid w:val="00BD7B55"/>
    <w:rsid w:val="00BD7D06"/>
    <w:rsid w:val="00BE016D"/>
    <w:rsid w:val="00BE1819"/>
    <w:rsid w:val="00BE1F2E"/>
    <w:rsid w:val="00BE1F76"/>
    <w:rsid w:val="00BE2685"/>
    <w:rsid w:val="00BE3948"/>
    <w:rsid w:val="00BE3ED0"/>
    <w:rsid w:val="00BE4067"/>
    <w:rsid w:val="00BE41F0"/>
    <w:rsid w:val="00BE4565"/>
    <w:rsid w:val="00BE462D"/>
    <w:rsid w:val="00BE4A3A"/>
    <w:rsid w:val="00BE4D7D"/>
    <w:rsid w:val="00BE50C0"/>
    <w:rsid w:val="00BE5312"/>
    <w:rsid w:val="00BE654D"/>
    <w:rsid w:val="00BE6907"/>
    <w:rsid w:val="00BE7435"/>
    <w:rsid w:val="00BE74DF"/>
    <w:rsid w:val="00BE77BA"/>
    <w:rsid w:val="00BE7CA3"/>
    <w:rsid w:val="00BE7DF6"/>
    <w:rsid w:val="00BF0A17"/>
    <w:rsid w:val="00BF1CEF"/>
    <w:rsid w:val="00BF1FBF"/>
    <w:rsid w:val="00BF2281"/>
    <w:rsid w:val="00BF2897"/>
    <w:rsid w:val="00BF28BD"/>
    <w:rsid w:val="00BF340E"/>
    <w:rsid w:val="00BF35F2"/>
    <w:rsid w:val="00BF36B4"/>
    <w:rsid w:val="00BF458B"/>
    <w:rsid w:val="00BF4A30"/>
    <w:rsid w:val="00BF4D92"/>
    <w:rsid w:val="00BF4F6B"/>
    <w:rsid w:val="00BF5AD0"/>
    <w:rsid w:val="00BF663A"/>
    <w:rsid w:val="00BF72BD"/>
    <w:rsid w:val="00BF7548"/>
    <w:rsid w:val="00BF76C0"/>
    <w:rsid w:val="00C00717"/>
    <w:rsid w:val="00C0080A"/>
    <w:rsid w:val="00C0122F"/>
    <w:rsid w:val="00C01EE8"/>
    <w:rsid w:val="00C0257D"/>
    <w:rsid w:val="00C02944"/>
    <w:rsid w:val="00C029C0"/>
    <w:rsid w:val="00C02A7B"/>
    <w:rsid w:val="00C02E18"/>
    <w:rsid w:val="00C02EDA"/>
    <w:rsid w:val="00C037A9"/>
    <w:rsid w:val="00C038BE"/>
    <w:rsid w:val="00C03B62"/>
    <w:rsid w:val="00C048ED"/>
    <w:rsid w:val="00C04E6F"/>
    <w:rsid w:val="00C05C04"/>
    <w:rsid w:val="00C05DE4"/>
    <w:rsid w:val="00C06173"/>
    <w:rsid w:val="00C06D9E"/>
    <w:rsid w:val="00C06DD0"/>
    <w:rsid w:val="00C06DFA"/>
    <w:rsid w:val="00C06FC0"/>
    <w:rsid w:val="00C07076"/>
    <w:rsid w:val="00C078BF"/>
    <w:rsid w:val="00C10229"/>
    <w:rsid w:val="00C10418"/>
    <w:rsid w:val="00C10B1E"/>
    <w:rsid w:val="00C10EF5"/>
    <w:rsid w:val="00C11172"/>
    <w:rsid w:val="00C11521"/>
    <w:rsid w:val="00C11FBA"/>
    <w:rsid w:val="00C123CF"/>
    <w:rsid w:val="00C12465"/>
    <w:rsid w:val="00C12573"/>
    <w:rsid w:val="00C1288A"/>
    <w:rsid w:val="00C12951"/>
    <w:rsid w:val="00C134F0"/>
    <w:rsid w:val="00C13667"/>
    <w:rsid w:val="00C1434C"/>
    <w:rsid w:val="00C145D4"/>
    <w:rsid w:val="00C14614"/>
    <w:rsid w:val="00C14A01"/>
    <w:rsid w:val="00C14C12"/>
    <w:rsid w:val="00C14F1B"/>
    <w:rsid w:val="00C1543A"/>
    <w:rsid w:val="00C158A4"/>
    <w:rsid w:val="00C15C5A"/>
    <w:rsid w:val="00C15CF8"/>
    <w:rsid w:val="00C15EB4"/>
    <w:rsid w:val="00C15FD7"/>
    <w:rsid w:val="00C16844"/>
    <w:rsid w:val="00C169FA"/>
    <w:rsid w:val="00C17428"/>
    <w:rsid w:val="00C20228"/>
    <w:rsid w:val="00C205E8"/>
    <w:rsid w:val="00C20E69"/>
    <w:rsid w:val="00C2107B"/>
    <w:rsid w:val="00C2130C"/>
    <w:rsid w:val="00C2159E"/>
    <w:rsid w:val="00C21D9F"/>
    <w:rsid w:val="00C221AA"/>
    <w:rsid w:val="00C22E4C"/>
    <w:rsid w:val="00C2349B"/>
    <w:rsid w:val="00C23CB0"/>
    <w:rsid w:val="00C2422C"/>
    <w:rsid w:val="00C24888"/>
    <w:rsid w:val="00C25D67"/>
    <w:rsid w:val="00C25DAC"/>
    <w:rsid w:val="00C25F3C"/>
    <w:rsid w:val="00C260B2"/>
    <w:rsid w:val="00C261B7"/>
    <w:rsid w:val="00C26999"/>
    <w:rsid w:val="00C2794A"/>
    <w:rsid w:val="00C30E27"/>
    <w:rsid w:val="00C3126B"/>
    <w:rsid w:val="00C314DB"/>
    <w:rsid w:val="00C31F97"/>
    <w:rsid w:val="00C32867"/>
    <w:rsid w:val="00C331F8"/>
    <w:rsid w:val="00C333A2"/>
    <w:rsid w:val="00C33520"/>
    <w:rsid w:val="00C34881"/>
    <w:rsid w:val="00C34CE9"/>
    <w:rsid w:val="00C34F78"/>
    <w:rsid w:val="00C350EF"/>
    <w:rsid w:val="00C36348"/>
    <w:rsid w:val="00C36482"/>
    <w:rsid w:val="00C36BB2"/>
    <w:rsid w:val="00C3730E"/>
    <w:rsid w:val="00C37A22"/>
    <w:rsid w:val="00C4079C"/>
    <w:rsid w:val="00C4179D"/>
    <w:rsid w:val="00C41E16"/>
    <w:rsid w:val="00C4215F"/>
    <w:rsid w:val="00C42AAB"/>
    <w:rsid w:val="00C42B30"/>
    <w:rsid w:val="00C43AE1"/>
    <w:rsid w:val="00C44252"/>
    <w:rsid w:val="00C44319"/>
    <w:rsid w:val="00C448A7"/>
    <w:rsid w:val="00C45B63"/>
    <w:rsid w:val="00C466B4"/>
    <w:rsid w:val="00C46B3D"/>
    <w:rsid w:val="00C46CFC"/>
    <w:rsid w:val="00C4748D"/>
    <w:rsid w:val="00C475E5"/>
    <w:rsid w:val="00C47822"/>
    <w:rsid w:val="00C50244"/>
    <w:rsid w:val="00C507D5"/>
    <w:rsid w:val="00C507F2"/>
    <w:rsid w:val="00C5125D"/>
    <w:rsid w:val="00C5165D"/>
    <w:rsid w:val="00C523CC"/>
    <w:rsid w:val="00C52657"/>
    <w:rsid w:val="00C529D3"/>
    <w:rsid w:val="00C52E6D"/>
    <w:rsid w:val="00C52EE6"/>
    <w:rsid w:val="00C53497"/>
    <w:rsid w:val="00C53FC5"/>
    <w:rsid w:val="00C549C6"/>
    <w:rsid w:val="00C5525B"/>
    <w:rsid w:val="00C55697"/>
    <w:rsid w:val="00C55A80"/>
    <w:rsid w:val="00C55F69"/>
    <w:rsid w:val="00C561DF"/>
    <w:rsid w:val="00C5642F"/>
    <w:rsid w:val="00C56649"/>
    <w:rsid w:val="00C56783"/>
    <w:rsid w:val="00C5687E"/>
    <w:rsid w:val="00C56C02"/>
    <w:rsid w:val="00C578D9"/>
    <w:rsid w:val="00C57AFC"/>
    <w:rsid w:val="00C57B86"/>
    <w:rsid w:val="00C57BA6"/>
    <w:rsid w:val="00C60319"/>
    <w:rsid w:val="00C60C14"/>
    <w:rsid w:val="00C6113B"/>
    <w:rsid w:val="00C61462"/>
    <w:rsid w:val="00C62984"/>
    <w:rsid w:val="00C6318E"/>
    <w:rsid w:val="00C63EAB"/>
    <w:rsid w:val="00C64ED3"/>
    <w:rsid w:val="00C651B9"/>
    <w:rsid w:val="00C65608"/>
    <w:rsid w:val="00C656C6"/>
    <w:rsid w:val="00C65C0C"/>
    <w:rsid w:val="00C66B04"/>
    <w:rsid w:val="00C66F96"/>
    <w:rsid w:val="00C66F9C"/>
    <w:rsid w:val="00C671FF"/>
    <w:rsid w:val="00C677E3"/>
    <w:rsid w:val="00C67A4F"/>
    <w:rsid w:val="00C67BC5"/>
    <w:rsid w:val="00C67E13"/>
    <w:rsid w:val="00C7069F"/>
    <w:rsid w:val="00C70E9E"/>
    <w:rsid w:val="00C71453"/>
    <w:rsid w:val="00C729C7"/>
    <w:rsid w:val="00C72E51"/>
    <w:rsid w:val="00C73BE4"/>
    <w:rsid w:val="00C740AD"/>
    <w:rsid w:val="00C743BB"/>
    <w:rsid w:val="00C74446"/>
    <w:rsid w:val="00C7458B"/>
    <w:rsid w:val="00C74D3C"/>
    <w:rsid w:val="00C74F71"/>
    <w:rsid w:val="00C752B1"/>
    <w:rsid w:val="00C76143"/>
    <w:rsid w:val="00C763E5"/>
    <w:rsid w:val="00C76A55"/>
    <w:rsid w:val="00C77199"/>
    <w:rsid w:val="00C77319"/>
    <w:rsid w:val="00C77647"/>
    <w:rsid w:val="00C77EB5"/>
    <w:rsid w:val="00C80174"/>
    <w:rsid w:val="00C80AB4"/>
    <w:rsid w:val="00C81793"/>
    <w:rsid w:val="00C81962"/>
    <w:rsid w:val="00C81CD0"/>
    <w:rsid w:val="00C81D89"/>
    <w:rsid w:val="00C8238E"/>
    <w:rsid w:val="00C8257A"/>
    <w:rsid w:val="00C82C9A"/>
    <w:rsid w:val="00C8319A"/>
    <w:rsid w:val="00C84296"/>
    <w:rsid w:val="00C84387"/>
    <w:rsid w:val="00C8534C"/>
    <w:rsid w:val="00C8539D"/>
    <w:rsid w:val="00C85DA2"/>
    <w:rsid w:val="00C87F40"/>
    <w:rsid w:val="00C90633"/>
    <w:rsid w:val="00C910FC"/>
    <w:rsid w:val="00C9111D"/>
    <w:rsid w:val="00C91614"/>
    <w:rsid w:val="00C91B3B"/>
    <w:rsid w:val="00C92971"/>
    <w:rsid w:val="00C92B84"/>
    <w:rsid w:val="00C92C74"/>
    <w:rsid w:val="00C92C88"/>
    <w:rsid w:val="00C937A4"/>
    <w:rsid w:val="00C93A5A"/>
    <w:rsid w:val="00C9407D"/>
    <w:rsid w:val="00C94BD7"/>
    <w:rsid w:val="00C9520B"/>
    <w:rsid w:val="00C955DD"/>
    <w:rsid w:val="00C95F65"/>
    <w:rsid w:val="00C963A1"/>
    <w:rsid w:val="00C9651E"/>
    <w:rsid w:val="00C9685B"/>
    <w:rsid w:val="00C9694C"/>
    <w:rsid w:val="00C96D07"/>
    <w:rsid w:val="00C96F46"/>
    <w:rsid w:val="00C96FD3"/>
    <w:rsid w:val="00C9745A"/>
    <w:rsid w:val="00CA03BE"/>
    <w:rsid w:val="00CA058C"/>
    <w:rsid w:val="00CA05CA"/>
    <w:rsid w:val="00CA0E68"/>
    <w:rsid w:val="00CA1373"/>
    <w:rsid w:val="00CA22D9"/>
    <w:rsid w:val="00CA231B"/>
    <w:rsid w:val="00CA2EF7"/>
    <w:rsid w:val="00CA344B"/>
    <w:rsid w:val="00CA3E9C"/>
    <w:rsid w:val="00CA40D3"/>
    <w:rsid w:val="00CA593A"/>
    <w:rsid w:val="00CA59C3"/>
    <w:rsid w:val="00CA5C15"/>
    <w:rsid w:val="00CA5CD4"/>
    <w:rsid w:val="00CA5E1C"/>
    <w:rsid w:val="00CA6265"/>
    <w:rsid w:val="00CA6288"/>
    <w:rsid w:val="00CA636E"/>
    <w:rsid w:val="00CA6A71"/>
    <w:rsid w:val="00CA6F6E"/>
    <w:rsid w:val="00CA712B"/>
    <w:rsid w:val="00CA756D"/>
    <w:rsid w:val="00CA78B4"/>
    <w:rsid w:val="00CB011C"/>
    <w:rsid w:val="00CB01F0"/>
    <w:rsid w:val="00CB0411"/>
    <w:rsid w:val="00CB0491"/>
    <w:rsid w:val="00CB10E6"/>
    <w:rsid w:val="00CB170B"/>
    <w:rsid w:val="00CB17F8"/>
    <w:rsid w:val="00CB1CA9"/>
    <w:rsid w:val="00CB1FD9"/>
    <w:rsid w:val="00CB220A"/>
    <w:rsid w:val="00CB2294"/>
    <w:rsid w:val="00CB32E5"/>
    <w:rsid w:val="00CB496F"/>
    <w:rsid w:val="00CB49A1"/>
    <w:rsid w:val="00CB4E45"/>
    <w:rsid w:val="00CB4FF9"/>
    <w:rsid w:val="00CB5180"/>
    <w:rsid w:val="00CB57CB"/>
    <w:rsid w:val="00CB6CC6"/>
    <w:rsid w:val="00CB71F6"/>
    <w:rsid w:val="00CB7322"/>
    <w:rsid w:val="00CC0ADB"/>
    <w:rsid w:val="00CC105F"/>
    <w:rsid w:val="00CC19C0"/>
    <w:rsid w:val="00CC1DBF"/>
    <w:rsid w:val="00CC21B7"/>
    <w:rsid w:val="00CC26DC"/>
    <w:rsid w:val="00CC2813"/>
    <w:rsid w:val="00CC31F4"/>
    <w:rsid w:val="00CC4148"/>
    <w:rsid w:val="00CC43E2"/>
    <w:rsid w:val="00CC4673"/>
    <w:rsid w:val="00CC47EE"/>
    <w:rsid w:val="00CC5890"/>
    <w:rsid w:val="00CC5A29"/>
    <w:rsid w:val="00CC5BA7"/>
    <w:rsid w:val="00CC5FA5"/>
    <w:rsid w:val="00CC639A"/>
    <w:rsid w:val="00CC6839"/>
    <w:rsid w:val="00CC6F95"/>
    <w:rsid w:val="00CC736A"/>
    <w:rsid w:val="00CC7E13"/>
    <w:rsid w:val="00CD0192"/>
    <w:rsid w:val="00CD019F"/>
    <w:rsid w:val="00CD02D3"/>
    <w:rsid w:val="00CD0C67"/>
    <w:rsid w:val="00CD1C25"/>
    <w:rsid w:val="00CD1DA4"/>
    <w:rsid w:val="00CD2004"/>
    <w:rsid w:val="00CD23F2"/>
    <w:rsid w:val="00CD29ED"/>
    <w:rsid w:val="00CD344D"/>
    <w:rsid w:val="00CD37AC"/>
    <w:rsid w:val="00CD4140"/>
    <w:rsid w:val="00CD423C"/>
    <w:rsid w:val="00CD4467"/>
    <w:rsid w:val="00CD4771"/>
    <w:rsid w:val="00CD5988"/>
    <w:rsid w:val="00CD5A43"/>
    <w:rsid w:val="00CD5C1C"/>
    <w:rsid w:val="00CD5F9E"/>
    <w:rsid w:val="00CD6168"/>
    <w:rsid w:val="00CD633D"/>
    <w:rsid w:val="00CD6610"/>
    <w:rsid w:val="00CD7432"/>
    <w:rsid w:val="00CD79E2"/>
    <w:rsid w:val="00CE0188"/>
    <w:rsid w:val="00CE0F1A"/>
    <w:rsid w:val="00CE128E"/>
    <w:rsid w:val="00CE1D89"/>
    <w:rsid w:val="00CE2175"/>
    <w:rsid w:val="00CE2238"/>
    <w:rsid w:val="00CE29C5"/>
    <w:rsid w:val="00CE3D84"/>
    <w:rsid w:val="00CE5339"/>
    <w:rsid w:val="00CE5566"/>
    <w:rsid w:val="00CE5AEC"/>
    <w:rsid w:val="00CE6104"/>
    <w:rsid w:val="00CE6817"/>
    <w:rsid w:val="00CE685B"/>
    <w:rsid w:val="00CE6DAE"/>
    <w:rsid w:val="00CE7089"/>
    <w:rsid w:val="00CE729F"/>
    <w:rsid w:val="00CE7B29"/>
    <w:rsid w:val="00CF0281"/>
    <w:rsid w:val="00CF08E3"/>
    <w:rsid w:val="00CF237D"/>
    <w:rsid w:val="00CF2F5E"/>
    <w:rsid w:val="00CF3D56"/>
    <w:rsid w:val="00CF3D6C"/>
    <w:rsid w:val="00CF3DC3"/>
    <w:rsid w:val="00CF4C7D"/>
    <w:rsid w:val="00CF4F37"/>
    <w:rsid w:val="00CF5007"/>
    <w:rsid w:val="00CF57E5"/>
    <w:rsid w:val="00CF65D4"/>
    <w:rsid w:val="00CF6D3D"/>
    <w:rsid w:val="00D00546"/>
    <w:rsid w:val="00D00D48"/>
    <w:rsid w:val="00D0102E"/>
    <w:rsid w:val="00D01040"/>
    <w:rsid w:val="00D01088"/>
    <w:rsid w:val="00D01179"/>
    <w:rsid w:val="00D01CFC"/>
    <w:rsid w:val="00D0222F"/>
    <w:rsid w:val="00D0293D"/>
    <w:rsid w:val="00D02A5C"/>
    <w:rsid w:val="00D03489"/>
    <w:rsid w:val="00D03615"/>
    <w:rsid w:val="00D036B6"/>
    <w:rsid w:val="00D03A14"/>
    <w:rsid w:val="00D03C28"/>
    <w:rsid w:val="00D044DA"/>
    <w:rsid w:val="00D04F0E"/>
    <w:rsid w:val="00D058A4"/>
    <w:rsid w:val="00D05A7D"/>
    <w:rsid w:val="00D05B78"/>
    <w:rsid w:val="00D05FEB"/>
    <w:rsid w:val="00D066B4"/>
    <w:rsid w:val="00D067BB"/>
    <w:rsid w:val="00D06D33"/>
    <w:rsid w:val="00D06EAB"/>
    <w:rsid w:val="00D07015"/>
    <w:rsid w:val="00D07408"/>
    <w:rsid w:val="00D079BE"/>
    <w:rsid w:val="00D07A43"/>
    <w:rsid w:val="00D07C8B"/>
    <w:rsid w:val="00D1039E"/>
    <w:rsid w:val="00D10C77"/>
    <w:rsid w:val="00D115FF"/>
    <w:rsid w:val="00D11629"/>
    <w:rsid w:val="00D11651"/>
    <w:rsid w:val="00D1295A"/>
    <w:rsid w:val="00D1298C"/>
    <w:rsid w:val="00D12CBD"/>
    <w:rsid w:val="00D1377E"/>
    <w:rsid w:val="00D138AC"/>
    <w:rsid w:val="00D13D37"/>
    <w:rsid w:val="00D13D5C"/>
    <w:rsid w:val="00D13FAF"/>
    <w:rsid w:val="00D1444D"/>
    <w:rsid w:val="00D1568B"/>
    <w:rsid w:val="00D15ED6"/>
    <w:rsid w:val="00D1702B"/>
    <w:rsid w:val="00D17241"/>
    <w:rsid w:val="00D20BCB"/>
    <w:rsid w:val="00D21052"/>
    <w:rsid w:val="00D21917"/>
    <w:rsid w:val="00D22BD8"/>
    <w:rsid w:val="00D2412D"/>
    <w:rsid w:val="00D24213"/>
    <w:rsid w:val="00D2426A"/>
    <w:rsid w:val="00D243F9"/>
    <w:rsid w:val="00D24531"/>
    <w:rsid w:val="00D248B0"/>
    <w:rsid w:val="00D24AB1"/>
    <w:rsid w:val="00D24B38"/>
    <w:rsid w:val="00D24C1B"/>
    <w:rsid w:val="00D24C71"/>
    <w:rsid w:val="00D24E6C"/>
    <w:rsid w:val="00D24FCD"/>
    <w:rsid w:val="00D25020"/>
    <w:rsid w:val="00D25D48"/>
    <w:rsid w:val="00D2617C"/>
    <w:rsid w:val="00D262C1"/>
    <w:rsid w:val="00D268A1"/>
    <w:rsid w:val="00D268A9"/>
    <w:rsid w:val="00D269E1"/>
    <w:rsid w:val="00D27065"/>
    <w:rsid w:val="00D27838"/>
    <w:rsid w:val="00D304FB"/>
    <w:rsid w:val="00D30BB9"/>
    <w:rsid w:val="00D30DAB"/>
    <w:rsid w:val="00D31331"/>
    <w:rsid w:val="00D3136E"/>
    <w:rsid w:val="00D316C2"/>
    <w:rsid w:val="00D31957"/>
    <w:rsid w:val="00D31B46"/>
    <w:rsid w:val="00D32187"/>
    <w:rsid w:val="00D32C57"/>
    <w:rsid w:val="00D33015"/>
    <w:rsid w:val="00D337F7"/>
    <w:rsid w:val="00D33DF5"/>
    <w:rsid w:val="00D33FD3"/>
    <w:rsid w:val="00D343C8"/>
    <w:rsid w:val="00D3508F"/>
    <w:rsid w:val="00D35612"/>
    <w:rsid w:val="00D35AD6"/>
    <w:rsid w:val="00D35B75"/>
    <w:rsid w:val="00D35BEC"/>
    <w:rsid w:val="00D35C9F"/>
    <w:rsid w:val="00D36243"/>
    <w:rsid w:val="00D365F3"/>
    <w:rsid w:val="00D367DD"/>
    <w:rsid w:val="00D36D84"/>
    <w:rsid w:val="00D377C4"/>
    <w:rsid w:val="00D37B21"/>
    <w:rsid w:val="00D37E19"/>
    <w:rsid w:val="00D37E75"/>
    <w:rsid w:val="00D406AC"/>
    <w:rsid w:val="00D407C4"/>
    <w:rsid w:val="00D408BE"/>
    <w:rsid w:val="00D40A01"/>
    <w:rsid w:val="00D40D22"/>
    <w:rsid w:val="00D40E69"/>
    <w:rsid w:val="00D40ECC"/>
    <w:rsid w:val="00D410FC"/>
    <w:rsid w:val="00D41C7C"/>
    <w:rsid w:val="00D421DB"/>
    <w:rsid w:val="00D43450"/>
    <w:rsid w:val="00D43616"/>
    <w:rsid w:val="00D43844"/>
    <w:rsid w:val="00D43F7E"/>
    <w:rsid w:val="00D440F1"/>
    <w:rsid w:val="00D44A0C"/>
    <w:rsid w:val="00D44C4E"/>
    <w:rsid w:val="00D44E5E"/>
    <w:rsid w:val="00D456D5"/>
    <w:rsid w:val="00D4573B"/>
    <w:rsid w:val="00D45902"/>
    <w:rsid w:val="00D46265"/>
    <w:rsid w:val="00D477E1"/>
    <w:rsid w:val="00D47836"/>
    <w:rsid w:val="00D47D76"/>
    <w:rsid w:val="00D501E7"/>
    <w:rsid w:val="00D50421"/>
    <w:rsid w:val="00D50A6C"/>
    <w:rsid w:val="00D50FE7"/>
    <w:rsid w:val="00D51110"/>
    <w:rsid w:val="00D51DD9"/>
    <w:rsid w:val="00D526B9"/>
    <w:rsid w:val="00D5304A"/>
    <w:rsid w:val="00D5457E"/>
    <w:rsid w:val="00D54E45"/>
    <w:rsid w:val="00D55161"/>
    <w:rsid w:val="00D55402"/>
    <w:rsid w:val="00D55963"/>
    <w:rsid w:val="00D55EEB"/>
    <w:rsid w:val="00D5638D"/>
    <w:rsid w:val="00D56430"/>
    <w:rsid w:val="00D56505"/>
    <w:rsid w:val="00D56924"/>
    <w:rsid w:val="00D56C22"/>
    <w:rsid w:val="00D56CC7"/>
    <w:rsid w:val="00D56FA1"/>
    <w:rsid w:val="00D56FDC"/>
    <w:rsid w:val="00D576D1"/>
    <w:rsid w:val="00D57948"/>
    <w:rsid w:val="00D5794C"/>
    <w:rsid w:val="00D579E7"/>
    <w:rsid w:val="00D6023C"/>
    <w:rsid w:val="00D617C8"/>
    <w:rsid w:val="00D61EE7"/>
    <w:rsid w:val="00D630EE"/>
    <w:rsid w:val="00D631EE"/>
    <w:rsid w:val="00D63214"/>
    <w:rsid w:val="00D636F7"/>
    <w:rsid w:val="00D63E23"/>
    <w:rsid w:val="00D643C1"/>
    <w:rsid w:val="00D65077"/>
    <w:rsid w:val="00D6584D"/>
    <w:rsid w:val="00D6665E"/>
    <w:rsid w:val="00D66758"/>
    <w:rsid w:val="00D669FC"/>
    <w:rsid w:val="00D66F61"/>
    <w:rsid w:val="00D67762"/>
    <w:rsid w:val="00D70651"/>
    <w:rsid w:val="00D70721"/>
    <w:rsid w:val="00D707B3"/>
    <w:rsid w:val="00D71B7F"/>
    <w:rsid w:val="00D720C4"/>
    <w:rsid w:val="00D72537"/>
    <w:rsid w:val="00D727D9"/>
    <w:rsid w:val="00D72E0B"/>
    <w:rsid w:val="00D730F8"/>
    <w:rsid w:val="00D7349C"/>
    <w:rsid w:val="00D741F2"/>
    <w:rsid w:val="00D74AFE"/>
    <w:rsid w:val="00D7538A"/>
    <w:rsid w:val="00D753B2"/>
    <w:rsid w:val="00D75639"/>
    <w:rsid w:val="00D75AF5"/>
    <w:rsid w:val="00D75C64"/>
    <w:rsid w:val="00D7623A"/>
    <w:rsid w:val="00D76C05"/>
    <w:rsid w:val="00D77031"/>
    <w:rsid w:val="00D7719E"/>
    <w:rsid w:val="00D7743F"/>
    <w:rsid w:val="00D7770E"/>
    <w:rsid w:val="00D7795E"/>
    <w:rsid w:val="00D77EA9"/>
    <w:rsid w:val="00D80074"/>
    <w:rsid w:val="00D8007B"/>
    <w:rsid w:val="00D802AE"/>
    <w:rsid w:val="00D803ED"/>
    <w:rsid w:val="00D80AC9"/>
    <w:rsid w:val="00D80FDE"/>
    <w:rsid w:val="00D81B0D"/>
    <w:rsid w:val="00D82154"/>
    <w:rsid w:val="00D825CF"/>
    <w:rsid w:val="00D825DB"/>
    <w:rsid w:val="00D827DA"/>
    <w:rsid w:val="00D82F7E"/>
    <w:rsid w:val="00D8341B"/>
    <w:rsid w:val="00D83BDA"/>
    <w:rsid w:val="00D84726"/>
    <w:rsid w:val="00D852E3"/>
    <w:rsid w:val="00D85746"/>
    <w:rsid w:val="00D859D1"/>
    <w:rsid w:val="00D8631E"/>
    <w:rsid w:val="00D866E1"/>
    <w:rsid w:val="00D8697E"/>
    <w:rsid w:val="00D86A87"/>
    <w:rsid w:val="00D87BA7"/>
    <w:rsid w:val="00D87BBB"/>
    <w:rsid w:val="00D87E0D"/>
    <w:rsid w:val="00D87F9B"/>
    <w:rsid w:val="00D902D1"/>
    <w:rsid w:val="00D90693"/>
    <w:rsid w:val="00D91000"/>
    <w:rsid w:val="00D919D9"/>
    <w:rsid w:val="00D92614"/>
    <w:rsid w:val="00D9289C"/>
    <w:rsid w:val="00D92E1C"/>
    <w:rsid w:val="00D934BD"/>
    <w:rsid w:val="00D94028"/>
    <w:rsid w:val="00D94805"/>
    <w:rsid w:val="00D94813"/>
    <w:rsid w:val="00D951CD"/>
    <w:rsid w:val="00D952EE"/>
    <w:rsid w:val="00D954A4"/>
    <w:rsid w:val="00D9607E"/>
    <w:rsid w:val="00D97151"/>
    <w:rsid w:val="00D97D38"/>
    <w:rsid w:val="00D97D3A"/>
    <w:rsid w:val="00D97E7E"/>
    <w:rsid w:val="00DA18D2"/>
    <w:rsid w:val="00DA1C40"/>
    <w:rsid w:val="00DA2C3D"/>
    <w:rsid w:val="00DA327E"/>
    <w:rsid w:val="00DA3C99"/>
    <w:rsid w:val="00DA3D97"/>
    <w:rsid w:val="00DA3EBA"/>
    <w:rsid w:val="00DA42CF"/>
    <w:rsid w:val="00DA4487"/>
    <w:rsid w:val="00DA4802"/>
    <w:rsid w:val="00DA4AEF"/>
    <w:rsid w:val="00DA4DC0"/>
    <w:rsid w:val="00DA535D"/>
    <w:rsid w:val="00DA56F0"/>
    <w:rsid w:val="00DA5D23"/>
    <w:rsid w:val="00DA6AE1"/>
    <w:rsid w:val="00DA7580"/>
    <w:rsid w:val="00DA7B7D"/>
    <w:rsid w:val="00DB0E52"/>
    <w:rsid w:val="00DB1D35"/>
    <w:rsid w:val="00DB2CB9"/>
    <w:rsid w:val="00DB3F21"/>
    <w:rsid w:val="00DB4A93"/>
    <w:rsid w:val="00DB4C65"/>
    <w:rsid w:val="00DB53EA"/>
    <w:rsid w:val="00DB5AB6"/>
    <w:rsid w:val="00DB5D39"/>
    <w:rsid w:val="00DB65A3"/>
    <w:rsid w:val="00DB666C"/>
    <w:rsid w:val="00DB6BE0"/>
    <w:rsid w:val="00DB6FAA"/>
    <w:rsid w:val="00DC11D4"/>
    <w:rsid w:val="00DC1298"/>
    <w:rsid w:val="00DC19BD"/>
    <w:rsid w:val="00DC1C4F"/>
    <w:rsid w:val="00DC3370"/>
    <w:rsid w:val="00DC3951"/>
    <w:rsid w:val="00DC3B9C"/>
    <w:rsid w:val="00DC3D79"/>
    <w:rsid w:val="00DC4425"/>
    <w:rsid w:val="00DC461E"/>
    <w:rsid w:val="00DC464D"/>
    <w:rsid w:val="00DC4E33"/>
    <w:rsid w:val="00DC5C14"/>
    <w:rsid w:val="00DC5E65"/>
    <w:rsid w:val="00DC660A"/>
    <w:rsid w:val="00DC6FFB"/>
    <w:rsid w:val="00DC7040"/>
    <w:rsid w:val="00DC7081"/>
    <w:rsid w:val="00DC70F4"/>
    <w:rsid w:val="00DC78C5"/>
    <w:rsid w:val="00DD0314"/>
    <w:rsid w:val="00DD059A"/>
    <w:rsid w:val="00DD0625"/>
    <w:rsid w:val="00DD140D"/>
    <w:rsid w:val="00DD1526"/>
    <w:rsid w:val="00DD1805"/>
    <w:rsid w:val="00DD31E1"/>
    <w:rsid w:val="00DD3235"/>
    <w:rsid w:val="00DD3419"/>
    <w:rsid w:val="00DD3B87"/>
    <w:rsid w:val="00DD3C7E"/>
    <w:rsid w:val="00DD3D8F"/>
    <w:rsid w:val="00DD48F3"/>
    <w:rsid w:val="00DD4D5F"/>
    <w:rsid w:val="00DD50DD"/>
    <w:rsid w:val="00DD5398"/>
    <w:rsid w:val="00DD578C"/>
    <w:rsid w:val="00DD5D3F"/>
    <w:rsid w:val="00DD610B"/>
    <w:rsid w:val="00DD6976"/>
    <w:rsid w:val="00DD6B4F"/>
    <w:rsid w:val="00DE01A4"/>
    <w:rsid w:val="00DE0A12"/>
    <w:rsid w:val="00DE2880"/>
    <w:rsid w:val="00DE2CAE"/>
    <w:rsid w:val="00DE4108"/>
    <w:rsid w:val="00DE4CF4"/>
    <w:rsid w:val="00DE4FEC"/>
    <w:rsid w:val="00DE5134"/>
    <w:rsid w:val="00DE54CF"/>
    <w:rsid w:val="00DE5669"/>
    <w:rsid w:val="00DE5C29"/>
    <w:rsid w:val="00DE5ED8"/>
    <w:rsid w:val="00DE6807"/>
    <w:rsid w:val="00DE6B76"/>
    <w:rsid w:val="00DE6F25"/>
    <w:rsid w:val="00DE7512"/>
    <w:rsid w:val="00DE7B61"/>
    <w:rsid w:val="00DF0A39"/>
    <w:rsid w:val="00DF0E0A"/>
    <w:rsid w:val="00DF0E6C"/>
    <w:rsid w:val="00DF1066"/>
    <w:rsid w:val="00DF12E2"/>
    <w:rsid w:val="00DF1898"/>
    <w:rsid w:val="00DF1AF6"/>
    <w:rsid w:val="00DF2779"/>
    <w:rsid w:val="00DF319D"/>
    <w:rsid w:val="00DF323A"/>
    <w:rsid w:val="00DF3E2F"/>
    <w:rsid w:val="00DF3F2E"/>
    <w:rsid w:val="00DF42B2"/>
    <w:rsid w:val="00DF4438"/>
    <w:rsid w:val="00DF56EC"/>
    <w:rsid w:val="00DF5F0B"/>
    <w:rsid w:val="00DF65A0"/>
    <w:rsid w:val="00DF6988"/>
    <w:rsid w:val="00DF69BE"/>
    <w:rsid w:val="00DF6D2C"/>
    <w:rsid w:val="00DF7462"/>
    <w:rsid w:val="00DF793F"/>
    <w:rsid w:val="00DF7CAF"/>
    <w:rsid w:val="00E00A51"/>
    <w:rsid w:val="00E00F00"/>
    <w:rsid w:val="00E016D7"/>
    <w:rsid w:val="00E021D5"/>
    <w:rsid w:val="00E0235A"/>
    <w:rsid w:val="00E0268F"/>
    <w:rsid w:val="00E026FD"/>
    <w:rsid w:val="00E029AE"/>
    <w:rsid w:val="00E02AF3"/>
    <w:rsid w:val="00E033A1"/>
    <w:rsid w:val="00E03B24"/>
    <w:rsid w:val="00E03E0E"/>
    <w:rsid w:val="00E044EE"/>
    <w:rsid w:val="00E0504D"/>
    <w:rsid w:val="00E06040"/>
    <w:rsid w:val="00E06338"/>
    <w:rsid w:val="00E065A9"/>
    <w:rsid w:val="00E06F9A"/>
    <w:rsid w:val="00E0724F"/>
    <w:rsid w:val="00E0796C"/>
    <w:rsid w:val="00E079FF"/>
    <w:rsid w:val="00E07C20"/>
    <w:rsid w:val="00E10D76"/>
    <w:rsid w:val="00E11107"/>
    <w:rsid w:val="00E11661"/>
    <w:rsid w:val="00E11DDD"/>
    <w:rsid w:val="00E120E3"/>
    <w:rsid w:val="00E1237E"/>
    <w:rsid w:val="00E12432"/>
    <w:rsid w:val="00E12473"/>
    <w:rsid w:val="00E124B1"/>
    <w:rsid w:val="00E129AF"/>
    <w:rsid w:val="00E1319E"/>
    <w:rsid w:val="00E135F2"/>
    <w:rsid w:val="00E13A68"/>
    <w:rsid w:val="00E13D80"/>
    <w:rsid w:val="00E13E89"/>
    <w:rsid w:val="00E1424B"/>
    <w:rsid w:val="00E1493F"/>
    <w:rsid w:val="00E15562"/>
    <w:rsid w:val="00E15643"/>
    <w:rsid w:val="00E15BD8"/>
    <w:rsid w:val="00E15C43"/>
    <w:rsid w:val="00E16049"/>
    <w:rsid w:val="00E1633E"/>
    <w:rsid w:val="00E16B12"/>
    <w:rsid w:val="00E1710B"/>
    <w:rsid w:val="00E174FE"/>
    <w:rsid w:val="00E20062"/>
    <w:rsid w:val="00E20484"/>
    <w:rsid w:val="00E206BD"/>
    <w:rsid w:val="00E20B44"/>
    <w:rsid w:val="00E20F7D"/>
    <w:rsid w:val="00E20FD7"/>
    <w:rsid w:val="00E210C5"/>
    <w:rsid w:val="00E21642"/>
    <w:rsid w:val="00E2182F"/>
    <w:rsid w:val="00E21B5B"/>
    <w:rsid w:val="00E21FA4"/>
    <w:rsid w:val="00E2246D"/>
    <w:rsid w:val="00E22523"/>
    <w:rsid w:val="00E2335F"/>
    <w:rsid w:val="00E23378"/>
    <w:rsid w:val="00E2385B"/>
    <w:rsid w:val="00E23F7F"/>
    <w:rsid w:val="00E248ED"/>
    <w:rsid w:val="00E25579"/>
    <w:rsid w:val="00E257B5"/>
    <w:rsid w:val="00E25EC7"/>
    <w:rsid w:val="00E26644"/>
    <w:rsid w:val="00E26CC1"/>
    <w:rsid w:val="00E27597"/>
    <w:rsid w:val="00E2792B"/>
    <w:rsid w:val="00E27B94"/>
    <w:rsid w:val="00E305F8"/>
    <w:rsid w:val="00E30BEF"/>
    <w:rsid w:val="00E31A82"/>
    <w:rsid w:val="00E32238"/>
    <w:rsid w:val="00E32CE1"/>
    <w:rsid w:val="00E33D70"/>
    <w:rsid w:val="00E343D0"/>
    <w:rsid w:val="00E349F4"/>
    <w:rsid w:val="00E35711"/>
    <w:rsid w:val="00E35819"/>
    <w:rsid w:val="00E35858"/>
    <w:rsid w:val="00E35F74"/>
    <w:rsid w:val="00E36746"/>
    <w:rsid w:val="00E369C0"/>
    <w:rsid w:val="00E36A7C"/>
    <w:rsid w:val="00E36C74"/>
    <w:rsid w:val="00E36C8B"/>
    <w:rsid w:val="00E3711B"/>
    <w:rsid w:val="00E37262"/>
    <w:rsid w:val="00E37434"/>
    <w:rsid w:val="00E37B85"/>
    <w:rsid w:val="00E37C70"/>
    <w:rsid w:val="00E400FA"/>
    <w:rsid w:val="00E40340"/>
    <w:rsid w:val="00E4085A"/>
    <w:rsid w:val="00E40A1C"/>
    <w:rsid w:val="00E40B89"/>
    <w:rsid w:val="00E41007"/>
    <w:rsid w:val="00E41A83"/>
    <w:rsid w:val="00E41BAC"/>
    <w:rsid w:val="00E42260"/>
    <w:rsid w:val="00E42E9C"/>
    <w:rsid w:val="00E43310"/>
    <w:rsid w:val="00E43642"/>
    <w:rsid w:val="00E43C3E"/>
    <w:rsid w:val="00E44359"/>
    <w:rsid w:val="00E4446E"/>
    <w:rsid w:val="00E44604"/>
    <w:rsid w:val="00E45346"/>
    <w:rsid w:val="00E460CA"/>
    <w:rsid w:val="00E46439"/>
    <w:rsid w:val="00E469D6"/>
    <w:rsid w:val="00E46C62"/>
    <w:rsid w:val="00E46E3A"/>
    <w:rsid w:val="00E4707C"/>
    <w:rsid w:val="00E4750E"/>
    <w:rsid w:val="00E477C8"/>
    <w:rsid w:val="00E47F3A"/>
    <w:rsid w:val="00E50497"/>
    <w:rsid w:val="00E50954"/>
    <w:rsid w:val="00E510BD"/>
    <w:rsid w:val="00E521F5"/>
    <w:rsid w:val="00E52261"/>
    <w:rsid w:val="00E522C2"/>
    <w:rsid w:val="00E52A18"/>
    <w:rsid w:val="00E52F0B"/>
    <w:rsid w:val="00E52FD1"/>
    <w:rsid w:val="00E5318B"/>
    <w:rsid w:val="00E533AF"/>
    <w:rsid w:val="00E54507"/>
    <w:rsid w:val="00E545FA"/>
    <w:rsid w:val="00E548C9"/>
    <w:rsid w:val="00E54BF6"/>
    <w:rsid w:val="00E54D49"/>
    <w:rsid w:val="00E5504F"/>
    <w:rsid w:val="00E55486"/>
    <w:rsid w:val="00E5554D"/>
    <w:rsid w:val="00E5602D"/>
    <w:rsid w:val="00E5660A"/>
    <w:rsid w:val="00E570B0"/>
    <w:rsid w:val="00E5792F"/>
    <w:rsid w:val="00E57A35"/>
    <w:rsid w:val="00E60021"/>
    <w:rsid w:val="00E602CB"/>
    <w:rsid w:val="00E60D88"/>
    <w:rsid w:val="00E61451"/>
    <w:rsid w:val="00E614DB"/>
    <w:rsid w:val="00E617CA"/>
    <w:rsid w:val="00E61D40"/>
    <w:rsid w:val="00E62923"/>
    <w:rsid w:val="00E62E27"/>
    <w:rsid w:val="00E62F4A"/>
    <w:rsid w:val="00E63027"/>
    <w:rsid w:val="00E63C63"/>
    <w:rsid w:val="00E63CC6"/>
    <w:rsid w:val="00E657E4"/>
    <w:rsid w:val="00E6599E"/>
    <w:rsid w:val="00E65EA9"/>
    <w:rsid w:val="00E66EA5"/>
    <w:rsid w:val="00E675EA"/>
    <w:rsid w:val="00E677E4"/>
    <w:rsid w:val="00E67CEA"/>
    <w:rsid w:val="00E709C1"/>
    <w:rsid w:val="00E70F82"/>
    <w:rsid w:val="00E7130D"/>
    <w:rsid w:val="00E714BD"/>
    <w:rsid w:val="00E719AD"/>
    <w:rsid w:val="00E72F5D"/>
    <w:rsid w:val="00E73681"/>
    <w:rsid w:val="00E739F9"/>
    <w:rsid w:val="00E73A50"/>
    <w:rsid w:val="00E73B14"/>
    <w:rsid w:val="00E743FF"/>
    <w:rsid w:val="00E74411"/>
    <w:rsid w:val="00E749B9"/>
    <w:rsid w:val="00E74B06"/>
    <w:rsid w:val="00E76C56"/>
    <w:rsid w:val="00E76CA5"/>
    <w:rsid w:val="00E76DC6"/>
    <w:rsid w:val="00E76F07"/>
    <w:rsid w:val="00E77A72"/>
    <w:rsid w:val="00E77B12"/>
    <w:rsid w:val="00E77F89"/>
    <w:rsid w:val="00E80037"/>
    <w:rsid w:val="00E802E0"/>
    <w:rsid w:val="00E80C5E"/>
    <w:rsid w:val="00E80EE7"/>
    <w:rsid w:val="00E80F59"/>
    <w:rsid w:val="00E80F91"/>
    <w:rsid w:val="00E813E5"/>
    <w:rsid w:val="00E818B1"/>
    <w:rsid w:val="00E81D52"/>
    <w:rsid w:val="00E82B79"/>
    <w:rsid w:val="00E82F76"/>
    <w:rsid w:val="00E82FC2"/>
    <w:rsid w:val="00E83054"/>
    <w:rsid w:val="00E839DB"/>
    <w:rsid w:val="00E83ACF"/>
    <w:rsid w:val="00E83EF7"/>
    <w:rsid w:val="00E846CF"/>
    <w:rsid w:val="00E847C0"/>
    <w:rsid w:val="00E849FD"/>
    <w:rsid w:val="00E85EE7"/>
    <w:rsid w:val="00E8605F"/>
    <w:rsid w:val="00E863AB"/>
    <w:rsid w:val="00E867FB"/>
    <w:rsid w:val="00E86CD1"/>
    <w:rsid w:val="00E86F57"/>
    <w:rsid w:val="00E86F64"/>
    <w:rsid w:val="00E87139"/>
    <w:rsid w:val="00E87EA0"/>
    <w:rsid w:val="00E87FCB"/>
    <w:rsid w:val="00E904B1"/>
    <w:rsid w:val="00E90870"/>
    <w:rsid w:val="00E9195C"/>
    <w:rsid w:val="00E92449"/>
    <w:rsid w:val="00E9252A"/>
    <w:rsid w:val="00E92920"/>
    <w:rsid w:val="00E92E3D"/>
    <w:rsid w:val="00E93398"/>
    <w:rsid w:val="00E9371E"/>
    <w:rsid w:val="00E93E06"/>
    <w:rsid w:val="00E9408F"/>
    <w:rsid w:val="00E951CE"/>
    <w:rsid w:val="00E952D5"/>
    <w:rsid w:val="00E958CA"/>
    <w:rsid w:val="00E95E7E"/>
    <w:rsid w:val="00E960BB"/>
    <w:rsid w:val="00E963D7"/>
    <w:rsid w:val="00E96549"/>
    <w:rsid w:val="00E96A76"/>
    <w:rsid w:val="00E96D9C"/>
    <w:rsid w:val="00E9741A"/>
    <w:rsid w:val="00E9764B"/>
    <w:rsid w:val="00E97710"/>
    <w:rsid w:val="00E97B79"/>
    <w:rsid w:val="00E97D6C"/>
    <w:rsid w:val="00EA010D"/>
    <w:rsid w:val="00EA01FB"/>
    <w:rsid w:val="00EA04B4"/>
    <w:rsid w:val="00EA0B5C"/>
    <w:rsid w:val="00EA0BB6"/>
    <w:rsid w:val="00EA0EEB"/>
    <w:rsid w:val="00EA1117"/>
    <w:rsid w:val="00EA1B68"/>
    <w:rsid w:val="00EA2F70"/>
    <w:rsid w:val="00EA42A2"/>
    <w:rsid w:val="00EA43C3"/>
    <w:rsid w:val="00EA45C7"/>
    <w:rsid w:val="00EA52E8"/>
    <w:rsid w:val="00EA6585"/>
    <w:rsid w:val="00EA6765"/>
    <w:rsid w:val="00EA6FF7"/>
    <w:rsid w:val="00EA760C"/>
    <w:rsid w:val="00EA78A4"/>
    <w:rsid w:val="00EA7EF4"/>
    <w:rsid w:val="00EB10A0"/>
    <w:rsid w:val="00EB120C"/>
    <w:rsid w:val="00EB156C"/>
    <w:rsid w:val="00EB178E"/>
    <w:rsid w:val="00EB1C65"/>
    <w:rsid w:val="00EB2747"/>
    <w:rsid w:val="00EB2944"/>
    <w:rsid w:val="00EB2980"/>
    <w:rsid w:val="00EB2ECB"/>
    <w:rsid w:val="00EB425F"/>
    <w:rsid w:val="00EB46EE"/>
    <w:rsid w:val="00EB4A3D"/>
    <w:rsid w:val="00EB4DEA"/>
    <w:rsid w:val="00EB4FC6"/>
    <w:rsid w:val="00EB5483"/>
    <w:rsid w:val="00EB54B6"/>
    <w:rsid w:val="00EB5726"/>
    <w:rsid w:val="00EB5FA4"/>
    <w:rsid w:val="00EB6425"/>
    <w:rsid w:val="00EB66AE"/>
    <w:rsid w:val="00EB6BA2"/>
    <w:rsid w:val="00EB6BD0"/>
    <w:rsid w:val="00EB6C3B"/>
    <w:rsid w:val="00EB6D3C"/>
    <w:rsid w:val="00EB6D5B"/>
    <w:rsid w:val="00EB7135"/>
    <w:rsid w:val="00EB715A"/>
    <w:rsid w:val="00EC0686"/>
    <w:rsid w:val="00EC101B"/>
    <w:rsid w:val="00EC13DB"/>
    <w:rsid w:val="00EC1485"/>
    <w:rsid w:val="00EC2730"/>
    <w:rsid w:val="00EC28DF"/>
    <w:rsid w:val="00EC29D1"/>
    <w:rsid w:val="00EC2F0E"/>
    <w:rsid w:val="00EC3518"/>
    <w:rsid w:val="00EC3DB7"/>
    <w:rsid w:val="00EC3F09"/>
    <w:rsid w:val="00EC4329"/>
    <w:rsid w:val="00EC4BE2"/>
    <w:rsid w:val="00EC55BC"/>
    <w:rsid w:val="00EC5927"/>
    <w:rsid w:val="00EC5A08"/>
    <w:rsid w:val="00EC5F86"/>
    <w:rsid w:val="00EC5FBD"/>
    <w:rsid w:val="00EC6474"/>
    <w:rsid w:val="00EC7205"/>
    <w:rsid w:val="00EC7523"/>
    <w:rsid w:val="00EC755C"/>
    <w:rsid w:val="00EC7FFD"/>
    <w:rsid w:val="00ED01A6"/>
    <w:rsid w:val="00ED0712"/>
    <w:rsid w:val="00ED098F"/>
    <w:rsid w:val="00ED09A1"/>
    <w:rsid w:val="00ED0A67"/>
    <w:rsid w:val="00ED0C98"/>
    <w:rsid w:val="00ED16E3"/>
    <w:rsid w:val="00ED1710"/>
    <w:rsid w:val="00ED1E47"/>
    <w:rsid w:val="00ED238B"/>
    <w:rsid w:val="00ED38B9"/>
    <w:rsid w:val="00ED3E1C"/>
    <w:rsid w:val="00ED3E3C"/>
    <w:rsid w:val="00ED4645"/>
    <w:rsid w:val="00ED4E4F"/>
    <w:rsid w:val="00ED6B67"/>
    <w:rsid w:val="00ED70B6"/>
    <w:rsid w:val="00ED7A39"/>
    <w:rsid w:val="00EE0073"/>
    <w:rsid w:val="00EE0555"/>
    <w:rsid w:val="00EE070D"/>
    <w:rsid w:val="00EE0DFE"/>
    <w:rsid w:val="00EE1142"/>
    <w:rsid w:val="00EE16FE"/>
    <w:rsid w:val="00EE1EBA"/>
    <w:rsid w:val="00EE2237"/>
    <w:rsid w:val="00EE2259"/>
    <w:rsid w:val="00EE2332"/>
    <w:rsid w:val="00EE24EC"/>
    <w:rsid w:val="00EE29EA"/>
    <w:rsid w:val="00EE33E0"/>
    <w:rsid w:val="00EE3C0E"/>
    <w:rsid w:val="00EE465F"/>
    <w:rsid w:val="00EE4796"/>
    <w:rsid w:val="00EE5D28"/>
    <w:rsid w:val="00EE5EE0"/>
    <w:rsid w:val="00EE62FA"/>
    <w:rsid w:val="00EE655F"/>
    <w:rsid w:val="00EE665C"/>
    <w:rsid w:val="00EE6769"/>
    <w:rsid w:val="00EE6C57"/>
    <w:rsid w:val="00EE6DC7"/>
    <w:rsid w:val="00EE6EEC"/>
    <w:rsid w:val="00EE7382"/>
    <w:rsid w:val="00EE76CE"/>
    <w:rsid w:val="00EF0225"/>
    <w:rsid w:val="00EF037F"/>
    <w:rsid w:val="00EF16FC"/>
    <w:rsid w:val="00EF19AB"/>
    <w:rsid w:val="00EF1FAF"/>
    <w:rsid w:val="00EF21A6"/>
    <w:rsid w:val="00EF2B4C"/>
    <w:rsid w:val="00EF2D19"/>
    <w:rsid w:val="00EF33EF"/>
    <w:rsid w:val="00EF358D"/>
    <w:rsid w:val="00EF35A0"/>
    <w:rsid w:val="00EF368A"/>
    <w:rsid w:val="00EF3835"/>
    <w:rsid w:val="00EF4043"/>
    <w:rsid w:val="00EF4172"/>
    <w:rsid w:val="00EF4AD9"/>
    <w:rsid w:val="00EF4AF9"/>
    <w:rsid w:val="00EF4B2E"/>
    <w:rsid w:val="00EF5CE6"/>
    <w:rsid w:val="00EF5E1C"/>
    <w:rsid w:val="00EF64BB"/>
    <w:rsid w:val="00EF6CE3"/>
    <w:rsid w:val="00EF6FC3"/>
    <w:rsid w:val="00EF7A29"/>
    <w:rsid w:val="00EF7C97"/>
    <w:rsid w:val="00EF7E1C"/>
    <w:rsid w:val="00F0044D"/>
    <w:rsid w:val="00F00BCF"/>
    <w:rsid w:val="00F00E8A"/>
    <w:rsid w:val="00F0116E"/>
    <w:rsid w:val="00F01805"/>
    <w:rsid w:val="00F019C1"/>
    <w:rsid w:val="00F023C1"/>
    <w:rsid w:val="00F040E6"/>
    <w:rsid w:val="00F04165"/>
    <w:rsid w:val="00F049B7"/>
    <w:rsid w:val="00F04BC5"/>
    <w:rsid w:val="00F0516B"/>
    <w:rsid w:val="00F051B7"/>
    <w:rsid w:val="00F05379"/>
    <w:rsid w:val="00F058C7"/>
    <w:rsid w:val="00F05D7D"/>
    <w:rsid w:val="00F063EF"/>
    <w:rsid w:val="00F06627"/>
    <w:rsid w:val="00F06AFB"/>
    <w:rsid w:val="00F07151"/>
    <w:rsid w:val="00F0715C"/>
    <w:rsid w:val="00F07C8B"/>
    <w:rsid w:val="00F07F6F"/>
    <w:rsid w:val="00F10630"/>
    <w:rsid w:val="00F10AA9"/>
    <w:rsid w:val="00F10F69"/>
    <w:rsid w:val="00F11B3B"/>
    <w:rsid w:val="00F11FC0"/>
    <w:rsid w:val="00F12997"/>
    <w:rsid w:val="00F12C6C"/>
    <w:rsid w:val="00F130BF"/>
    <w:rsid w:val="00F138AE"/>
    <w:rsid w:val="00F13D10"/>
    <w:rsid w:val="00F141ED"/>
    <w:rsid w:val="00F14558"/>
    <w:rsid w:val="00F1466C"/>
    <w:rsid w:val="00F14812"/>
    <w:rsid w:val="00F1500B"/>
    <w:rsid w:val="00F153F5"/>
    <w:rsid w:val="00F164AF"/>
    <w:rsid w:val="00F169DA"/>
    <w:rsid w:val="00F16A53"/>
    <w:rsid w:val="00F16D0A"/>
    <w:rsid w:val="00F16EF3"/>
    <w:rsid w:val="00F1782A"/>
    <w:rsid w:val="00F17961"/>
    <w:rsid w:val="00F17986"/>
    <w:rsid w:val="00F17B38"/>
    <w:rsid w:val="00F17C22"/>
    <w:rsid w:val="00F2073B"/>
    <w:rsid w:val="00F20E22"/>
    <w:rsid w:val="00F218E8"/>
    <w:rsid w:val="00F222F6"/>
    <w:rsid w:val="00F22B6F"/>
    <w:rsid w:val="00F241B0"/>
    <w:rsid w:val="00F242CC"/>
    <w:rsid w:val="00F256A3"/>
    <w:rsid w:val="00F25796"/>
    <w:rsid w:val="00F26253"/>
    <w:rsid w:val="00F2698D"/>
    <w:rsid w:val="00F300C5"/>
    <w:rsid w:val="00F3056E"/>
    <w:rsid w:val="00F30EEB"/>
    <w:rsid w:val="00F310EB"/>
    <w:rsid w:val="00F31C06"/>
    <w:rsid w:val="00F31D19"/>
    <w:rsid w:val="00F32234"/>
    <w:rsid w:val="00F324A5"/>
    <w:rsid w:val="00F32845"/>
    <w:rsid w:val="00F32D27"/>
    <w:rsid w:val="00F33419"/>
    <w:rsid w:val="00F335A0"/>
    <w:rsid w:val="00F338AF"/>
    <w:rsid w:val="00F33DB2"/>
    <w:rsid w:val="00F34840"/>
    <w:rsid w:val="00F3487B"/>
    <w:rsid w:val="00F34B0E"/>
    <w:rsid w:val="00F34F08"/>
    <w:rsid w:val="00F35892"/>
    <w:rsid w:val="00F36473"/>
    <w:rsid w:val="00F3687A"/>
    <w:rsid w:val="00F41738"/>
    <w:rsid w:val="00F42660"/>
    <w:rsid w:val="00F43267"/>
    <w:rsid w:val="00F4341F"/>
    <w:rsid w:val="00F438F5"/>
    <w:rsid w:val="00F43935"/>
    <w:rsid w:val="00F4399B"/>
    <w:rsid w:val="00F440EC"/>
    <w:rsid w:val="00F457DA"/>
    <w:rsid w:val="00F46A4E"/>
    <w:rsid w:val="00F46FBB"/>
    <w:rsid w:val="00F47198"/>
    <w:rsid w:val="00F47AEB"/>
    <w:rsid w:val="00F506D7"/>
    <w:rsid w:val="00F507C3"/>
    <w:rsid w:val="00F512DA"/>
    <w:rsid w:val="00F527D4"/>
    <w:rsid w:val="00F52A3C"/>
    <w:rsid w:val="00F5325C"/>
    <w:rsid w:val="00F5354E"/>
    <w:rsid w:val="00F53EE2"/>
    <w:rsid w:val="00F54135"/>
    <w:rsid w:val="00F54238"/>
    <w:rsid w:val="00F5474F"/>
    <w:rsid w:val="00F54BE2"/>
    <w:rsid w:val="00F54DFA"/>
    <w:rsid w:val="00F54F4F"/>
    <w:rsid w:val="00F550DF"/>
    <w:rsid w:val="00F55A0B"/>
    <w:rsid w:val="00F56356"/>
    <w:rsid w:val="00F564C3"/>
    <w:rsid w:val="00F565E9"/>
    <w:rsid w:val="00F56F6E"/>
    <w:rsid w:val="00F57472"/>
    <w:rsid w:val="00F57577"/>
    <w:rsid w:val="00F604AD"/>
    <w:rsid w:val="00F60A86"/>
    <w:rsid w:val="00F60FED"/>
    <w:rsid w:val="00F627CA"/>
    <w:rsid w:val="00F62BFD"/>
    <w:rsid w:val="00F62F62"/>
    <w:rsid w:val="00F64155"/>
    <w:rsid w:val="00F64986"/>
    <w:rsid w:val="00F64E9A"/>
    <w:rsid w:val="00F64F06"/>
    <w:rsid w:val="00F650A3"/>
    <w:rsid w:val="00F6558E"/>
    <w:rsid w:val="00F6560E"/>
    <w:rsid w:val="00F65E72"/>
    <w:rsid w:val="00F664FD"/>
    <w:rsid w:val="00F670C2"/>
    <w:rsid w:val="00F67293"/>
    <w:rsid w:val="00F676D5"/>
    <w:rsid w:val="00F67BEC"/>
    <w:rsid w:val="00F70002"/>
    <w:rsid w:val="00F7022E"/>
    <w:rsid w:val="00F70DCA"/>
    <w:rsid w:val="00F7200B"/>
    <w:rsid w:val="00F72A74"/>
    <w:rsid w:val="00F738C8"/>
    <w:rsid w:val="00F73DB4"/>
    <w:rsid w:val="00F74036"/>
    <w:rsid w:val="00F744CC"/>
    <w:rsid w:val="00F74715"/>
    <w:rsid w:val="00F752C1"/>
    <w:rsid w:val="00F753C2"/>
    <w:rsid w:val="00F755AA"/>
    <w:rsid w:val="00F756E8"/>
    <w:rsid w:val="00F75768"/>
    <w:rsid w:val="00F76209"/>
    <w:rsid w:val="00F7665E"/>
    <w:rsid w:val="00F7691A"/>
    <w:rsid w:val="00F76DE1"/>
    <w:rsid w:val="00F77076"/>
    <w:rsid w:val="00F77999"/>
    <w:rsid w:val="00F77C7F"/>
    <w:rsid w:val="00F80015"/>
    <w:rsid w:val="00F800F5"/>
    <w:rsid w:val="00F80664"/>
    <w:rsid w:val="00F80A91"/>
    <w:rsid w:val="00F80D1B"/>
    <w:rsid w:val="00F80F5E"/>
    <w:rsid w:val="00F8164E"/>
    <w:rsid w:val="00F81919"/>
    <w:rsid w:val="00F821A5"/>
    <w:rsid w:val="00F82695"/>
    <w:rsid w:val="00F83483"/>
    <w:rsid w:val="00F83658"/>
    <w:rsid w:val="00F837D7"/>
    <w:rsid w:val="00F842BF"/>
    <w:rsid w:val="00F85559"/>
    <w:rsid w:val="00F856F9"/>
    <w:rsid w:val="00F863C1"/>
    <w:rsid w:val="00F865A4"/>
    <w:rsid w:val="00F8667E"/>
    <w:rsid w:val="00F86DCA"/>
    <w:rsid w:val="00F87A8D"/>
    <w:rsid w:val="00F87BEB"/>
    <w:rsid w:val="00F87EFC"/>
    <w:rsid w:val="00F903B1"/>
    <w:rsid w:val="00F908E4"/>
    <w:rsid w:val="00F90962"/>
    <w:rsid w:val="00F9096C"/>
    <w:rsid w:val="00F90C9C"/>
    <w:rsid w:val="00F921D1"/>
    <w:rsid w:val="00F9262E"/>
    <w:rsid w:val="00F92A0B"/>
    <w:rsid w:val="00F93A15"/>
    <w:rsid w:val="00F94A5D"/>
    <w:rsid w:val="00F94D69"/>
    <w:rsid w:val="00F951B0"/>
    <w:rsid w:val="00F961AB"/>
    <w:rsid w:val="00F96980"/>
    <w:rsid w:val="00F971C7"/>
    <w:rsid w:val="00F973C6"/>
    <w:rsid w:val="00F9764B"/>
    <w:rsid w:val="00F976C1"/>
    <w:rsid w:val="00F9770A"/>
    <w:rsid w:val="00FA0669"/>
    <w:rsid w:val="00FA0FEF"/>
    <w:rsid w:val="00FA0FFB"/>
    <w:rsid w:val="00FA1124"/>
    <w:rsid w:val="00FA18B7"/>
    <w:rsid w:val="00FA19F8"/>
    <w:rsid w:val="00FA1AC3"/>
    <w:rsid w:val="00FA1BCA"/>
    <w:rsid w:val="00FA2BA3"/>
    <w:rsid w:val="00FA2CD9"/>
    <w:rsid w:val="00FA30C6"/>
    <w:rsid w:val="00FA3706"/>
    <w:rsid w:val="00FA3C0F"/>
    <w:rsid w:val="00FA3F2A"/>
    <w:rsid w:val="00FA425C"/>
    <w:rsid w:val="00FA4410"/>
    <w:rsid w:val="00FA4594"/>
    <w:rsid w:val="00FA4E34"/>
    <w:rsid w:val="00FA4EB7"/>
    <w:rsid w:val="00FA4FD1"/>
    <w:rsid w:val="00FA5178"/>
    <w:rsid w:val="00FA564B"/>
    <w:rsid w:val="00FA615D"/>
    <w:rsid w:val="00FA6F0E"/>
    <w:rsid w:val="00FA7506"/>
    <w:rsid w:val="00FA7AE6"/>
    <w:rsid w:val="00FA7CEA"/>
    <w:rsid w:val="00FB049E"/>
    <w:rsid w:val="00FB0969"/>
    <w:rsid w:val="00FB09DC"/>
    <w:rsid w:val="00FB15CC"/>
    <w:rsid w:val="00FB2994"/>
    <w:rsid w:val="00FB2BE4"/>
    <w:rsid w:val="00FB2FD0"/>
    <w:rsid w:val="00FB33D8"/>
    <w:rsid w:val="00FB36E6"/>
    <w:rsid w:val="00FB46E4"/>
    <w:rsid w:val="00FB4C21"/>
    <w:rsid w:val="00FB4E97"/>
    <w:rsid w:val="00FB4ECC"/>
    <w:rsid w:val="00FB4EE2"/>
    <w:rsid w:val="00FB556D"/>
    <w:rsid w:val="00FB57D8"/>
    <w:rsid w:val="00FB5AA8"/>
    <w:rsid w:val="00FB691C"/>
    <w:rsid w:val="00FB6AE3"/>
    <w:rsid w:val="00FB7E1E"/>
    <w:rsid w:val="00FC189A"/>
    <w:rsid w:val="00FC2092"/>
    <w:rsid w:val="00FC258C"/>
    <w:rsid w:val="00FC27CE"/>
    <w:rsid w:val="00FC3118"/>
    <w:rsid w:val="00FC3508"/>
    <w:rsid w:val="00FC43CE"/>
    <w:rsid w:val="00FC4E2F"/>
    <w:rsid w:val="00FC4EEE"/>
    <w:rsid w:val="00FC4FA6"/>
    <w:rsid w:val="00FC5657"/>
    <w:rsid w:val="00FC567F"/>
    <w:rsid w:val="00FC5E9F"/>
    <w:rsid w:val="00FC5F87"/>
    <w:rsid w:val="00FC6838"/>
    <w:rsid w:val="00FC694A"/>
    <w:rsid w:val="00FC6C15"/>
    <w:rsid w:val="00FC70CF"/>
    <w:rsid w:val="00FC71CE"/>
    <w:rsid w:val="00FC7759"/>
    <w:rsid w:val="00FC7B44"/>
    <w:rsid w:val="00FC7F46"/>
    <w:rsid w:val="00FD01E3"/>
    <w:rsid w:val="00FD1056"/>
    <w:rsid w:val="00FD1E60"/>
    <w:rsid w:val="00FD27CF"/>
    <w:rsid w:val="00FD3047"/>
    <w:rsid w:val="00FD3C6A"/>
    <w:rsid w:val="00FD432B"/>
    <w:rsid w:val="00FD46FD"/>
    <w:rsid w:val="00FD480B"/>
    <w:rsid w:val="00FD4A3C"/>
    <w:rsid w:val="00FD4C63"/>
    <w:rsid w:val="00FD5199"/>
    <w:rsid w:val="00FD5920"/>
    <w:rsid w:val="00FD6030"/>
    <w:rsid w:val="00FD7647"/>
    <w:rsid w:val="00FD77F0"/>
    <w:rsid w:val="00FE12F8"/>
    <w:rsid w:val="00FE1CAE"/>
    <w:rsid w:val="00FE337A"/>
    <w:rsid w:val="00FE33C1"/>
    <w:rsid w:val="00FE35E2"/>
    <w:rsid w:val="00FE3C39"/>
    <w:rsid w:val="00FE449C"/>
    <w:rsid w:val="00FE5E3D"/>
    <w:rsid w:val="00FE6A57"/>
    <w:rsid w:val="00FE6A9D"/>
    <w:rsid w:val="00FE7081"/>
    <w:rsid w:val="00FE798D"/>
    <w:rsid w:val="00FE7A43"/>
    <w:rsid w:val="00FE7BEF"/>
    <w:rsid w:val="00FE7E17"/>
    <w:rsid w:val="00FF009F"/>
    <w:rsid w:val="00FF0861"/>
    <w:rsid w:val="00FF0930"/>
    <w:rsid w:val="00FF0DBD"/>
    <w:rsid w:val="00FF13EC"/>
    <w:rsid w:val="00FF17FD"/>
    <w:rsid w:val="00FF2A7F"/>
    <w:rsid w:val="00FF2C1E"/>
    <w:rsid w:val="00FF2EF1"/>
    <w:rsid w:val="00FF3CF4"/>
    <w:rsid w:val="00FF4875"/>
    <w:rsid w:val="00FF4AE2"/>
    <w:rsid w:val="00FF4B15"/>
    <w:rsid w:val="00FF4E5F"/>
    <w:rsid w:val="00FF4FD6"/>
    <w:rsid w:val="00FF5A7C"/>
    <w:rsid w:val="00FF60B3"/>
    <w:rsid w:val="00FF6228"/>
    <w:rsid w:val="00FF63F2"/>
    <w:rsid w:val="00FF7611"/>
    <w:rsid w:val="00FF77BF"/>
    <w:rsid w:val="00FF7E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57AB7EEF"/>
  <w15:docId w15:val="{94800682-8AA4-4036-9201-E9AE4B00B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85ED4"/>
  </w:style>
  <w:style w:type="paragraph" w:styleId="Titolo1">
    <w:name w:val="heading 1"/>
    <w:basedOn w:val="Normale"/>
    <w:link w:val="Titolo1Carattere"/>
    <w:uiPriority w:val="9"/>
    <w:qFormat/>
    <w:rsid w:val="00F563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8050D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8050D2"/>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8050D2"/>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8050D2"/>
    <w:rPr>
      <w:rFonts w:ascii="Times New Roman" w:eastAsia="Times New Roman" w:hAnsi="Times New Roman" w:cs="Times New Roman"/>
      <w:b/>
      <w:bCs/>
      <w:sz w:val="27"/>
      <w:szCs w:val="27"/>
      <w:lang w:eastAsia="it-IT"/>
    </w:rPr>
  </w:style>
  <w:style w:type="numbering" w:customStyle="1" w:styleId="Nessunelenco1">
    <w:name w:val="Nessun elenco1"/>
    <w:next w:val="Nessunelenco"/>
    <w:uiPriority w:val="99"/>
    <w:semiHidden/>
    <w:unhideWhenUsed/>
    <w:rsid w:val="008050D2"/>
  </w:style>
  <w:style w:type="paragraph" w:styleId="Testonotaapidipagina">
    <w:name w:val="footnote text"/>
    <w:aliases w:val="Testo nota a piè di pagina Carattere1,Testo nota a piè di pagina Carattere Carattere,Testo nota a piè di pagina Carattere1 Carattere Carattere,Testo nota a piè di pagina Carattere Carattere Carattere Carattere"/>
    <w:basedOn w:val="Normale"/>
    <w:link w:val="TestonotaapidipaginaCarattere"/>
    <w:uiPriority w:val="99"/>
    <w:rsid w:val="008050D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Testo nota a piè di pagina Carattere1 Carattere,Testo nota a piè di pagina Carattere Carattere Carattere,Testo nota a piè di pagina Carattere1 Carattere Carattere Carattere"/>
    <w:basedOn w:val="Carpredefinitoparagrafo"/>
    <w:link w:val="Testonotaapidipagina"/>
    <w:uiPriority w:val="99"/>
    <w:rsid w:val="008050D2"/>
    <w:rPr>
      <w:rFonts w:ascii="Times New Roman" w:eastAsia="Times New Roman" w:hAnsi="Times New Roman" w:cs="Times New Roman"/>
      <w:sz w:val="20"/>
      <w:szCs w:val="20"/>
      <w:lang w:eastAsia="it-IT"/>
    </w:rPr>
  </w:style>
  <w:style w:type="character" w:styleId="Rimandonotaapidipagina">
    <w:name w:val="footnote reference"/>
    <w:uiPriority w:val="99"/>
    <w:rsid w:val="008050D2"/>
    <w:rPr>
      <w:vertAlign w:val="superscript"/>
    </w:rPr>
  </w:style>
  <w:style w:type="paragraph" w:styleId="Rientrocorpodeltesto">
    <w:name w:val="Body Text Indent"/>
    <w:basedOn w:val="Normale"/>
    <w:link w:val="RientrocorpodeltestoCarattere"/>
    <w:rsid w:val="008050D2"/>
    <w:pPr>
      <w:spacing w:after="0" w:line="240" w:lineRule="auto"/>
      <w:ind w:firstLine="708"/>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8050D2"/>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rsid w:val="008050D2"/>
    <w:pPr>
      <w:tabs>
        <w:tab w:val="center" w:pos="4819"/>
        <w:tab w:val="right" w:pos="9638"/>
      </w:tabs>
      <w:spacing w:after="0" w:line="240" w:lineRule="auto"/>
    </w:pPr>
    <w:rPr>
      <w:rFonts w:ascii="Times New Roman" w:eastAsia="Times New Roman" w:hAnsi="Times New Roman" w:cs="Times New Roman"/>
      <w:sz w:val="20"/>
      <w:szCs w:val="20"/>
      <w:lang w:eastAsia="it-IT"/>
    </w:rPr>
  </w:style>
  <w:style w:type="character" w:customStyle="1" w:styleId="PidipaginaCarattere">
    <w:name w:val="Piè di pagina Carattere"/>
    <w:basedOn w:val="Carpredefinitoparagrafo"/>
    <w:link w:val="Pidipagina"/>
    <w:uiPriority w:val="99"/>
    <w:rsid w:val="008050D2"/>
    <w:rPr>
      <w:rFonts w:ascii="Times New Roman" w:eastAsia="Times New Roman" w:hAnsi="Times New Roman" w:cs="Times New Roman"/>
      <w:sz w:val="20"/>
      <w:szCs w:val="20"/>
      <w:lang w:eastAsia="it-IT"/>
    </w:rPr>
  </w:style>
  <w:style w:type="character" w:styleId="Numeropagina">
    <w:name w:val="page number"/>
    <w:basedOn w:val="Carpredefinitoparagrafo"/>
    <w:rsid w:val="008050D2"/>
  </w:style>
  <w:style w:type="paragraph" w:styleId="NormaleWeb">
    <w:name w:val="Normal (Web)"/>
    <w:basedOn w:val="Normale"/>
    <w:uiPriority w:val="99"/>
    <w:unhideWhenUsed/>
    <w:rsid w:val="008050D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rsid w:val="008050D2"/>
    <w:pPr>
      <w:tabs>
        <w:tab w:val="center" w:pos="4819"/>
        <w:tab w:val="right" w:pos="9638"/>
      </w:tabs>
      <w:spacing w:after="0" w:line="240" w:lineRule="auto"/>
    </w:pPr>
    <w:rPr>
      <w:rFonts w:ascii="Times New Roman" w:eastAsia="Times New Roman" w:hAnsi="Times New Roman" w:cs="Times New Roman"/>
      <w:sz w:val="20"/>
      <w:szCs w:val="20"/>
      <w:lang w:eastAsia="it-IT"/>
    </w:rPr>
  </w:style>
  <w:style w:type="character" w:customStyle="1" w:styleId="IntestazioneCarattere">
    <w:name w:val="Intestazione Carattere"/>
    <w:basedOn w:val="Carpredefinitoparagrafo"/>
    <w:link w:val="Intestazione"/>
    <w:rsid w:val="008050D2"/>
    <w:rPr>
      <w:rFonts w:ascii="Times New Roman" w:eastAsia="Times New Roman" w:hAnsi="Times New Roman" w:cs="Times New Roman"/>
      <w:sz w:val="20"/>
      <w:szCs w:val="20"/>
      <w:lang w:eastAsia="it-IT"/>
    </w:rPr>
  </w:style>
  <w:style w:type="character" w:customStyle="1" w:styleId="CorpodeltestoCarattere">
    <w:name w:val="Corpo del testo Carattere"/>
    <w:rsid w:val="008050D2"/>
    <w:rPr>
      <w:lang w:val="it-IT" w:eastAsia="it-IT" w:bidi="ar-SA"/>
    </w:rPr>
  </w:style>
  <w:style w:type="paragraph" w:styleId="Testofumetto">
    <w:name w:val="Balloon Text"/>
    <w:basedOn w:val="Normale"/>
    <w:link w:val="TestofumettoCarattere"/>
    <w:uiPriority w:val="99"/>
    <w:semiHidden/>
    <w:rsid w:val="008050D2"/>
    <w:pPr>
      <w:spacing w:after="0" w:line="240" w:lineRule="auto"/>
    </w:pPr>
    <w:rPr>
      <w:rFonts w:ascii="Tahoma" w:eastAsia="Times New Roman" w:hAnsi="Tahoma" w:cs="Times New Roman"/>
      <w:sz w:val="16"/>
      <w:szCs w:val="16"/>
      <w:lang w:eastAsia="it-IT"/>
    </w:rPr>
  </w:style>
  <w:style w:type="character" w:customStyle="1" w:styleId="TestofumettoCarattere">
    <w:name w:val="Testo fumetto Carattere"/>
    <w:basedOn w:val="Carpredefinitoparagrafo"/>
    <w:link w:val="Testofumetto"/>
    <w:uiPriority w:val="99"/>
    <w:semiHidden/>
    <w:rsid w:val="008050D2"/>
    <w:rPr>
      <w:rFonts w:ascii="Tahoma" w:eastAsia="Times New Roman" w:hAnsi="Tahoma" w:cs="Times New Roman"/>
      <w:sz w:val="16"/>
      <w:szCs w:val="16"/>
      <w:lang w:eastAsia="it-IT"/>
    </w:rPr>
  </w:style>
  <w:style w:type="character" w:customStyle="1" w:styleId="FootnoteTextChar">
    <w:name w:val="Footnote Text Char"/>
    <w:aliases w:val="Testo nota a piè di pagina Carattere1 Char,Testo nota a piè di pagina Carattere Carattere Char,Testo nota a piè di pagina Carattere1 Carattere Carattere Char,Testo nota a piè di pagina Carattere Carattere Carattere Carattere Char"/>
    <w:semiHidden/>
    <w:locked/>
    <w:rsid w:val="008050D2"/>
    <w:rPr>
      <w:rFonts w:ascii="Times New Roman" w:hAnsi="Times New Roman" w:cs="Times New Roman"/>
      <w:sz w:val="20"/>
      <w:szCs w:val="20"/>
      <w:lang w:eastAsia="it-IT"/>
    </w:rPr>
  </w:style>
  <w:style w:type="paragraph" w:styleId="Paragrafoelenco">
    <w:name w:val="List Paragraph"/>
    <w:basedOn w:val="Normale"/>
    <w:uiPriority w:val="34"/>
    <w:qFormat/>
    <w:rsid w:val="008050D2"/>
    <w:pPr>
      <w:spacing w:after="0" w:line="240" w:lineRule="auto"/>
      <w:ind w:left="708"/>
    </w:pPr>
    <w:rPr>
      <w:rFonts w:ascii="Times New Roman" w:eastAsia="Times New Roman" w:hAnsi="Times New Roman" w:cs="Times New Roman"/>
      <w:sz w:val="20"/>
      <w:szCs w:val="20"/>
      <w:lang w:eastAsia="it-IT"/>
    </w:rPr>
  </w:style>
  <w:style w:type="character" w:styleId="Enfasicorsivo">
    <w:name w:val="Emphasis"/>
    <w:uiPriority w:val="20"/>
    <w:qFormat/>
    <w:rsid w:val="008050D2"/>
    <w:rPr>
      <w:i/>
      <w:iCs/>
    </w:rPr>
  </w:style>
  <w:style w:type="paragraph" w:customStyle="1" w:styleId="Paragrafoelenco1">
    <w:name w:val="Paragrafo elenco1"/>
    <w:basedOn w:val="Normale"/>
    <w:rsid w:val="008050D2"/>
    <w:pPr>
      <w:ind w:left="720"/>
      <w:contextualSpacing/>
    </w:pPr>
    <w:rPr>
      <w:rFonts w:ascii="Calibri" w:eastAsia="Times New Roman" w:hAnsi="Calibri" w:cs="Times New Roman"/>
    </w:rPr>
  </w:style>
  <w:style w:type="paragraph" w:styleId="Corpotesto">
    <w:name w:val="Body Text"/>
    <w:basedOn w:val="Normale"/>
    <w:link w:val="CorpotestoCarattere"/>
    <w:uiPriority w:val="99"/>
    <w:semiHidden/>
    <w:unhideWhenUsed/>
    <w:rsid w:val="008050D2"/>
    <w:pPr>
      <w:spacing w:after="120" w:line="240" w:lineRule="auto"/>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uiPriority w:val="99"/>
    <w:semiHidden/>
    <w:rsid w:val="008050D2"/>
    <w:rPr>
      <w:rFonts w:ascii="Times New Roman" w:eastAsia="Times New Roman" w:hAnsi="Times New Roman" w:cs="Times New Roman"/>
      <w:sz w:val="20"/>
      <w:szCs w:val="20"/>
      <w:lang w:eastAsia="it-IT"/>
    </w:rPr>
  </w:style>
  <w:style w:type="paragraph" w:styleId="Testonotadichiusura">
    <w:name w:val="endnote text"/>
    <w:basedOn w:val="Normale"/>
    <w:link w:val="TestonotadichiusuraCarattere"/>
    <w:uiPriority w:val="99"/>
    <w:semiHidden/>
    <w:unhideWhenUsed/>
    <w:rsid w:val="00B50A08"/>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B50A08"/>
    <w:rPr>
      <w:sz w:val="20"/>
      <w:szCs w:val="20"/>
    </w:rPr>
  </w:style>
  <w:style w:type="character" w:styleId="Rimandonotadichiusura">
    <w:name w:val="endnote reference"/>
    <w:basedOn w:val="Carpredefinitoparagrafo"/>
    <w:uiPriority w:val="99"/>
    <w:semiHidden/>
    <w:unhideWhenUsed/>
    <w:rsid w:val="00B50A08"/>
    <w:rPr>
      <w:vertAlign w:val="superscript"/>
    </w:rPr>
  </w:style>
  <w:style w:type="paragraph" w:styleId="Rientrocorpodeltesto2">
    <w:name w:val="Body Text Indent 2"/>
    <w:basedOn w:val="Normale"/>
    <w:link w:val="Rientrocorpodeltesto2Carattere"/>
    <w:uiPriority w:val="99"/>
    <w:unhideWhenUsed/>
    <w:rsid w:val="00EE29EA"/>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EE29EA"/>
  </w:style>
  <w:style w:type="paragraph" w:styleId="Testonormale">
    <w:name w:val="Plain Text"/>
    <w:basedOn w:val="Normale"/>
    <w:link w:val="TestonormaleCarattere"/>
    <w:uiPriority w:val="99"/>
    <w:unhideWhenUsed/>
    <w:rsid w:val="003D4F66"/>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rsid w:val="003D4F66"/>
    <w:rPr>
      <w:rFonts w:ascii="Calibri" w:hAnsi="Calibri"/>
      <w:szCs w:val="21"/>
    </w:rPr>
  </w:style>
  <w:style w:type="character" w:styleId="Collegamentoipertestuale">
    <w:name w:val="Hyperlink"/>
    <w:basedOn w:val="Carpredefinitoparagrafo"/>
    <w:uiPriority w:val="99"/>
    <w:semiHidden/>
    <w:unhideWhenUsed/>
    <w:rsid w:val="005615E7"/>
    <w:rPr>
      <w:strike w:val="0"/>
      <w:dstrike w:val="0"/>
      <w:color w:val="1191B0"/>
      <w:u w:val="none"/>
      <w:effect w:val="none"/>
    </w:rPr>
  </w:style>
  <w:style w:type="character" w:customStyle="1" w:styleId="linkgazzetta">
    <w:name w:val="link_gazzetta"/>
    <w:basedOn w:val="Carpredefinitoparagrafo"/>
    <w:rsid w:val="005615E7"/>
  </w:style>
  <w:style w:type="character" w:customStyle="1" w:styleId="st1">
    <w:name w:val="st1"/>
    <w:basedOn w:val="Carpredefinitoparagrafo"/>
    <w:rsid w:val="003B015A"/>
  </w:style>
  <w:style w:type="paragraph" w:customStyle="1" w:styleId="m-6019743678605626820p1">
    <w:name w:val="m_-6019743678605626820p1"/>
    <w:basedOn w:val="Normale"/>
    <w:rsid w:val="0006307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6019743678605626820s1">
    <w:name w:val="m_-6019743678605626820s1"/>
    <w:basedOn w:val="Carpredefinitoparagrafo"/>
    <w:rsid w:val="00063070"/>
  </w:style>
  <w:style w:type="paragraph" w:customStyle="1" w:styleId="Default">
    <w:name w:val="Default"/>
    <w:rsid w:val="00A87B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1">
    <w:name w:val="s1"/>
    <w:rsid w:val="00B66E21"/>
    <w:rPr>
      <w:rFonts w:ascii=".SFUIText" w:hAnsi=".SFUIText" w:hint="default"/>
      <w:b w:val="0"/>
      <w:bCs w:val="0"/>
      <w:i w:val="0"/>
      <w:iCs w:val="0"/>
      <w:sz w:val="34"/>
      <w:szCs w:val="34"/>
    </w:rPr>
  </w:style>
  <w:style w:type="table" w:styleId="Grigliatabella">
    <w:name w:val="Table Grid"/>
    <w:basedOn w:val="Tabellanormale"/>
    <w:uiPriority w:val="59"/>
    <w:rsid w:val="00A6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F56356"/>
    <w:rPr>
      <w:rFonts w:ascii="Times New Roman" w:eastAsia="Times New Roman" w:hAnsi="Times New Roman" w:cs="Times New Roman"/>
      <w:b/>
      <w:bCs/>
      <w:kern w:val="36"/>
      <w:sz w:val="48"/>
      <w:szCs w:val="48"/>
      <w:lang w:eastAsia="it-IT"/>
    </w:rPr>
  </w:style>
  <w:style w:type="numbering" w:customStyle="1" w:styleId="Nessunelenco2">
    <w:name w:val="Nessun elenco2"/>
    <w:next w:val="Nessunelenco"/>
    <w:uiPriority w:val="99"/>
    <w:semiHidden/>
    <w:unhideWhenUsed/>
    <w:rsid w:val="00F56356"/>
  </w:style>
  <w:style w:type="paragraph" w:styleId="Corpodeltesto2">
    <w:name w:val="Body Text 2"/>
    <w:basedOn w:val="Normale"/>
    <w:link w:val="Corpodeltesto2Carattere"/>
    <w:uiPriority w:val="99"/>
    <w:unhideWhenUsed/>
    <w:rsid w:val="00F56356"/>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uiPriority w:val="99"/>
    <w:rsid w:val="00F56356"/>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F56356"/>
    <w:rPr>
      <w:sz w:val="16"/>
      <w:szCs w:val="16"/>
    </w:rPr>
  </w:style>
  <w:style w:type="paragraph" w:styleId="Testocommento">
    <w:name w:val="annotation text"/>
    <w:basedOn w:val="Normale"/>
    <w:link w:val="TestocommentoCarattere"/>
    <w:uiPriority w:val="99"/>
    <w:semiHidden/>
    <w:unhideWhenUsed/>
    <w:rsid w:val="00F56356"/>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F56356"/>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F56356"/>
    <w:rPr>
      <w:b/>
      <w:bCs/>
    </w:rPr>
  </w:style>
  <w:style w:type="character" w:customStyle="1" w:styleId="SoggettocommentoCarattere">
    <w:name w:val="Soggetto commento Carattere"/>
    <w:basedOn w:val="TestocommentoCarattere"/>
    <w:link w:val="Soggettocommento"/>
    <w:uiPriority w:val="99"/>
    <w:semiHidden/>
    <w:rsid w:val="00F56356"/>
    <w:rPr>
      <w:rFonts w:ascii="Times New Roman" w:eastAsia="Times New Roman" w:hAnsi="Times New Roman" w:cs="Times New Roman"/>
      <w:b/>
      <w:bCs/>
      <w:sz w:val="20"/>
      <w:szCs w:val="20"/>
      <w:lang w:eastAsia="it-IT"/>
    </w:rPr>
  </w:style>
  <w:style w:type="table" w:customStyle="1" w:styleId="Grigliatabella1">
    <w:name w:val="Griglia tabella1"/>
    <w:basedOn w:val="Tabellanormale"/>
    <w:next w:val="Grigliatabella"/>
    <w:rsid w:val="00F5635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F56356"/>
  </w:style>
  <w:style w:type="table" w:customStyle="1" w:styleId="Grigliatabella2">
    <w:name w:val="Griglia tabella2"/>
    <w:basedOn w:val="Tabellanormale"/>
    <w:next w:val="Grigliatabella"/>
    <w:uiPriority w:val="59"/>
    <w:rsid w:val="00F56356"/>
    <w:pPr>
      <w:spacing w:after="0" w:line="240" w:lineRule="auto"/>
    </w:pPr>
    <w:rPr>
      <w:rFonts w:ascii="Calibri" w:eastAsia="Times New Roman" w:hAnsi="Calibri"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F56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2">
    <w:name w:val="Plain Table 2"/>
    <w:basedOn w:val="Tabellanormale"/>
    <w:uiPriority w:val="42"/>
    <w:rsid w:val="00F5635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gliatabellachiara">
    <w:name w:val="Grid Table Light"/>
    <w:basedOn w:val="Tabellanormale"/>
    <w:uiPriority w:val="40"/>
    <w:rsid w:val="00F563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nkneltesto">
    <w:name w:val="link_nel_testo"/>
    <w:basedOn w:val="Carpredefinitoparagrafo"/>
    <w:rsid w:val="00F56356"/>
    <w:rPr>
      <w:i/>
      <w:iCs/>
    </w:rPr>
  </w:style>
  <w:style w:type="paragraph" w:customStyle="1" w:styleId="provvr01">
    <w:name w:val="provv_r01"/>
    <w:basedOn w:val="Normale"/>
    <w:rsid w:val="00F56356"/>
    <w:pPr>
      <w:spacing w:before="100" w:beforeAutospacing="1" w:after="45" w:line="240" w:lineRule="auto"/>
      <w:jc w:val="both"/>
    </w:pPr>
    <w:rPr>
      <w:rFonts w:ascii="Times New Roman" w:eastAsia="Times New Roman" w:hAnsi="Times New Roman" w:cs="Times New Roman"/>
      <w:sz w:val="24"/>
      <w:szCs w:val="24"/>
      <w:lang w:eastAsia="it-IT"/>
    </w:rPr>
  </w:style>
  <w:style w:type="character" w:customStyle="1" w:styleId="provvnumcomma">
    <w:name w:val="provv_numcomma"/>
    <w:basedOn w:val="Carpredefinitoparagrafo"/>
    <w:rsid w:val="00F56356"/>
  </w:style>
  <w:style w:type="character" w:customStyle="1" w:styleId="IntestazioneCarattere1">
    <w:name w:val="Intestazione Carattere1"/>
    <w:basedOn w:val="Carpredefinitoparagrafo"/>
    <w:uiPriority w:val="99"/>
    <w:semiHidden/>
    <w:rsid w:val="00F56356"/>
    <w:rPr>
      <w:rFonts w:ascii="Times New Roman" w:eastAsia="Times New Roman" w:hAnsi="Times New Roman" w:cs="Times New Roman"/>
      <w:sz w:val="24"/>
      <w:szCs w:val="24"/>
      <w:lang w:eastAsia="it-IT"/>
    </w:rPr>
  </w:style>
  <w:style w:type="character" w:customStyle="1" w:styleId="PidipaginaCarattere1">
    <w:name w:val="Piè di pagina Carattere1"/>
    <w:basedOn w:val="Carpredefinitoparagrafo"/>
    <w:uiPriority w:val="99"/>
    <w:semiHidden/>
    <w:rsid w:val="00F56356"/>
    <w:rPr>
      <w:rFonts w:ascii="Times New Roman" w:eastAsia="Times New Roman" w:hAnsi="Times New Roman" w:cs="Times New Roman"/>
      <w:sz w:val="24"/>
      <w:szCs w:val="24"/>
      <w:lang w:eastAsia="it-IT"/>
    </w:rPr>
  </w:style>
  <w:style w:type="character" w:customStyle="1" w:styleId="Rientrocorpodeltesto2Carattere1">
    <w:name w:val="Rientro corpo del testo 2 Carattere1"/>
    <w:basedOn w:val="Carpredefinitoparagrafo"/>
    <w:uiPriority w:val="99"/>
    <w:semiHidden/>
    <w:rsid w:val="00F56356"/>
    <w:rPr>
      <w:rFonts w:ascii="Times New Roman" w:eastAsia="Times New Roman" w:hAnsi="Times New Roman" w:cs="Times New Roman"/>
      <w:sz w:val="24"/>
      <w:szCs w:val="24"/>
      <w:lang w:eastAsia="it-IT"/>
    </w:rPr>
  </w:style>
  <w:style w:type="character" w:customStyle="1" w:styleId="TestofumettoCarattere1">
    <w:name w:val="Testo fumetto Carattere1"/>
    <w:basedOn w:val="Carpredefinitoparagrafo"/>
    <w:uiPriority w:val="99"/>
    <w:semiHidden/>
    <w:rsid w:val="00F56356"/>
    <w:rPr>
      <w:rFonts w:ascii="Tahoma" w:eastAsia="Times New Roman" w:hAnsi="Tahoma" w:cs="Tahoma"/>
      <w:sz w:val="16"/>
      <w:szCs w:val="16"/>
      <w:lang w:eastAsia="it-IT"/>
    </w:rPr>
  </w:style>
  <w:style w:type="table" w:customStyle="1" w:styleId="TableNormal">
    <w:name w:val="Table Normal"/>
    <w:uiPriority w:val="2"/>
    <w:semiHidden/>
    <w:unhideWhenUsed/>
    <w:qFormat/>
    <w:rsid w:val="00F563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6356"/>
    <w:pPr>
      <w:widowControl w:val="0"/>
      <w:autoSpaceDE w:val="0"/>
      <w:autoSpaceDN w:val="0"/>
      <w:spacing w:after="0" w:line="240" w:lineRule="auto"/>
    </w:pPr>
    <w:rPr>
      <w:rFonts w:ascii="Times New Roman" w:eastAsia="Times New Roman" w:hAnsi="Times New Roman" w:cs="Times New Roman"/>
      <w:lang w:eastAsia="it-IT" w:bidi="it-IT"/>
    </w:rPr>
  </w:style>
  <w:style w:type="numbering" w:customStyle="1" w:styleId="Nessunelenco21">
    <w:name w:val="Nessun elenco21"/>
    <w:next w:val="Nessunelenco"/>
    <w:uiPriority w:val="99"/>
    <w:semiHidden/>
    <w:unhideWhenUsed/>
    <w:rsid w:val="00F56356"/>
  </w:style>
  <w:style w:type="paragraph" w:styleId="Puntoelenco">
    <w:name w:val="List Bullet"/>
    <w:basedOn w:val="Normale"/>
    <w:uiPriority w:val="99"/>
    <w:unhideWhenUsed/>
    <w:rsid w:val="00F56356"/>
    <w:pPr>
      <w:numPr>
        <w:numId w:val="33"/>
      </w:numPr>
      <w:contextualSpacing/>
    </w:pPr>
    <w:rPr>
      <w:rFonts w:eastAsiaTheme="minorEastAsia" w:cs="Times New Roman"/>
      <w:lang w:eastAsia="it-IT"/>
    </w:rPr>
  </w:style>
  <w:style w:type="paragraph" w:styleId="Titolo">
    <w:name w:val="Title"/>
    <w:basedOn w:val="Normale"/>
    <w:next w:val="Normale"/>
    <w:link w:val="TitoloCarattere"/>
    <w:uiPriority w:val="10"/>
    <w:qFormat/>
    <w:rsid w:val="00F56356"/>
    <w:pPr>
      <w:spacing w:before="240" w:after="60" w:line="240" w:lineRule="auto"/>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basedOn w:val="Carpredefinitoparagrafo"/>
    <w:link w:val="Titolo"/>
    <w:uiPriority w:val="10"/>
    <w:rsid w:val="00F56356"/>
    <w:rPr>
      <w:rFonts w:ascii="Cambria" w:eastAsia="Times New Roman" w:hAnsi="Cambria" w:cs="Times New Roman"/>
      <w:b/>
      <w:bCs/>
      <w:kern w:val="28"/>
      <w:sz w:val="32"/>
      <w:szCs w:val="32"/>
      <w:lang w:eastAsia="it-IT"/>
    </w:rPr>
  </w:style>
  <w:style w:type="paragraph" w:customStyle="1" w:styleId="provvr0">
    <w:name w:val="provv_r0"/>
    <w:basedOn w:val="Normale"/>
    <w:rsid w:val="00F56356"/>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table" w:customStyle="1" w:styleId="TableGrid">
    <w:name w:val="TableGrid"/>
    <w:rsid w:val="00024B7A"/>
    <w:pPr>
      <w:spacing w:after="0" w:line="240" w:lineRule="auto"/>
    </w:pPr>
    <w:rPr>
      <w:rFonts w:eastAsiaTheme="minorEastAsia"/>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825">
      <w:bodyDiv w:val="1"/>
      <w:marLeft w:val="0"/>
      <w:marRight w:val="0"/>
      <w:marTop w:val="0"/>
      <w:marBottom w:val="0"/>
      <w:divBdr>
        <w:top w:val="none" w:sz="0" w:space="0" w:color="auto"/>
        <w:left w:val="none" w:sz="0" w:space="0" w:color="auto"/>
        <w:bottom w:val="none" w:sz="0" w:space="0" w:color="auto"/>
        <w:right w:val="none" w:sz="0" w:space="0" w:color="auto"/>
      </w:divBdr>
    </w:div>
    <w:div w:id="67962888">
      <w:bodyDiv w:val="1"/>
      <w:marLeft w:val="0"/>
      <w:marRight w:val="0"/>
      <w:marTop w:val="0"/>
      <w:marBottom w:val="0"/>
      <w:divBdr>
        <w:top w:val="none" w:sz="0" w:space="0" w:color="auto"/>
        <w:left w:val="none" w:sz="0" w:space="0" w:color="auto"/>
        <w:bottom w:val="none" w:sz="0" w:space="0" w:color="auto"/>
        <w:right w:val="none" w:sz="0" w:space="0" w:color="auto"/>
      </w:divBdr>
    </w:div>
    <w:div w:id="127862959">
      <w:bodyDiv w:val="1"/>
      <w:marLeft w:val="0"/>
      <w:marRight w:val="0"/>
      <w:marTop w:val="0"/>
      <w:marBottom w:val="0"/>
      <w:divBdr>
        <w:top w:val="none" w:sz="0" w:space="0" w:color="auto"/>
        <w:left w:val="none" w:sz="0" w:space="0" w:color="auto"/>
        <w:bottom w:val="none" w:sz="0" w:space="0" w:color="auto"/>
        <w:right w:val="none" w:sz="0" w:space="0" w:color="auto"/>
      </w:divBdr>
    </w:div>
    <w:div w:id="137187880">
      <w:bodyDiv w:val="1"/>
      <w:marLeft w:val="0"/>
      <w:marRight w:val="0"/>
      <w:marTop w:val="0"/>
      <w:marBottom w:val="0"/>
      <w:divBdr>
        <w:top w:val="none" w:sz="0" w:space="0" w:color="auto"/>
        <w:left w:val="none" w:sz="0" w:space="0" w:color="auto"/>
        <w:bottom w:val="none" w:sz="0" w:space="0" w:color="auto"/>
        <w:right w:val="none" w:sz="0" w:space="0" w:color="auto"/>
      </w:divBdr>
    </w:div>
    <w:div w:id="145561094">
      <w:bodyDiv w:val="1"/>
      <w:marLeft w:val="0"/>
      <w:marRight w:val="0"/>
      <w:marTop w:val="0"/>
      <w:marBottom w:val="0"/>
      <w:divBdr>
        <w:top w:val="none" w:sz="0" w:space="0" w:color="auto"/>
        <w:left w:val="none" w:sz="0" w:space="0" w:color="auto"/>
        <w:bottom w:val="none" w:sz="0" w:space="0" w:color="auto"/>
        <w:right w:val="none" w:sz="0" w:space="0" w:color="auto"/>
      </w:divBdr>
    </w:div>
    <w:div w:id="164908506">
      <w:bodyDiv w:val="1"/>
      <w:marLeft w:val="0"/>
      <w:marRight w:val="0"/>
      <w:marTop w:val="0"/>
      <w:marBottom w:val="0"/>
      <w:divBdr>
        <w:top w:val="none" w:sz="0" w:space="0" w:color="auto"/>
        <w:left w:val="none" w:sz="0" w:space="0" w:color="auto"/>
        <w:bottom w:val="none" w:sz="0" w:space="0" w:color="auto"/>
        <w:right w:val="none" w:sz="0" w:space="0" w:color="auto"/>
      </w:divBdr>
    </w:div>
    <w:div w:id="171343221">
      <w:bodyDiv w:val="1"/>
      <w:marLeft w:val="0"/>
      <w:marRight w:val="0"/>
      <w:marTop w:val="0"/>
      <w:marBottom w:val="0"/>
      <w:divBdr>
        <w:top w:val="none" w:sz="0" w:space="0" w:color="auto"/>
        <w:left w:val="none" w:sz="0" w:space="0" w:color="auto"/>
        <w:bottom w:val="none" w:sz="0" w:space="0" w:color="auto"/>
        <w:right w:val="none" w:sz="0" w:space="0" w:color="auto"/>
      </w:divBdr>
    </w:div>
    <w:div w:id="212816810">
      <w:bodyDiv w:val="1"/>
      <w:marLeft w:val="0"/>
      <w:marRight w:val="0"/>
      <w:marTop w:val="0"/>
      <w:marBottom w:val="0"/>
      <w:divBdr>
        <w:top w:val="none" w:sz="0" w:space="0" w:color="auto"/>
        <w:left w:val="none" w:sz="0" w:space="0" w:color="auto"/>
        <w:bottom w:val="none" w:sz="0" w:space="0" w:color="auto"/>
        <w:right w:val="none" w:sz="0" w:space="0" w:color="auto"/>
      </w:divBdr>
    </w:div>
    <w:div w:id="221722120">
      <w:bodyDiv w:val="1"/>
      <w:marLeft w:val="0"/>
      <w:marRight w:val="0"/>
      <w:marTop w:val="0"/>
      <w:marBottom w:val="0"/>
      <w:divBdr>
        <w:top w:val="none" w:sz="0" w:space="0" w:color="auto"/>
        <w:left w:val="none" w:sz="0" w:space="0" w:color="auto"/>
        <w:bottom w:val="none" w:sz="0" w:space="0" w:color="auto"/>
        <w:right w:val="none" w:sz="0" w:space="0" w:color="auto"/>
      </w:divBdr>
    </w:div>
    <w:div w:id="225920668">
      <w:bodyDiv w:val="1"/>
      <w:marLeft w:val="0"/>
      <w:marRight w:val="0"/>
      <w:marTop w:val="0"/>
      <w:marBottom w:val="0"/>
      <w:divBdr>
        <w:top w:val="none" w:sz="0" w:space="0" w:color="auto"/>
        <w:left w:val="none" w:sz="0" w:space="0" w:color="auto"/>
        <w:bottom w:val="none" w:sz="0" w:space="0" w:color="auto"/>
        <w:right w:val="none" w:sz="0" w:space="0" w:color="auto"/>
      </w:divBdr>
    </w:div>
    <w:div w:id="228883911">
      <w:bodyDiv w:val="1"/>
      <w:marLeft w:val="0"/>
      <w:marRight w:val="0"/>
      <w:marTop w:val="0"/>
      <w:marBottom w:val="0"/>
      <w:divBdr>
        <w:top w:val="none" w:sz="0" w:space="0" w:color="auto"/>
        <w:left w:val="none" w:sz="0" w:space="0" w:color="auto"/>
        <w:bottom w:val="none" w:sz="0" w:space="0" w:color="auto"/>
        <w:right w:val="none" w:sz="0" w:space="0" w:color="auto"/>
      </w:divBdr>
    </w:div>
    <w:div w:id="253562224">
      <w:bodyDiv w:val="1"/>
      <w:marLeft w:val="0"/>
      <w:marRight w:val="0"/>
      <w:marTop w:val="0"/>
      <w:marBottom w:val="0"/>
      <w:divBdr>
        <w:top w:val="none" w:sz="0" w:space="0" w:color="auto"/>
        <w:left w:val="none" w:sz="0" w:space="0" w:color="auto"/>
        <w:bottom w:val="none" w:sz="0" w:space="0" w:color="auto"/>
        <w:right w:val="none" w:sz="0" w:space="0" w:color="auto"/>
      </w:divBdr>
    </w:div>
    <w:div w:id="270091321">
      <w:bodyDiv w:val="1"/>
      <w:marLeft w:val="0"/>
      <w:marRight w:val="0"/>
      <w:marTop w:val="0"/>
      <w:marBottom w:val="0"/>
      <w:divBdr>
        <w:top w:val="none" w:sz="0" w:space="0" w:color="auto"/>
        <w:left w:val="none" w:sz="0" w:space="0" w:color="auto"/>
        <w:bottom w:val="none" w:sz="0" w:space="0" w:color="auto"/>
        <w:right w:val="none" w:sz="0" w:space="0" w:color="auto"/>
      </w:divBdr>
    </w:div>
    <w:div w:id="271130200">
      <w:bodyDiv w:val="1"/>
      <w:marLeft w:val="0"/>
      <w:marRight w:val="0"/>
      <w:marTop w:val="0"/>
      <w:marBottom w:val="0"/>
      <w:divBdr>
        <w:top w:val="none" w:sz="0" w:space="0" w:color="auto"/>
        <w:left w:val="none" w:sz="0" w:space="0" w:color="auto"/>
        <w:bottom w:val="none" w:sz="0" w:space="0" w:color="auto"/>
        <w:right w:val="none" w:sz="0" w:space="0" w:color="auto"/>
      </w:divBdr>
    </w:div>
    <w:div w:id="303892419">
      <w:bodyDiv w:val="1"/>
      <w:marLeft w:val="0"/>
      <w:marRight w:val="0"/>
      <w:marTop w:val="0"/>
      <w:marBottom w:val="0"/>
      <w:divBdr>
        <w:top w:val="none" w:sz="0" w:space="0" w:color="auto"/>
        <w:left w:val="none" w:sz="0" w:space="0" w:color="auto"/>
        <w:bottom w:val="none" w:sz="0" w:space="0" w:color="auto"/>
        <w:right w:val="none" w:sz="0" w:space="0" w:color="auto"/>
      </w:divBdr>
    </w:div>
    <w:div w:id="306669674">
      <w:bodyDiv w:val="1"/>
      <w:marLeft w:val="0"/>
      <w:marRight w:val="0"/>
      <w:marTop w:val="0"/>
      <w:marBottom w:val="0"/>
      <w:divBdr>
        <w:top w:val="none" w:sz="0" w:space="0" w:color="auto"/>
        <w:left w:val="none" w:sz="0" w:space="0" w:color="auto"/>
        <w:bottom w:val="none" w:sz="0" w:space="0" w:color="auto"/>
        <w:right w:val="none" w:sz="0" w:space="0" w:color="auto"/>
      </w:divBdr>
    </w:div>
    <w:div w:id="309988620">
      <w:bodyDiv w:val="1"/>
      <w:marLeft w:val="0"/>
      <w:marRight w:val="0"/>
      <w:marTop w:val="0"/>
      <w:marBottom w:val="0"/>
      <w:divBdr>
        <w:top w:val="none" w:sz="0" w:space="0" w:color="auto"/>
        <w:left w:val="none" w:sz="0" w:space="0" w:color="auto"/>
        <w:bottom w:val="none" w:sz="0" w:space="0" w:color="auto"/>
        <w:right w:val="none" w:sz="0" w:space="0" w:color="auto"/>
      </w:divBdr>
    </w:div>
    <w:div w:id="311521668">
      <w:bodyDiv w:val="1"/>
      <w:marLeft w:val="0"/>
      <w:marRight w:val="0"/>
      <w:marTop w:val="0"/>
      <w:marBottom w:val="0"/>
      <w:divBdr>
        <w:top w:val="none" w:sz="0" w:space="0" w:color="auto"/>
        <w:left w:val="none" w:sz="0" w:space="0" w:color="auto"/>
        <w:bottom w:val="none" w:sz="0" w:space="0" w:color="auto"/>
        <w:right w:val="none" w:sz="0" w:space="0" w:color="auto"/>
      </w:divBdr>
    </w:div>
    <w:div w:id="374893892">
      <w:bodyDiv w:val="1"/>
      <w:marLeft w:val="0"/>
      <w:marRight w:val="0"/>
      <w:marTop w:val="0"/>
      <w:marBottom w:val="0"/>
      <w:divBdr>
        <w:top w:val="none" w:sz="0" w:space="0" w:color="auto"/>
        <w:left w:val="none" w:sz="0" w:space="0" w:color="auto"/>
        <w:bottom w:val="none" w:sz="0" w:space="0" w:color="auto"/>
        <w:right w:val="none" w:sz="0" w:space="0" w:color="auto"/>
      </w:divBdr>
    </w:div>
    <w:div w:id="377709648">
      <w:bodyDiv w:val="1"/>
      <w:marLeft w:val="0"/>
      <w:marRight w:val="0"/>
      <w:marTop w:val="0"/>
      <w:marBottom w:val="0"/>
      <w:divBdr>
        <w:top w:val="none" w:sz="0" w:space="0" w:color="auto"/>
        <w:left w:val="none" w:sz="0" w:space="0" w:color="auto"/>
        <w:bottom w:val="none" w:sz="0" w:space="0" w:color="auto"/>
        <w:right w:val="none" w:sz="0" w:space="0" w:color="auto"/>
      </w:divBdr>
    </w:div>
    <w:div w:id="381252810">
      <w:bodyDiv w:val="1"/>
      <w:marLeft w:val="0"/>
      <w:marRight w:val="0"/>
      <w:marTop w:val="0"/>
      <w:marBottom w:val="0"/>
      <w:divBdr>
        <w:top w:val="none" w:sz="0" w:space="0" w:color="auto"/>
        <w:left w:val="none" w:sz="0" w:space="0" w:color="auto"/>
        <w:bottom w:val="none" w:sz="0" w:space="0" w:color="auto"/>
        <w:right w:val="none" w:sz="0" w:space="0" w:color="auto"/>
      </w:divBdr>
    </w:div>
    <w:div w:id="383263321">
      <w:bodyDiv w:val="1"/>
      <w:marLeft w:val="0"/>
      <w:marRight w:val="0"/>
      <w:marTop w:val="0"/>
      <w:marBottom w:val="0"/>
      <w:divBdr>
        <w:top w:val="none" w:sz="0" w:space="0" w:color="auto"/>
        <w:left w:val="none" w:sz="0" w:space="0" w:color="auto"/>
        <w:bottom w:val="none" w:sz="0" w:space="0" w:color="auto"/>
        <w:right w:val="none" w:sz="0" w:space="0" w:color="auto"/>
      </w:divBdr>
    </w:div>
    <w:div w:id="409232190">
      <w:bodyDiv w:val="1"/>
      <w:marLeft w:val="0"/>
      <w:marRight w:val="0"/>
      <w:marTop w:val="0"/>
      <w:marBottom w:val="0"/>
      <w:divBdr>
        <w:top w:val="none" w:sz="0" w:space="0" w:color="auto"/>
        <w:left w:val="none" w:sz="0" w:space="0" w:color="auto"/>
        <w:bottom w:val="none" w:sz="0" w:space="0" w:color="auto"/>
        <w:right w:val="none" w:sz="0" w:space="0" w:color="auto"/>
      </w:divBdr>
    </w:div>
    <w:div w:id="427702644">
      <w:bodyDiv w:val="1"/>
      <w:marLeft w:val="0"/>
      <w:marRight w:val="0"/>
      <w:marTop w:val="0"/>
      <w:marBottom w:val="0"/>
      <w:divBdr>
        <w:top w:val="none" w:sz="0" w:space="0" w:color="auto"/>
        <w:left w:val="none" w:sz="0" w:space="0" w:color="auto"/>
        <w:bottom w:val="none" w:sz="0" w:space="0" w:color="auto"/>
        <w:right w:val="none" w:sz="0" w:space="0" w:color="auto"/>
      </w:divBdr>
    </w:div>
    <w:div w:id="434206574">
      <w:bodyDiv w:val="1"/>
      <w:marLeft w:val="0"/>
      <w:marRight w:val="0"/>
      <w:marTop w:val="0"/>
      <w:marBottom w:val="0"/>
      <w:divBdr>
        <w:top w:val="none" w:sz="0" w:space="0" w:color="auto"/>
        <w:left w:val="none" w:sz="0" w:space="0" w:color="auto"/>
        <w:bottom w:val="none" w:sz="0" w:space="0" w:color="auto"/>
        <w:right w:val="none" w:sz="0" w:space="0" w:color="auto"/>
      </w:divBdr>
    </w:div>
    <w:div w:id="441846336">
      <w:bodyDiv w:val="1"/>
      <w:marLeft w:val="0"/>
      <w:marRight w:val="0"/>
      <w:marTop w:val="0"/>
      <w:marBottom w:val="0"/>
      <w:divBdr>
        <w:top w:val="none" w:sz="0" w:space="0" w:color="auto"/>
        <w:left w:val="none" w:sz="0" w:space="0" w:color="auto"/>
        <w:bottom w:val="none" w:sz="0" w:space="0" w:color="auto"/>
        <w:right w:val="none" w:sz="0" w:space="0" w:color="auto"/>
      </w:divBdr>
    </w:div>
    <w:div w:id="444734865">
      <w:bodyDiv w:val="1"/>
      <w:marLeft w:val="0"/>
      <w:marRight w:val="0"/>
      <w:marTop w:val="0"/>
      <w:marBottom w:val="0"/>
      <w:divBdr>
        <w:top w:val="none" w:sz="0" w:space="0" w:color="auto"/>
        <w:left w:val="none" w:sz="0" w:space="0" w:color="auto"/>
        <w:bottom w:val="none" w:sz="0" w:space="0" w:color="auto"/>
        <w:right w:val="none" w:sz="0" w:space="0" w:color="auto"/>
      </w:divBdr>
    </w:div>
    <w:div w:id="459344751">
      <w:bodyDiv w:val="1"/>
      <w:marLeft w:val="0"/>
      <w:marRight w:val="0"/>
      <w:marTop w:val="0"/>
      <w:marBottom w:val="0"/>
      <w:divBdr>
        <w:top w:val="none" w:sz="0" w:space="0" w:color="auto"/>
        <w:left w:val="none" w:sz="0" w:space="0" w:color="auto"/>
        <w:bottom w:val="none" w:sz="0" w:space="0" w:color="auto"/>
        <w:right w:val="none" w:sz="0" w:space="0" w:color="auto"/>
      </w:divBdr>
    </w:div>
    <w:div w:id="463086427">
      <w:bodyDiv w:val="1"/>
      <w:marLeft w:val="0"/>
      <w:marRight w:val="0"/>
      <w:marTop w:val="0"/>
      <w:marBottom w:val="0"/>
      <w:divBdr>
        <w:top w:val="none" w:sz="0" w:space="0" w:color="auto"/>
        <w:left w:val="none" w:sz="0" w:space="0" w:color="auto"/>
        <w:bottom w:val="none" w:sz="0" w:space="0" w:color="auto"/>
        <w:right w:val="none" w:sz="0" w:space="0" w:color="auto"/>
      </w:divBdr>
    </w:div>
    <w:div w:id="468598022">
      <w:bodyDiv w:val="1"/>
      <w:marLeft w:val="0"/>
      <w:marRight w:val="0"/>
      <w:marTop w:val="0"/>
      <w:marBottom w:val="0"/>
      <w:divBdr>
        <w:top w:val="none" w:sz="0" w:space="0" w:color="auto"/>
        <w:left w:val="none" w:sz="0" w:space="0" w:color="auto"/>
        <w:bottom w:val="none" w:sz="0" w:space="0" w:color="auto"/>
        <w:right w:val="none" w:sz="0" w:space="0" w:color="auto"/>
      </w:divBdr>
    </w:div>
    <w:div w:id="477188371">
      <w:bodyDiv w:val="1"/>
      <w:marLeft w:val="0"/>
      <w:marRight w:val="0"/>
      <w:marTop w:val="0"/>
      <w:marBottom w:val="0"/>
      <w:divBdr>
        <w:top w:val="none" w:sz="0" w:space="0" w:color="auto"/>
        <w:left w:val="none" w:sz="0" w:space="0" w:color="auto"/>
        <w:bottom w:val="none" w:sz="0" w:space="0" w:color="auto"/>
        <w:right w:val="none" w:sz="0" w:space="0" w:color="auto"/>
      </w:divBdr>
    </w:div>
    <w:div w:id="480079188">
      <w:bodyDiv w:val="1"/>
      <w:marLeft w:val="0"/>
      <w:marRight w:val="0"/>
      <w:marTop w:val="0"/>
      <w:marBottom w:val="0"/>
      <w:divBdr>
        <w:top w:val="none" w:sz="0" w:space="0" w:color="auto"/>
        <w:left w:val="none" w:sz="0" w:space="0" w:color="auto"/>
        <w:bottom w:val="none" w:sz="0" w:space="0" w:color="auto"/>
        <w:right w:val="none" w:sz="0" w:space="0" w:color="auto"/>
      </w:divBdr>
    </w:div>
    <w:div w:id="542718493">
      <w:bodyDiv w:val="1"/>
      <w:marLeft w:val="0"/>
      <w:marRight w:val="0"/>
      <w:marTop w:val="0"/>
      <w:marBottom w:val="0"/>
      <w:divBdr>
        <w:top w:val="none" w:sz="0" w:space="0" w:color="auto"/>
        <w:left w:val="none" w:sz="0" w:space="0" w:color="auto"/>
        <w:bottom w:val="none" w:sz="0" w:space="0" w:color="auto"/>
        <w:right w:val="none" w:sz="0" w:space="0" w:color="auto"/>
      </w:divBdr>
    </w:div>
    <w:div w:id="568460606">
      <w:bodyDiv w:val="1"/>
      <w:marLeft w:val="0"/>
      <w:marRight w:val="0"/>
      <w:marTop w:val="0"/>
      <w:marBottom w:val="0"/>
      <w:divBdr>
        <w:top w:val="none" w:sz="0" w:space="0" w:color="auto"/>
        <w:left w:val="none" w:sz="0" w:space="0" w:color="auto"/>
        <w:bottom w:val="none" w:sz="0" w:space="0" w:color="auto"/>
        <w:right w:val="none" w:sz="0" w:space="0" w:color="auto"/>
      </w:divBdr>
    </w:div>
    <w:div w:id="597061592">
      <w:bodyDiv w:val="1"/>
      <w:marLeft w:val="0"/>
      <w:marRight w:val="0"/>
      <w:marTop w:val="0"/>
      <w:marBottom w:val="0"/>
      <w:divBdr>
        <w:top w:val="none" w:sz="0" w:space="0" w:color="auto"/>
        <w:left w:val="none" w:sz="0" w:space="0" w:color="auto"/>
        <w:bottom w:val="none" w:sz="0" w:space="0" w:color="auto"/>
        <w:right w:val="none" w:sz="0" w:space="0" w:color="auto"/>
      </w:divBdr>
    </w:div>
    <w:div w:id="632057289">
      <w:bodyDiv w:val="1"/>
      <w:marLeft w:val="0"/>
      <w:marRight w:val="0"/>
      <w:marTop w:val="0"/>
      <w:marBottom w:val="0"/>
      <w:divBdr>
        <w:top w:val="none" w:sz="0" w:space="0" w:color="auto"/>
        <w:left w:val="none" w:sz="0" w:space="0" w:color="auto"/>
        <w:bottom w:val="none" w:sz="0" w:space="0" w:color="auto"/>
        <w:right w:val="none" w:sz="0" w:space="0" w:color="auto"/>
      </w:divBdr>
    </w:div>
    <w:div w:id="648561208">
      <w:bodyDiv w:val="1"/>
      <w:marLeft w:val="0"/>
      <w:marRight w:val="0"/>
      <w:marTop w:val="0"/>
      <w:marBottom w:val="0"/>
      <w:divBdr>
        <w:top w:val="none" w:sz="0" w:space="0" w:color="auto"/>
        <w:left w:val="none" w:sz="0" w:space="0" w:color="auto"/>
        <w:bottom w:val="none" w:sz="0" w:space="0" w:color="auto"/>
        <w:right w:val="none" w:sz="0" w:space="0" w:color="auto"/>
      </w:divBdr>
    </w:div>
    <w:div w:id="662204154">
      <w:bodyDiv w:val="1"/>
      <w:marLeft w:val="0"/>
      <w:marRight w:val="0"/>
      <w:marTop w:val="0"/>
      <w:marBottom w:val="0"/>
      <w:divBdr>
        <w:top w:val="none" w:sz="0" w:space="0" w:color="auto"/>
        <w:left w:val="none" w:sz="0" w:space="0" w:color="auto"/>
        <w:bottom w:val="none" w:sz="0" w:space="0" w:color="auto"/>
        <w:right w:val="none" w:sz="0" w:space="0" w:color="auto"/>
      </w:divBdr>
    </w:div>
    <w:div w:id="678048143">
      <w:bodyDiv w:val="1"/>
      <w:marLeft w:val="0"/>
      <w:marRight w:val="0"/>
      <w:marTop w:val="0"/>
      <w:marBottom w:val="0"/>
      <w:divBdr>
        <w:top w:val="none" w:sz="0" w:space="0" w:color="auto"/>
        <w:left w:val="none" w:sz="0" w:space="0" w:color="auto"/>
        <w:bottom w:val="none" w:sz="0" w:space="0" w:color="auto"/>
        <w:right w:val="none" w:sz="0" w:space="0" w:color="auto"/>
      </w:divBdr>
    </w:div>
    <w:div w:id="708265811">
      <w:bodyDiv w:val="1"/>
      <w:marLeft w:val="0"/>
      <w:marRight w:val="0"/>
      <w:marTop w:val="0"/>
      <w:marBottom w:val="0"/>
      <w:divBdr>
        <w:top w:val="none" w:sz="0" w:space="0" w:color="auto"/>
        <w:left w:val="none" w:sz="0" w:space="0" w:color="auto"/>
        <w:bottom w:val="none" w:sz="0" w:space="0" w:color="auto"/>
        <w:right w:val="none" w:sz="0" w:space="0" w:color="auto"/>
      </w:divBdr>
    </w:div>
    <w:div w:id="759327190">
      <w:bodyDiv w:val="1"/>
      <w:marLeft w:val="0"/>
      <w:marRight w:val="0"/>
      <w:marTop w:val="0"/>
      <w:marBottom w:val="0"/>
      <w:divBdr>
        <w:top w:val="none" w:sz="0" w:space="0" w:color="auto"/>
        <w:left w:val="none" w:sz="0" w:space="0" w:color="auto"/>
        <w:bottom w:val="none" w:sz="0" w:space="0" w:color="auto"/>
        <w:right w:val="none" w:sz="0" w:space="0" w:color="auto"/>
      </w:divBdr>
    </w:div>
    <w:div w:id="784495195">
      <w:bodyDiv w:val="1"/>
      <w:marLeft w:val="0"/>
      <w:marRight w:val="0"/>
      <w:marTop w:val="0"/>
      <w:marBottom w:val="0"/>
      <w:divBdr>
        <w:top w:val="none" w:sz="0" w:space="0" w:color="auto"/>
        <w:left w:val="none" w:sz="0" w:space="0" w:color="auto"/>
        <w:bottom w:val="none" w:sz="0" w:space="0" w:color="auto"/>
        <w:right w:val="none" w:sz="0" w:space="0" w:color="auto"/>
      </w:divBdr>
    </w:div>
    <w:div w:id="789133287">
      <w:bodyDiv w:val="1"/>
      <w:marLeft w:val="0"/>
      <w:marRight w:val="0"/>
      <w:marTop w:val="0"/>
      <w:marBottom w:val="0"/>
      <w:divBdr>
        <w:top w:val="none" w:sz="0" w:space="0" w:color="auto"/>
        <w:left w:val="none" w:sz="0" w:space="0" w:color="auto"/>
        <w:bottom w:val="none" w:sz="0" w:space="0" w:color="auto"/>
        <w:right w:val="none" w:sz="0" w:space="0" w:color="auto"/>
      </w:divBdr>
    </w:div>
    <w:div w:id="792289037">
      <w:bodyDiv w:val="1"/>
      <w:marLeft w:val="0"/>
      <w:marRight w:val="0"/>
      <w:marTop w:val="0"/>
      <w:marBottom w:val="0"/>
      <w:divBdr>
        <w:top w:val="none" w:sz="0" w:space="0" w:color="auto"/>
        <w:left w:val="none" w:sz="0" w:space="0" w:color="auto"/>
        <w:bottom w:val="none" w:sz="0" w:space="0" w:color="auto"/>
        <w:right w:val="none" w:sz="0" w:space="0" w:color="auto"/>
      </w:divBdr>
    </w:div>
    <w:div w:id="800348126">
      <w:bodyDiv w:val="1"/>
      <w:marLeft w:val="0"/>
      <w:marRight w:val="0"/>
      <w:marTop w:val="0"/>
      <w:marBottom w:val="0"/>
      <w:divBdr>
        <w:top w:val="none" w:sz="0" w:space="0" w:color="auto"/>
        <w:left w:val="none" w:sz="0" w:space="0" w:color="auto"/>
        <w:bottom w:val="none" w:sz="0" w:space="0" w:color="auto"/>
        <w:right w:val="none" w:sz="0" w:space="0" w:color="auto"/>
      </w:divBdr>
    </w:div>
    <w:div w:id="815142888">
      <w:bodyDiv w:val="1"/>
      <w:marLeft w:val="0"/>
      <w:marRight w:val="0"/>
      <w:marTop w:val="0"/>
      <w:marBottom w:val="0"/>
      <w:divBdr>
        <w:top w:val="none" w:sz="0" w:space="0" w:color="auto"/>
        <w:left w:val="none" w:sz="0" w:space="0" w:color="auto"/>
        <w:bottom w:val="none" w:sz="0" w:space="0" w:color="auto"/>
        <w:right w:val="none" w:sz="0" w:space="0" w:color="auto"/>
      </w:divBdr>
    </w:div>
    <w:div w:id="815608571">
      <w:bodyDiv w:val="1"/>
      <w:marLeft w:val="0"/>
      <w:marRight w:val="0"/>
      <w:marTop w:val="0"/>
      <w:marBottom w:val="0"/>
      <w:divBdr>
        <w:top w:val="none" w:sz="0" w:space="0" w:color="auto"/>
        <w:left w:val="none" w:sz="0" w:space="0" w:color="auto"/>
        <w:bottom w:val="none" w:sz="0" w:space="0" w:color="auto"/>
        <w:right w:val="none" w:sz="0" w:space="0" w:color="auto"/>
      </w:divBdr>
    </w:div>
    <w:div w:id="843394433">
      <w:bodyDiv w:val="1"/>
      <w:marLeft w:val="0"/>
      <w:marRight w:val="0"/>
      <w:marTop w:val="0"/>
      <w:marBottom w:val="0"/>
      <w:divBdr>
        <w:top w:val="none" w:sz="0" w:space="0" w:color="auto"/>
        <w:left w:val="none" w:sz="0" w:space="0" w:color="auto"/>
        <w:bottom w:val="none" w:sz="0" w:space="0" w:color="auto"/>
        <w:right w:val="none" w:sz="0" w:space="0" w:color="auto"/>
      </w:divBdr>
    </w:div>
    <w:div w:id="844133972">
      <w:bodyDiv w:val="1"/>
      <w:marLeft w:val="0"/>
      <w:marRight w:val="0"/>
      <w:marTop w:val="0"/>
      <w:marBottom w:val="0"/>
      <w:divBdr>
        <w:top w:val="none" w:sz="0" w:space="0" w:color="auto"/>
        <w:left w:val="none" w:sz="0" w:space="0" w:color="auto"/>
        <w:bottom w:val="none" w:sz="0" w:space="0" w:color="auto"/>
        <w:right w:val="none" w:sz="0" w:space="0" w:color="auto"/>
      </w:divBdr>
    </w:div>
    <w:div w:id="845824832">
      <w:bodyDiv w:val="1"/>
      <w:marLeft w:val="0"/>
      <w:marRight w:val="0"/>
      <w:marTop w:val="0"/>
      <w:marBottom w:val="0"/>
      <w:divBdr>
        <w:top w:val="none" w:sz="0" w:space="0" w:color="auto"/>
        <w:left w:val="none" w:sz="0" w:space="0" w:color="auto"/>
        <w:bottom w:val="none" w:sz="0" w:space="0" w:color="auto"/>
        <w:right w:val="none" w:sz="0" w:space="0" w:color="auto"/>
      </w:divBdr>
    </w:div>
    <w:div w:id="847598878">
      <w:bodyDiv w:val="1"/>
      <w:marLeft w:val="0"/>
      <w:marRight w:val="0"/>
      <w:marTop w:val="0"/>
      <w:marBottom w:val="0"/>
      <w:divBdr>
        <w:top w:val="none" w:sz="0" w:space="0" w:color="auto"/>
        <w:left w:val="none" w:sz="0" w:space="0" w:color="auto"/>
        <w:bottom w:val="none" w:sz="0" w:space="0" w:color="auto"/>
        <w:right w:val="none" w:sz="0" w:space="0" w:color="auto"/>
      </w:divBdr>
    </w:div>
    <w:div w:id="864825956">
      <w:bodyDiv w:val="1"/>
      <w:marLeft w:val="0"/>
      <w:marRight w:val="0"/>
      <w:marTop w:val="0"/>
      <w:marBottom w:val="0"/>
      <w:divBdr>
        <w:top w:val="none" w:sz="0" w:space="0" w:color="auto"/>
        <w:left w:val="none" w:sz="0" w:space="0" w:color="auto"/>
        <w:bottom w:val="none" w:sz="0" w:space="0" w:color="auto"/>
        <w:right w:val="none" w:sz="0" w:space="0" w:color="auto"/>
      </w:divBdr>
    </w:div>
    <w:div w:id="887298020">
      <w:bodyDiv w:val="1"/>
      <w:marLeft w:val="0"/>
      <w:marRight w:val="0"/>
      <w:marTop w:val="0"/>
      <w:marBottom w:val="0"/>
      <w:divBdr>
        <w:top w:val="none" w:sz="0" w:space="0" w:color="auto"/>
        <w:left w:val="none" w:sz="0" w:space="0" w:color="auto"/>
        <w:bottom w:val="none" w:sz="0" w:space="0" w:color="auto"/>
        <w:right w:val="none" w:sz="0" w:space="0" w:color="auto"/>
      </w:divBdr>
    </w:div>
    <w:div w:id="891574221">
      <w:bodyDiv w:val="1"/>
      <w:marLeft w:val="0"/>
      <w:marRight w:val="0"/>
      <w:marTop w:val="0"/>
      <w:marBottom w:val="0"/>
      <w:divBdr>
        <w:top w:val="none" w:sz="0" w:space="0" w:color="auto"/>
        <w:left w:val="none" w:sz="0" w:space="0" w:color="auto"/>
        <w:bottom w:val="none" w:sz="0" w:space="0" w:color="auto"/>
        <w:right w:val="none" w:sz="0" w:space="0" w:color="auto"/>
      </w:divBdr>
    </w:div>
    <w:div w:id="979652263">
      <w:bodyDiv w:val="1"/>
      <w:marLeft w:val="0"/>
      <w:marRight w:val="0"/>
      <w:marTop w:val="0"/>
      <w:marBottom w:val="0"/>
      <w:divBdr>
        <w:top w:val="none" w:sz="0" w:space="0" w:color="auto"/>
        <w:left w:val="none" w:sz="0" w:space="0" w:color="auto"/>
        <w:bottom w:val="none" w:sz="0" w:space="0" w:color="auto"/>
        <w:right w:val="none" w:sz="0" w:space="0" w:color="auto"/>
      </w:divBdr>
    </w:div>
    <w:div w:id="1000086909">
      <w:bodyDiv w:val="1"/>
      <w:marLeft w:val="0"/>
      <w:marRight w:val="0"/>
      <w:marTop w:val="0"/>
      <w:marBottom w:val="0"/>
      <w:divBdr>
        <w:top w:val="none" w:sz="0" w:space="0" w:color="auto"/>
        <w:left w:val="none" w:sz="0" w:space="0" w:color="auto"/>
        <w:bottom w:val="none" w:sz="0" w:space="0" w:color="auto"/>
        <w:right w:val="none" w:sz="0" w:space="0" w:color="auto"/>
      </w:divBdr>
    </w:div>
    <w:div w:id="1011876608">
      <w:bodyDiv w:val="1"/>
      <w:marLeft w:val="0"/>
      <w:marRight w:val="0"/>
      <w:marTop w:val="0"/>
      <w:marBottom w:val="0"/>
      <w:divBdr>
        <w:top w:val="none" w:sz="0" w:space="0" w:color="auto"/>
        <w:left w:val="none" w:sz="0" w:space="0" w:color="auto"/>
        <w:bottom w:val="none" w:sz="0" w:space="0" w:color="auto"/>
        <w:right w:val="none" w:sz="0" w:space="0" w:color="auto"/>
      </w:divBdr>
    </w:div>
    <w:div w:id="1013144044">
      <w:bodyDiv w:val="1"/>
      <w:marLeft w:val="0"/>
      <w:marRight w:val="0"/>
      <w:marTop w:val="0"/>
      <w:marBottom w:val="0"/>
      <w:divBdr>
        <w:top w:val="none" w:sz="0" w:space="0" w:color="auto"/>
        <w:left w:val="none" w:sz="0" w:space="0" w:color="auto"/>
        <w:bottom w:val="none" w:sz="0" w:space="0" w:color="auto"/>
        <w:right w:val="none" w:sz="0" w:space="0" w:color="auto"/>
      </w:divBdr>
    </w:div>
    <w:div w:id="1044721279">
      <w:bodyDiv w:val="1"/>
      <w:marLeft w:val="0"/>
      <w:marRight w:val="0"/>
      <w:marTop w:val="0"/>
      <w:marBottom w:val="0"/>
      <w:divBdr>
        <w:top w:val="none" w:sz="0" w:space="0" w:color="auto"/>
        <w:left w:val="none" w:sz="0" w:space="0" w:color="auto"/>
        <w:bottom w:val="none" w:sz="0" w:space="0" w:color="auto"/>
        <w:right w:val="none" w:sz="0" w:space="0" w:color="auto"/>
      </w:divBdr>
    </w:div>
    <w:div w:id="1051152630">
      <w:bodyDiv w:val="1"/>
      <w:marLeft w:val="0"/>
      <w:marRight w:val="0"/>
      <w:marTop w:val="0"/>
      <w:marBottom w:val="0"/>
      <w:divBdr>
        <w:top w:val="none" w:sz="0" w:space="0" w:color="auto"/>
        <w:left w:val="none" w:sz="0" w:space="0" w:color="auto"/>
        <w:bottom w:val="none" w:sz="0" w:space="0" w:color="auto"/>
        <w:right w:val="none" w:sz="0" w:space="0" w:color="auto"/>
      </w:divBdr>
    </w:div>
    <w:div w:id="1051348940">
      <w:bodyDiv w:val="1"/>
      <w:marLeft w:val="0"/>
      <w:marRight w:val="0"/>
      <w:marTop w:val="0"/>
      <w:marBottom w:val="0"/>
      <w:divBdr>
        <w:top w:val="none" w:sz="0" w:space="0" w:color="auto"/>
        <w:left w:val="none" w:sz="0" w:space="0" w:color="auto"/>
        <w:bottom w:val="none" w:sz="0" w:space="0" w:color="auto"/>
        <w:right w:val="none" w:sz="0" w:space="0" w:color="auto"/>
      </w:divBdr>
    </w:div>
    <w:div w:id="1051929565">
      <w:bodyDiv w:val="1"/>
      <w:marLeft w:val="0"/>
      <w:marRight w:val="0"/>
      <w:marTop w:val="0"/>
      <w:marBottom w:val="0"/>
      <w:divBdr>
        <w:top w:val="none" w:sz="0" w:space="0" w:color="auto"/>
        <w:left w:val="none" w:sz="0" w:space="0" w:color="auto"/>
        <w:bottom w:val="none" w:sz="0" w:space="0" w:color="auto"/>
        <w:right w:val="none" w:sz="0" w:space="0" w:color="auto"/>
      </w:divBdr>
    </w:div>
    <w:div w:id="1058211017">
      <w:bodyDiv w:val="1"/>
      <w:marLeft w:val="0"/>
      <w:marRight w:val="0"/>
      <w:marTop w:val="0"/>
      <w:marBottom w:val="0"/>
      <w:divBdr>
        <w:top w:val="none" w:sz="0" w:space="0" w:color="auto"/>
        <w:left w:val="none" w:sz="0" w:space="0" w:color="auto"/>
        <w:bottom w:val="none" w:sz="0" w:space="0" w:color="auto"/>
        <w:right w:val="none" w:sz="0" w:space="0" w:color="auto"/>
      </w:divBdr>
    </w:div>
    <w:div w:id="1068957999">
      <w:bodyDiv w:val="1"/>
      <w:marLeft w:val="0"/>
      <w:marRight w:val="0"/>
      <w:marTop w:val="0"/>
      <w:marBottom w:val="0"/>
      <w:divBdr>
        <w:top w:val="none" w:sz="0" w:space="0" w:color="auto"/>
        <w:left w:val="none" w:sz="0" w:space="0" w:color="auto"/>
        <w:bottom w:val="none" w:sz="0" w:space="0" w:color="auto"/>
        <w:right w:val="none" w:sz="0" w:space="0" w:color="auto"/>
      </w:divBdr>
    </w:div>
    <w:div w:id="1116631818">
      <w:bodyDiv w:val="1"/>
      <w:marLeft w:val="0"/>
      <w:marRight w:val="0"/>
      <w:marTop w:val="0"/>
      <w:marBottom w:val="0"/>
      <w:divBdr>
        <w:top w:val="none" w:sz="0" w:space="0" w:color="auto"/>
        <w:left w:val="none" w:sz="0" w:space="0" w:color="auto"/>
        <w:bottom w:val="none" w:sz="0" w:space="0" w:color="auto"/>
        <w:right w:val="none" w:sz="0" w:space="0" w:color="auto"/>
      </w:divBdr>
    </w:div>
    <w:div w:id="1128937309">
      <w:bodyDiv w:val="1"/>
      <w:marLeft w:val="0"/>
      <w:marRight w:val="0"/>
      <w:marTop w:val="0"/>
      <w:marBottom w:val="0"/>
      <w:divBdr>
        <w:top w:val="none" w:sz="0" w:space="0" w:color="auto"/>
        <w:left w:val="none" w:sz="0" w:space="0" w:color="auto"/>
        <w:bottom w:val="none" w:sz="0" w:space="0" w:color="auto"/>
        <w:right w:val="none" w:sz="0" w:space="0" w:color="auto"/>
      </w:divBdr>
    </w:div>
    <w:div w:id="1142430932">
      <w:bodyDiv w:val="1"/>
      <w:marLeft w:val="0"/>
      <w:marRight w:val="0"/>
      <w:marTop w:val="0"/>
      <w:marBottom w:val="0"/>
      <w:divBdr>
        <w:top w:val="none" w:sz="0" w:space="0" w:color="auto"/>
        <w:left w:val="none" w:sz="0" w:space="0" w:color="auto"/>
        <w:bottom w:val="none" w:sz="0" w:space="0" w:color="auto"/>
        <w:right w:val="none" w:sz="0" w:space="0" w:color="auto"/>
      </w:divBdr>
    </w:div>
    <w:div w:id="1147667658">
      <w:bodyDiv w:val="1"/>
      <w:marLeft w:val="0"/>
      <w:marRight w:val="0"/>
      <w:marTop w:val="0"/>
      <w:marBottom w:val="0"/>
      <w:divBdr>
        <w:top w:val="none" w:sz="0" w:space="0" w:color="auto"/>
        <w:left w:val="none" w:sz="0" w:space="0" w:color="auto"/>
        <w:bottom w:val="none" w:sz="0" w:space="0" w:color="auto"/>
        <w:right w:val="none" w:sz="0" w:space="0" w:color="auto"/>
      </w:divBdr>
    </w:div>
    <w:div w:id="1183477842">
      <w:bodyDiv w:val="1"/>
      <w:marLeft w:val="0"/>
      <w:marRight w:val="0"/>
      <w:marTop w:val="0"/>
      <w:marBottom w:val="0"/>
      <w:divBdr>
        <w:top w:val="none" w:sz="0" w:space="0" w:color="auto"/>
        <w:left w:val="none" w:sz="0" w:space="0" w:color="auto"/>
        <w:bottom w:val="none" w:sz="0" w:space="0" w:color="auto"/>
        <w:right w:val="none" w:sz="0" w:space="0" w:color="auto"/>
      </w:divBdr>
    </w:div>
    <w:div w:id="1217744642">
      <w:bodyDiv w:val="1"/>
      <w:marLeft w:val="0"/>
      <w:marRight w:val="0"/>
      <w:marTop w:val="0"/>
      <w:marBottom w:val="0"/>
      <w:divBdr>
        <w:top w:val="none" w:sz="0" w:space="0" w:color="auto"/>
        <w:left w:val="none" w:sz="0" w:space="0" w:color="auto"/>
        <w:bottom w:val="none" w:sz="0" w:space="0" w:color="auto"/>
        <w:right w:val="none" w:sz="0" w:space="0" w:color="auto"/>
      </w:divBdr>
    </w:div>
    <w:div w:id="1222909881">
      <w:bodyDiv w:val="1"/>
      <w:marLeft w:val="0"/>
      <w:marRight w:val="0"/>
      <w:marTop w:val="0"/>
      <w:marBottom w:val="0"/>
      <w:divBdr>
        <w:top w:val="none" w:sz="0" w:space="0" w:color="auto"/>
        <w:left w:val="none" w:sz="0" w:space="0" w:color="auto"/>
        <w:bottom w:val="none" w:sz="0" w:space="0" w:color="auto"/>
        <w:right w:val="none" w:sz="0" w:space="0" w:color="auto"/>
      </w:divBdr>
    </w:div>
    <w:div w:id="1298758849">
      <w:bodyDiv w:val="1"/>
      <w:marLeft w:val="0"/>
      <w:marRight w:val="0"/>
      <w:marTop w:val="0"/>
      <w:marBottom w:val="0"/>
      <w:divBdr>
        <w:top w:val="none" w:sz="0" w:space="0" w:color="auto"/>
        <w:left w:val="none" w:sz="0" w:space="0" w:color="auto"/>
        <w:bottom w:val="none" w:sz="0" w:space="0" w:color="auto"/>
        <w:right w:val="none" w:sz="0" w:space="0" w:color="auto"/>
      </w:divBdr>
    </w:div>
    <w:div w:id="1314144620">
      <w:bodyDiv w:val="1"/>
      <w:marLeft w:val="0"/>
      <w:marRight w:val="0"/>
      <w:marTop w:val="0"/>
      <w:marBottom w:val="0"/>
      <w:divBdr>
        <w:top w:val="none" w:sz="0" w:space="0" w:color="auto"/>
        <w:left w:val="none" w:sz="0" w:space="0" w:color="auto"/>
        <w:bottom w:val="none" w:sz="0" w:space="0" w:color="auto"/>
        <w:right w:val="none" w:sz="0" w:space="0" w:color="auto"/>
      </w:divBdr>
    </w:div>
    <w:div w:id="1323041286">
      <w:bodyDiv w:val="1"/>
      <w:marLeft w:val="0"/>
      <w:marRight w:val="0"/>
      <w:marTop w:val="0"/>
      <w:marBottom w:val="0"/>
      <w:divBdr>
        <w:top w:val="none" w:sz="0" w:space="0" w:color="auto"/>
        <w:left w:val="none" w:sz="0" w:space="0" w:color="auto"/>
        <w:bottom w:val="none" w:sz="0" w:space="0" w:color="auto"/>
        <w:right w:val="none" w:sz="0" w:space="0" w:color="auto"/>
      </w:divBdr>
    </w:div>
    <w:div w:id="1484465815">
      <w:bodyDiv w:val="1"/>
      <w:marLeft w:val="0"/>
      <w:marRight w:val="0"/>
      <w:marTop w:val="0"/>
      <w:marBottom w:val="0"/>
      <w:divBdr>
        <w:top w:val="none" w:sz="0" w:space="0" w:color="auto"/>
        <w:left w:val="none" w:sz="0" w:space="0" w:color="auto"/>
        <w:bottom w:val="none" w:sz="0" w:space="0" w:color="auto"/>
        <w:right w:val="none" w:sz="0" w:space="0" w:color="auto"/>
      </w:divBdr>
    </w:div>
    <w:div w:id="1519656563">
      <w:bodyDiv w:val="1"/>
      <w:marLeft w:val="0"/>
      <w:marRight w:val="0"/>
      <w:marTop w:val="0"/>
      <w:marBottom w:val="0"/>
      <w:divBdr>
        <w:top w:val="none" w:sz="0" w:space="0" w:color="auto"/>
        <w:left w:val="none" w:sz="0" w:space="0" w:color="auto"/>
        <w:bottom w:val="none" w:sz="0" w:space="0" w:color="auto"/>
        <w:right w:val="none" w:sz="0" w:space="0" w:color="auto"/>
      </w:divBdr>
    </w:div>
    <w:div w:id="1534147799">
      <w:bodyDiv w:val="1"/>
      <w:marLeft w:val="0"/>
      <w:marRight w:val="0"/>
      <w:marTop w:val="0"/>
      <w:marBottom w:val="0"/>
      <w:divBdr>
        <w:top w:val="none" w:sz="0" w:space="0" w:color="auto"/>
        <w:left w:val="none" w:sz="0" w:space="0" w:color="auto"/>
        <w:bottom w:val="none" w:sz="0" w:space="0" w:color="auto"/>
        <w:right w:val="none" w:sz="0" w:space="0" w:color="auto"/>
      </w:divBdr>
    </w:div>
    <w:div w:id="1538158982">
      <w:bodyDiv w:val="1"/>
      <w:marLeft w:val="0"/>
      <w:marRight w:val="0"/>
      <w:marTop w:val="0"/>
      <w:marBottom w:val="0"/>
      <w:divBdr>
        <w:top w:val="none" w:sz="0" w:space="0" w:color="auto"/>
        <w:left w:val="none" w:sz="0" w:space="0" w:color="auto"/>
        <w:bottom w:val="none" w:sz="0" w:space="0" w:color="auto"/>
        <w:right w:val="none" w:sz="0" w:space="0" w:color="auto"/>
      </w:divBdr>
    </w:div>
    <w:div w:id="1573546933">
      <w:bodyDiv w:val="1"/>
      <w:marLeft w:val="0"/>
      <w:marRight w:val="0"/>
      <w:marTop w:val="0"/>
      <w:marBottom w:val="0"/>
      <w:divBdr>
        <w:top w:val="none" w:sz="0" w:space="0" w:color="auto"/>
        <w:left w:val="none" w:sz="0" w:space="0" w:color="auto"/>
        <w:bottom w:val="none" w:sz="0" w:space="0" w:color="auto"/>
        <w:right w:val="none" w:sz="0" w:space="0" w:color="auto"/>
      </w:divBdr>
    </w:div>
    <w:div w:id="1589927543">
      <w:bodyDiv w:val="1"/>
      <w:marLeft w:val="0"/>
      <w:marRight w:val="0"/>
      <w:marTop w:val="0"/>
      <w:marBottom w:val="0"/>
      <w:divBdr>
        <w:top w:val="none" w:sz="0" w:space="0" w:color="auto"/>
        <w:left w:val="none" w:sz="0" w:space="0" w:color="auto"/>
        <w:bottom w:val="none" w:sz="0" w:space="0" w:color="auto"/>
        <w:right w:val="none" w:sz="0" w:space="0" w:color="auto"/>
      </w:divBdr>
    </w:div>
    <w:div w:id="1594051821">
      <w:bodyDiv w:val="1"/>
      <w:marLeft w:val="0"/>
      <w:marRight w:val="0"/>
      <w:marTop w:val="0"/>
      <w:marBottom w:val="0"/>
      <w:divBdr>
        <w:top w:val="none" w:sz="0" w:space="0" w:color="auto"/>
        <w:left w:val="none" w:sz="0" w:space="0" w:color="auto"/>
        <w:bottom w:val="none" w:sz="0" w:space="0" w:color="auto"/>
        <w:right w:val="none" w:sz="0" w:space="0" w:color="auto"/>
      </w:divBdr>
    </w:div>
    <w:div w:id="1599483399">
      <w:bodyDiv w:val="1"/>
      <w:marLeft w:val="0"/>
      <w:marRight w:val="0"/>
      <w:marTop w:val="0"/>
      <w:marBottom w:val="0"/>
      <w:divBdr>
        <w:top w:val="none" w:sz="0" w:space="0" w:color="auto"/>
        <w:left w:val="none" w:sz="0" w:space="0" w:color="auto"/>
        <w:bottom w:val="none" w:sz="0" w:space="0" w:color="auto"/>
        <w:right w:val="none" w:sz="0" w:space="0" w:color="auto"/>
      </w:divBdr>
    </w:div>
    <w:div w:id="1723673704">
      <w:bodyDiv w:val="1"/>
      <w:marLeft w:val="0"/>
      <w:marRight w:val="0"/>
      <w:marTop w:val="0"/>
      <w:marBottom w:val="0"/>
      <w:divBdr>
        <w:top w:val="none" w:sz="0" w:space="0" w:color="auto"/>
        <w:left w:val="none" w:sz="0" w:space="0" w:color="auto"/>
        <w:bottom w:val="none" w:sz="0" w:space="0" w:color="auto"/>
        <w:right w:val="none" w:sz="0" w:space="0" w:color="auto"/>
      </w:divBdr>
    </w:div>
    <w:div w:id="1757970306">
      <w:bodyDiv w:val="1"/>
      <w:marLeft w:val="0"/>
      <w:marRight w:val="0"/>
      <w:marTop w:val="0"/>
      <w:marBottom w:val="0"/>
      <w:divBdr>
        <w:top w:val="none" w:sz="0" w:space="0" w:color="auto"/>
        <w:left w:val="none" w:sz="0" w:space="0" w:color="auto"/>
        <w:bottom w:val="none" w:sz="0" w:space="0" w:color="auto"/>
        <w:right w:val="none" w:sz="0" w:space="0" w:color="auto"/>
      </w:divBdr>
    </w:div>
    <w:div w:id="1776292721">
      <w:bodyDiv w:val="1"/>
      <w:marLeft w:val="0"/>
      <w:marRight w:val="0"/>
      <w:marTop w:val="0"/>
      <w:marBottom w:val="0"/>
      <w:divBdr>
        <w:top w:val="none" w:sz="0" w:space="0" w:color="auto"/>
        <w:left w:val="none" w:sz="0" w:space="0" w:color="auto"/>
        <w:bottom w:val="none" w:sz="0" w:space="0" w:color="auto"/>
        <w:right w:val="none" w:sz="0" w:space="0" w:color="auto"/>
      </w:divBdr>
    </w:div>
    <w:div w:id="1832332026">
      <w:bodyDiv w:val="1"/>
      <w:marLeft w:val="0"/>
      <w:marRight w:val="0"/>
      <w:marTop w:val="0"/>
      <w:marBottom w:val="0"/>
      <w:divBdr>
        <w:top w:val="none" w:sz="0" w:space="0" w:color="auto"/>
        <w:left w:val="none" w:sz="0" w:space="0" w:color="auto"/>
        <w:bottom w:val="none" w:sz="0" w:space="0" w:color="auto"/>
        <w:right w:val="none" w:sz="0" w:space="0" w:color="auto"/>
      </w:divBdr>
    </w:div>
    <w:div w:id="1861237597">
      <w:bodyDiv w:val="1"/>
      <w:marLeft w:val="0"/>
      <w:marRight w:val="0"/>
      <w:marTop w:val="0"/>
      <w:marBottom w:val="0"/>
      <w:divBdr>
        <w:top w:val="none" w:sz="0" w:space="0" w:color="auto"/>
        <w:left w:val="none" w:sz="0" w:space="0" w:color="auto"/>
        <w:bottom w:val="none" w:sz="0" w:space="0" w:color="auto"/>
        <w:right w:val="none" w:sz="0" w:space="0" w:color="auto"/>
      </w:divBdr>
    </w:div>
    <w:div w:id="1869029601">
      <w:bodyDiv w:val="1"/>
      <w:marLeft w:val="0"/>
      <w:marRight w:val="0"/>
      <w:marTop w:val="0"/>
      <w:marBottom w:val="0"/>
      <w:divBdr>
        <w:top w:val="none" w:sz="0" w:space="0" w:color="auto"/>
        <w:left w:val="none" w:sz="0" w:space="0" w:color="auto"/>
        <w:bottom w:val="none" w:sz="0" w:space="0" w:color="auto"/>
        <w:right w:val="none" w:sz="0" w:space="0" w:color="auto"/>
      </w:divBdr>
    </w:div>
    <w:div w:id="1898860521">
      <w:bodyDiv w:val="1"/>
      <w:marLeft w:val="0"/>
      <w:marRight w:val="0"/>
      <w:marTop w:val="0"/>
      <w:marBottom w:val="0"/>
      <w:divBdr>
        <w:top w:val="none" w:sz="0" w:space="0" w:color="auto"/>
        <w:left w:val="none" w:sz="0" w:space="0" w:color="auto"/>
        <w:bottom w:val="none" w:sz="0" w:space="0" w:color="auto"/>
        <w:right w:val="none" w:sz="0" w:space="0" w:color="auto"/>
      </w:divBdr>
    </w:div>
    <w:div w:id="1914318996">
      <w:bodyDiv w:val="1"/>
      <w:marLeft w:val="0"/>
      <w:marRight w:val="0"/>
      <w:marTop w:val="0"/>
      <w:marBottom w:val="0"/>
      <w:divBdr>
        <w:top w:val="none" w:sz="0" w:space="0" w:color="auto"/>
        <w:left w:val="none" w:sz="0" w:space="0" w:color="auto"/>
        <w:bottom w:val="none" w:sz="0" w:space="0" w:color="auto"/>
        <w:right w:val="none" w:sz="0" w:space="0" w:color="auto"/>
      </w:divBdr>
    </w:div>
    <w:div w:id="1949501200">
      <w:bodyDiv w:val="1"/>
      <w:marLeft w:val="0"/>
      <w:marRight w:val="0"/>
      <w:marTop w:val="0"/>
      <w:marBottom w:val="0"/>
      <w:divBdr>
        <w:top w:val="none" w:sz="0" w:space="0" w:color="auto"/>
        <w:left w:val="none" w:sz="0" w:space="0" w:color="auto"/>
        <w:bottom w:val="none" w:sz="0" w:space="0" w:color="auto"/>
        <w:right w:val="none" w:sz="0" w:space="0" w:color="auto"/>
      </w:divBdr>
    </w:div>
    <w:div w:id="1973291792">
      <w:bodyDiv w:val="1"/>
      <w:marLeft w:val="0"/>
      <w:marRight w:val="0"/>
      <w:marTop w:val="0"/>
      <w:marBottom w:val="0"/>
      <w:divBdr>
        <w:top w:val="none" w:sz="0" w:space="0" w:color="auto"/>
        <w:left w:val="none" w:sz="0" w:space="0" w:color="auto"/>
        <w:bottom w:val="none" w:sz="0" w:space="0" w:color="auto"/>
        <w:right w:val="none" w:sz="0" w:space="0" w:color="auto"/>
      </w:divBdr>
    </w:div>
    <w:div w:id="1980068121">
      <w:bodyDiv w:val="1"/>
      <w:marLeft w:val="0"/>
      <w:marRight w:val="0"/>
      <w:marTop w:val="0"/>
      <w:marBottom w:val="0"/>
      <w:divBdr>
        <w:top w:val="none" w:sz="0" w:space="0" w:color="auto"/>
        <w:left w:val="none" w:sz="0" w:space="0" w:color="auto"/>
        <w:bottom w:val="none" w:sz="0" w:space="0" w:color="auto"/>
        <w:right w:val="none" w:sz="0" w:space="0" w:color="auto"/>
      </w:divBdr>
    </w:div>
    <w:div w:id="1995840991">
      <w:bodyDiv w:val="1"/>
      <w:marLeft w:val="0"/>
      <w:marRight w:val="0"/>
      <w:marTop w:val="0"/>
      <w:marBottom w:val="0"/>
      <w:divBdr>
        <w:top w:val="none" w:sz="0" w:space="0" w:color="auto"/>
        <w:left w:val="none" w:sz="0" w:space="0" w:color="auto"/>
        <w:bottom w:val="none" w:sz="0" w:space="0" w:color="auto"/>
        <w:right w:val="none" w:sz="0" w:space="0" w:color="auto"/>
      </w:divBdr>
    </w:div>
    <w:div w:id="1998878167">
      <w:bodyDiv w:val="1"/>
      <w:marLeft w:val="0"/>
      <w:marRight w:val="0"/>
      <w:marTop w:val="0"/>
      <w:marBottom w:val="0"/>
      <w:divBdr>
        <w:top w:val="none" w:sz="0" w:space="0" w:color="auto"/>
        <w:left w:val="none" w:sz="0" w:space="0" w:color="auto"/>
        <w:bottom w:val="none" w:sz="0" w:space="0" w:color="auto"/>
        <w:right w:val="none" w:sz="0" w:space="0" w:color="auto"/>
      </w:divBdr>
    </w:div>
    <w:div w:id="2028480679">
      <w:bodyDiv w:val="1"/>
      <w:marLeft w:val="0"/>
      <w:marRight w:val="0"/>
      <w:marTop w:val="0"/>
      <w:marBottom w:val="0"/>
      <w:divBdr>
        <w:top w:val="none" w:sz="0" w:space="0" w:color="auto"/>
        <w:left w:val="none" w:sz="0" w:space="0" w:color="auto"/>
        <w:bottom w:val="none" w:sz="0" w:space="0" w:color="auto"/>
        <w:right w:val="none" w:sz="0" w:space="0" w:color="auto"/>
      </w:divBdr>
    </w:div>
    <w:div w:id="2033069510">
      <w:bodyDiv w:val="1"/>
      <w:marLeft w:val="0"/>
      <w:marRight w:val="0"/>
      <w:marTop w:val="0"/>
      <w:marBottom w:val="0"/>
      <w:divBdr>
        <w:top w:val="none" w:sz="0" w:space="0" w:color="auto"/>
        <w:left w:val="none" w:sz="0" w:space="0" w:color="auto"/>
        <w:bottom w:val="none" w:sz="0" w:space="0" w:color="auto"/>
        <w:right w:val="none" w:sz="0" w:space="0" w:color="auto"/>
      </w:divBdr>
    </w:div>
    <w:div w:id="2042246003">
      <w:bodyDiv w:val="1"/>
      <w:marLeft w:val="0"/>
      <w:marRight w:val="0"/>
      <w:marTop w:val="0"/>
      <w:marBottom w:val="0"/>
      <w:divBdr>
        <w:top w:val="none" w:sz="0" w:space="0" w:color="auto"/>
        <w:left w:val="none" w:sz="0" w:space="0" w:color="auto"/>
        <w:bottom w:val="none" w:sz="0" w:space="0" w:color="auto"/>
        <w:right w:val="none" w:sz="0" w:space="0" w:color="auto"/>
      </w:divBdr>
    </w:div>
    <w:div w:id="2047637946">
      <w:bodyDiv w:val="1"/>
      <w:marLeft w:val="0"/>
      <w:marRight w:val="0"/>
      <w:marTop w:val="0"/>
      <w:marBottom w:val="0"/>
      <w:divBdr>
        <w:top w:val="none" w:sz="0" w:space="0" w:color="auto"/>
        <w:left w:val="none" w:sz="0" w:space="0" w:color="auto"/>
        <w:bottom w:val="none" w:sz="0" w:space="0" w:color="auto"/>
        <w:right w:val="none" w:sz="0" w:space="0" w:color="auto"/>
      </w:divBdr>
    </w:div>
    <w:div w:id="2058360476">
      <w:bodyDiv w:val="1"/>
      <w:marLeft w:val="0"/>
      <w:marRight w:val="0"/>
      <w:marTop w:val="0"/>
      <w:marBottom w:val="0"/>
      <w:divBdr>
        <w:top w:val="none" w:sz="0" w:space="0" w:color="auto"/>
        <w:left w:val="none" w:sz="0" w:space="0" w:color="auto"/>
        <w:bottom w:val="none" w:sz="0" w:space="0" w:color="auto"/>
        <w:right w:val="none" w:sz="0" w:space="0" w:color="auto"/>
      </w:divBdr>
    </w:div>
    <w:div w:id="2060323427">
      <w:bodyDiv w:val="1"/>
      <w:marLeft w:val="0"/>
      <w:marRight w:val="0"/>
      <w:marTop w:val="0"/>
      <w:marBottom w:val="0"/>
      <w:divBdr>
        <w:top w:val="none" w:sz="0" w:space="0" w:color="auto"/>
        <w:left w:val="none" w:sz="0" w:space="0" w:color="auto"/>
        <w:bottom w:val="none" w:sz="0" w:space="0" w:color="auto"/>
        <w:right w:val="none" w:sz="0" w:space="0" w:color="auto"/>
      </w:divBdr>
    </w:div>
    <w:div w:id="2078824425">
      <w:bodyDiv w:val="1"/>
      <w:marLeft w:val="0"/>
      <w:marRight w:val="0"/>
      <w:marTop w:val="0"/>
      <w:marBottom w:val="0"/>
      <w:divBdr>
        <w:top w:val="none" w:sz="0" w:space="0" w:color="auto"/>
        <w:left w:val="none" w:sz="0" w:space="0" w:color="auto"/>
        <w:bottom w:val="none" w:sz="0" w:space="0" w:color="auto"/>
        <w:right w:val="none" w:sz="0" w:space="0" w:color="auto"/>
      </w:divBdr>
    </w:div>
    <w:div w:id="2082631042">
      <w:bodyDiv w:val="1"/>
      <w:marLeft w:val="0"/>
      <w:marRight w:val="0"/>
      <w:marTop w:val="0"/>
      <w:marBottom w:val="0"/>
      <w:divBdr>
        <w:top w:val="none" w:sz="0" w:space="0" w:color="auto"/>
        <w:left w:val="none" w:sz="0" w:space="0" w:color="auto"/>
        <w:bottom w:val="none" w:sz="0" w:space="0" w:color="auto"/>
        <w:right w:val="none" w:sz="0" w:space="0" w:color="auto"/>
      </w:divBdr>
    </w:div>
    <w:div w:id="2085175106">
      <w:bodyDiv w:val="1"/>
      <w:marLeft w:val="0"/>
      <w:marRight w:val="0"/>
      <w:marTop w:val="0"/>
      <w:marBottom w:val="0"/>
      <w:divBdr>
        <w:top w:val="none" w:sz="0" w:space="0" w:color="auto"/>
        <w:left w:val="none" w:sz="0" w:space="0" w:color="auto"/>
        <w:bottom w:val="none" w:sz="0" w:space="0" w:color="auto"/>
        <w:right w:val="none" w:sz="0" w:space="0" w:color="auto"/>
      </w:divBdr>
    </w:div>
    <w:div w:id="2103142602">
      <w:bodyDiv w:val="1"/>
      <w:marLeft w:val="0"/>
      <w:marRight w:val="0"/>
      <w:marTop w:val="0"/>
      <w:marBottom w:val="0"/>
      <w:divBdr>
        <w:top w:val="none" w:sz="0" w:space="0" w:color="auto"/>
        <w:left w:val="none" w:sz="0" w:space="0" w:color="auto"/>
        <w:bottom w:val="none" w:sz="0" w:space="0" w:color="auto"/>
        <w:right w:val="none" w:sz="0" w:space="0" w:color="auto"/>
      </w:divBdr>
    </w:div>
    <w:div w:id="2103840405">
      <w:bodyDiv w:val="1"/>
      <w:marLeft w:val="0"/>
      <w:marRight w:val="0"/>
      <w:marTop w:val="0"/>
      <w:marBottom w:val="0"/>
      <w:divBdr>
        <w:top w:val="none" w:sz="0" w:space="0" w:color="auto"/>
        <w:left w:val="none" w:sz="0" w:space="0" w:color="auto"/>
        <w:bottom w:val="none" w:sz="0" w:space="0" w:color="auto"/>
        <w:right w:val="none" w:sz="0" w:space="0" w:color="auto"/>
      </w:divBdr>
    </w:div>
    <w:div w:id="2145998715">
      <w:bodyDiv w:val="1"/>
      <w:marLeft w:val="0"/>
      <w:marRight w:val="0"/>
      <w:marTop w:val="0"/>
      <w:marBottom w:val="0"/>
      <w:divBdr>
        <w:top w:val="none" w:sz="0" w:space="0" w:color="auto"/>
        <w:left w:val="none" w:sz="0" w:space="0" w:color="auto"/>
        <w:bottom w:val="none" w:sz="0" w:space="0" w:color="auto"/>
        <w:right w:val="none" w:sz="0" w:space="0" w:color="auto"/>
      </w:divBdr>
    </w:div>
    <w:div w:id="214677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4.png"/><Relationship Id="rId63" Type="http://schemas.openxmlformats.org/officeDocument/2006/relationships/image" Target="media/image56.emf"/><Relationship Id="rId159" Type="http://schemas.openxmlformats.org/officeDocument/2006/relationships/hyperlink" Target="http://pa.leggiditalia.it/" TargetMode="External"/><Relationship Id="rId170" Type="http://schemas.openxmlformats.org/officeDocument/2006/relationships/image" Target="media/image160.emf"/><Relationship Id="rId226" Type="http://schemas.openxmlformats.org/officeDocument/2006/relationships/image" Target="media/image216.emf"/><Relationship Id="rId268" Type="http://schemas.openxmlformats.org/officeDocument/2006/relationships/image" Target="media/image256.emf"/><Relationship Id="rId32" Type="http://schemas.openxmlformats.org/officeDocument/2006/relationships/image" Target="media/image25.png"/><Relationship Id="rId74" Type="http://schemas.openxmlformats.org/officeDocument/2006/relationships/image" Target="media/image67.emf"/><Relationship Id="rId128" Type="http://schemas.openxmlformats.org/officeDocument/2006/relationships/image" Target="media/image119.emf"/><Relationship Id="rId5" Type="http://schemas.openxmlformats.org/officeDocument/2006/relationships/webSettings" Target="webSettings.xml"/><Relationship Id="rId181" Type="http://schemas.openxmlformats.org/officeDocument/2006/relationships/image" Target="media/image171.emf"/><Relationship Id="rId237" Type="http://schemas.openxmlformats.org/officeDocument/2006/relationships/image" Target="media/image227.png"/><Relationship Id="rId279" Type="http://schemas.openxmlformats.org/officeDocument/2006/relationships/image" Target="media/image267.emf"/><Relationship Id="rId43" Type="http://schemas.openxmlformats.org/officeDocument/2006/relationships/image" Target="media/image36.emf"/><Relationship Id="rId139" Type="http://schemas.openxmlformats.org/officeDocument/2006/relationships/image" Target="media/image130.emf"/><Relationship Id="rId290" Type="http://schemas.openxmlformats.org/officeDocument/2006/relationships/footer" Target="footer1.xml"/><Relationship Id="rId85" Type="http://schemas.openxmlformats.org/officeDocument/2006/relationships/image" Target="media/image78.emf"/><Relationship Id="rId150" Type="http://schemas.openxmlformats.org/officeDocument/2006/relationships/image" Target="media/image141.emf"/><Relationship Id="rId192" Type="http://schemas.openxmlformats.org/officeDocument/2006/relationships/image" Target="media/image182.png"/><Relationship Id="rId206" Type="http://schemas.openxmlformats.org/officeDocument/2006/relationships/image" Target="media/image196.emf"/><Relationship Id="rId248" Type="http://schemas.openxmlformats.org/officeDocument/2006/relationships/image" Target="media/image238.emf"/><Relationship Id="rId269" Type="http://schemas.openxmlformats.org/officeDocument/2006/relationships/image" Target="media/image257.emf"/><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0.emf"/><Relationship Id="rId280" Type="http://schemas.openxmlformats.org/officeDocument/2006/relationships/image" Target="media/image268.emf"/><Relationship Id="rId54" Type="http://schemas.openxmlformats.org/officeDocument/2006/relationships/image" Target="media/image47.png"/><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1.emf"/><Relationship Id="rId161" Type="http://schemas.openxmlformats.org/officeDocument/2006/relationships/image" Target="media/image151.png"/><Relationship Id="rId182" Type="http://schemas.openxmlformats.org/officeDocument/2006/relationships/image" Target="media/image172.emf"/><Relationship Id="rId217" Type="http://schemas.openxmlformats.org/officeDocument/2006/relationships/image" Target="media/image207.emf"/><Relationship Id="rId6" Type="http://schemas.openxmlformats.org/officeDocument/2006/relationships/footnotes" Target="footnotes.xml"/><Relationship Id="rId238" Type="http://schemas.openxmlformats.org/officeDocument/2006/relationships/image" Target="media/image228.png"/><Relationship Id="rId259" Type="http://schemas.openxmlformats.org/officeDocument/2006/relationships/image" Target="media/image247.emf"/><Relationship Id="rId23" Type="http://schemas.openxmlformats.org/officeDocument/2006/relationships/image" Target="media/image16.png"/><Relationship Id="rId119" Type="http://schemas.openxmlformats.org/officeDocument/2006/relationships/image" Target="media/image110.png"/><Relationship Id="rId270" Type="http://schemas.openxmlformats.org/officeDocument/2006/relationships/image" Target="media/image258.emf"/><Relationship Id="rId291" Type="http://schemas.openxmlformats.org/officeDocument/2006/relationships/fontTable" Target="fontTable.xm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emf"/><Relationship Id="rId130" Type="http://schemas.openxmlformats.org/officeDocument/2006/relationships/image" Target="media/image121.emf"/><Relationship Id="rId151" Type="http://schemas.openxmlformats.org/officeDocument/2006/relationships/image" Target="media/image142.emf"/><Relationship Id="rId172" Type="http://schemas.openxmlformats.org/officeDocument/2006/relationships/image" Target="media/image162.emf"/><Relationship Id="rId193" Type="http://schemas.openxmlformats.org/officeDocument/2006/relationships/image" Target="media/image183.emf"/><Relationship Id="rId207" Type="http://schemas.openxmlformats.org/officeDocument/2006/relationships/image" Target="media/image197.emf"/><Relationship Id="rId228" Type="http://schemas.openxmlformats.org/officeDocument/2006/relationships/image" Target="media/image218.emf"/><Relationship Id="rId249" Type="http://schemas.openxmlformats.org/officeDocument/2006/relationships/image" Target="media/image239.emf"/><Relationship Id="rId13" Type="http://schemas.openxmlformats.org/officeDocument/2006/relationships/image" Target="media/image6.emf"/><Relationship Id="rId109" Type="http://schemas.openxmlformats.org/officeDocument/2006/relationships/image" Target="media/image102.png"/><Relationship Id="rId260" Type="http://schemas.openxmlformats.org/officeDocument/2006/relationships/image" Target="media/image248.emf"/><Relationship Id="rId281" Type="http://schemas.openxmlformats.org/officeDocument/2006/relationships/image" Target="media/image269.emf"/><Relationship Id="rId34" Type="http://schemas.openxmlformats.org/officeDocument/2006/relationships/image" Target="media/image27.png"/><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20" Type="http://schemas.openxmlformats.org/officeDocument/2006/relationships/image" Target="media/image111.emf"/><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2.emf"/><Relationship Id="rId183" Type="http://schemas.openxmlformats.org/officeDocument/2006/relationships/image" Target="media/image173.emf"/><Relationship Id="rId218" Type="http://schemas.openxmlformats.org/officeDocument/2006/relationships/image" Target="media/image208.emf"/><Relationship Id="rId239" Type="http://schemas.openxmlformats.org/officeDocument/2006/relationships/image" Target="media/image229.emf"/><Relationship Id="rId250" Type="http://schemas.openxmlformats.org/officeDocument/2006/relationships/image" Target="media/image240.emf"/><Relationship Id="rId271" Type="http://schemas.openxmlformats.org/officeDocument/2006/relationships/image" Target="media/image259.emf"/><Relationship Id="rId292" Type="http://schemas.openxmlformats.org/officeDocument/2006/relationships/theme" Target="theme/theme1.xml"/><Relationship Id="rId24" Type="http://schemas.openxmlformats.org/officeDocument/2006/relationships/image" Target="media/image17.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31" Type="http://schemas.openxmlformats.org/officeDocument/2006/relationships/image" Target="media/image122.emf"/><Relationship Id="rId152" Type="http://schemas.openxmlformats.org/officeDocument/2006/relationships/image" Target="media/image143.png"/><Relationship Id="rId173" Type="http://schemas.openxmlformats.org/officeDocument/2006/relationships/image" Target="media/image163.emf"/><Relationship Id="rId194" Type="http://schemas.openxmlformats.org/officeDocument/2006/relationships/image" Target="media/image184.emf"/><Relationship Id="rId208" Type="http://schemas.openxmlformats.org/officeDocument/2006/relationships/image" Target="media/image198.emf"/><Relationship Id="rId229" Type="http://schemas.openxmlformats.org/officeDocument/2006/relationships/image" Target="media/image219.emf"/><Relationship Id="rId240" Type="http://schemas.openxmlformats.org/officeDocument/2006/relationships/image" Target="media/image230.emf"/><Relationship Id="rId261" Type="http://schemas.openxmlformats.org/officeDocument/2006/relationships/image" Target="media/image249.emf"/><Relationship Id="rId14" Type="http://schemas.openxmlformats.org/officeDocument/2006/relationships/image" Target="media/image7.emf"/><Relationship Id="rId35" Type="http://schemas.openxmlformats.org/officeDocument/2006/relationships/image" Target="media/image28.emf"/><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image" Target="media/image93.emf"/><Relationship Id="rId282" Type="http://schemas.openxmlformats.org/officeDocument/2006/relationships/image" Target="media/image270.emf"/><Relationship Id="rId8" Type="http://schemas.openxmlformats.org/officeDocument/2006/relationships/image" Target="media/image1.emf"/><Relationship Id="rId98" Type="http://schemas.openxmlformats.org/officeDocument/2006/relationships/image" Target="media/image91.png"/><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3.emf"/><Relationship Id="rId184" Type="http://schemas.openxmlformats.org/officeDocument/2006/relationships/image" Target="media/image174.emf"/><Relationship Id="rId219" Type="http://schemas.openxmlformats.org/officeDocument/2006/relationships/image" Target="media/image209.png"/><Relationship Id="rId230" Type="http://schemas.openxmlformats.org/officeDocument/2006/relationships/image" Target="media/image220.emf"/><Relationship Id="rId251" Type="http://schemas.openxmlformats.org/officeDocument/2006/relationships/image" Target="media/image241.emf"/><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0.emf"/><Relationship Id="rId88" Type="http://schemas.openxmlformats.org/officeDocument/2006/relationships/image" Target="media/image81.emf"/><Relationship Id="rId111" Type="http://schemas.openxmlformats.org/officeDocument/2006/relationships/hyperlink" Target="http://bd01.leggiditalia.it/cgi-bin/FulShow?TIPO=5&amp;NOTXT=1&amp;KEY=01LX0000114903ART11" TargetMode="External"/><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4.emf"/><Relationship Id="rId195" Type="http://schemas.openxmlformats.org/officeDocument/2006/relationships/image" Target="media/image185.emf"/><Relationship Id="rId209" Type="http://schemas.openxmlformats.org/officeDocument/2006/relationships/image" Target="media/image199.emf"/><Relationship Id="rId220" Type="http://schemas.openxmlformats.org/officeDocument/2006/relationships/image" Target="media/image210.emf"/><Relationship Id="rId241" Type="http://schemas.openxmlformats.org/officeDocument/2006/relationships/image" Target="media/image231.emf"/><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image" Target="media/image50.emf"/><Relationship Id="rId262" Type="http://schemas.openxmlformats.org/officeDocument/2006/relationships/image" Target="media/image250.emf"/><Relationship Id="rId283" Type="http://schemas.openxmlformats.org/officeDocument/2006/relationships/image" Target="media/image271.emf"/><Relationship Id="rId78" Type="http://schemas.openxmlformats.org/officeDocument/2006/relationships/image" Target="media/image71.emf"/><Relationship Id="rId99" Type="http://schemas.openxmlformats.org/officeDocument/2006/relationships/image" Target="media/image92.emf"/><Relationship Id="rId101" Type="http://schemas.openxmlformats.org/officeDocument/2006/relationships/image" Target="media/image94.png"/><Relationship Id="rId122" Type="http://schemas.openxmlformats.org/officeDocument/2006/relationships/image" Target="media/image113.emf"/><Relationship Id="rId143" Type="http://schemas.openxmlformats.org/officeDocument/2006/relationships/image" Target="media/image134.emf"/><Relationship Id="rId164" Type="http://schemas.openxmlformats.org/officeDocument/2006/relationships/image" Target="media/image154.emf"/><Relationship Id="rId185" Type="http://schemas.openxmlformats.org/officeDocument/2006/relationships/image" Target="media/image175.emf"/><Relationship Id="rId9" Type="http://schemas.openxmlformats.org/officeDocument/2006/relationships/image" Target="media/image2.emf"/><Relationship Id="rId210" Type="http://schemas.openxmlformats.org/officeDocument/2006/relationships/image" Target="media/image200.emf"/><Relationship Id="rId26" Type="http://schemas.openxmlformats.org/officeDocument/2006/relationships/image" Target="media/image19.emf"/><Relationship Id="rId231" Type="http://schemas.openxmlformats.org/officeDocument/2006/relationships/image" Target="media/image221.emf"/><Relationship Id="rId252" Type="http://schemas.openxmlformats.org/officeDocument/2006/relationships/image" Target="media/image242.emf"/><Relationship Id="rId273" Type="http://schemas.openxmlformats.org/officeDocument/2006/relationships/image" Target="media/image261.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hyperlink" Target="http://bd01.leggiditalia.it/cgi-bin/FulShow?TIPO=5&amp;NOTXT=1&amp;KEY=01LX0000114903ART0" TargetMode="External"/><Relationship Id="rId133" Type="http://schemas.openxmlformats.org/officeDocument/2006/relationships/image" Target="media/image124.emf"/><Relationship Id="rId154" Type="http://schemas.openxmlformats.org/officeDocument/2006/relationships/image" Target="media/image145.emf"/><Relationship Id="rId175" Type="http://schemas.openxmlformats.org/officeDocument/2006/relationships/image" Target="media/image165.emf"/><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emf"/><Relationship Id="rId221" Type="http://schemas.openxmlformats.org/officeDocument/2006/relationships/image" Target="media/image211.emf"/><Relationship Id="rId242" Type="http://schemas.openxmlformats.org/officeDocument/2006/relationships/image" Target="media/image232.emf"/><Relationship Id="rId263" Type="http://schemas.openxmlformats.org/officeDocument/2006/relationships/image" Target="media/image251.emf"/><Relationship Id="rId284" Type="http://schemas.openxmlformats.org/officeDocument/2006/relationships/image" Target="media/image272.emf"/><Relationship Id="rId37" Type="http://schemas.openxmlformats.org/officeDocument/2006/relationships/image" Target="media/image30.emf"/><Relationship Id="rId58" Type="http://schemas.openxmlformats.org/officeDocument/2006/relationships/image" Target="media/image51.png"/><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4.png"/><Relationship Id="rId144" Type="http://schemas.openxmlformats.org/officeDocument/2006/relationships/image" Target="media/image135.emf"/><Relationship Id="rId90" Type="http://schemas.openxmlformats.org/officeDocument/2006/relationships/image" Target="media/image83.emf"/><Relationship Id="rId165" Type="http://schemas.openxmlformats.org/officeDocument/2006/relationships/image" Target="media/image155.emf"/><Relationship Id="rId186" Type="http://schemas.openxmlformats.org/officeDocument/2006/relationships/image" Target="media/image176.emf"/><Relationship Id="rId211" Type="http://schemas.openxmlformats.org/officeDocument/2006/relationships/image" Target="media/image201.emf"/><Relationship Id="rId232" Type="http://schemas.openxmlformats.org/officeDocument/2006/relationships/image" Target="media/image222.png"/><Relationship Id="rId253" Type="http://schemas.openxmlformats.org/officeDocument/2006/relationships/image" Target="media/image243.emf"/><Relationship Id="rId274" Type="http://schemas.openxmlformats.org/officeDocument/2006/relationships/image" Target="media/image262.emf"/><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3.emf"/><Relationship Id="rId155" Type="http://schemas.openxmlformats.org/officeDocument/2006/relationships/image" Target="media/image146.emf"/><Relationship Id="rId176" Type="http://schemas.openxmlformats.org/officeDocument/2006/relationships/image" Target="media/image166.emf"/><Relationship Id="rId197" Type="http://schemas.openxmlformats.org/officeDocument/2006/relationships/image" Target="media/image187.emf"/><Relationship Id="rId201" Type="http://schemas.openxmlformats.org/officeDocument/2006/relationships/image" Target="media/image191.emf"/><Relationship Id="rId222" Type="http://schemas.openxmlformats.org/officeDocument/2006/relationships/image" Target="media/image212.emf"/><Relationship Id="rId243" Type="http://schemas.openxmlformats.org/officeDocument/2006/relationships/image" Target="media/image233.emf"/><Relationship Id="rId264" Type="http://schemas.openxmlformats.org/officeDocument/2006/relationships/image" Target="media/image252.emf"/><Relationship Id="rId285" Type="http://schemas.openxmlformats.org/officeDocument/2006/relationships/image" Target="media/image273.emf"/><Relationship Id="rId17" Type="http://schemas.openxmlformats.org/officeDocument/2006/relationships/image" Target="media/image10.emf"/><Relationship Id="rId38" Type="http://schemas.openxmlformats.org/officeDocument/2006/relationships/image" Target="media/image31.png"/><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5.emf"/><Relationship Id="rId70" Type="http://schemas.openxmlformats.org/officeDocument/2006/relationships/image" Target="media/image63.emf"/><Relationship Id="rId91" Type="http://schemas.openxmlformats.org/officeDocument/2006/relationships/image" Target="media/image84.png"/><Relationship Id="rId145" Type="http://schemas.openxmlformats.org/officeDocument/2006/relationships/image" Target="media/image136.png"/><Relationship Id="rId166" Type="http://schemas.openxmlformats.org/officeDocument/2006/relationships/image" Target="media/image156.emf"/><Relationship Id="rId187" Type="http://schemas.openxmlformats.org/officeDocument/2006/relationships/image" Target="media/image177.emf"/><Relationship Id="rId1" Type="http://schemas.openxmlformats.org/officeDocument/2006/relationships/customXml" Target="../customXml/item1.xml"/><Relationship Id="rId212" Type="http://schemas.openxmlformats.org/officeDocument/2006/relationships/image" Target="media/image202.emf"/><Relationship Id="rId233" Type="http://schemas.openxmlformats.org/officeDocument/2006/relationships/image" Target="media/image223.emf"/><Relationship Id="rId254" Type="http://schemas.openxmlformats.org/officeDocument/2006/relationships/image" Target="media/image244.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5.png"/><Relationship Id="rId275" Type="http://schemas.openxmlformats.org/officeDocument/2006/relationships/image" Target="media/image263.emf"/><Relationship Id="rId60" Type="http://schemas.openxmlformats.org/officeDocument/2006/relationships/image" Target="media/image53.png"/><Relationship Id="rId81" Type="http://schemas.openxmlformats.org/officeDocument/2006/relationships/image" Target="media/image74.emf"/><Relationship Id="rId135" Type="http://schemas.openxmlformats.org/officeDocument/2006/relationships/image" Target="media/image126.emf"/><Relationship Id="rId156" Type="http://schemas.openxmlformats.org/officeDocument/2006/relationships/image" Target="media/image147.png"/><Relationship Id="rId177" Type="http://schemas.openxmlformats.org/officeDocument/2006/relationships/image" Target="media/image167.emf"/><Relationship Id="rId198" Type="http://schemas.openxmlformats.org/officeDocument/2006/relationships/image" Target="media/image188.emf"/><Relationship Id="rId202" Type="http://schemas.openxmlformats.org/officeDocument/2006/relationships/image" Target="media/image192.emf"/><Relationship Id="rId223" Type="http://schemas.openxmlformats.org/officeDocument/2006/relationships/image" Target="media/image213.emf"/><Relationship Id="rId244" Type="http://schemas.openxmlformats.org/officeDocument/2006/relationships/image" Target="media/image234.emf"/><Relationship Id="rId18" Type="http://schemas.openxmlformats.org/officeDocument/2006/relationships/image" Target="media/image11.emf"/><Relationship Id="rId39" Type="http://schemas.openxmlformats.org/officeDocument/2006/relationships/image" Target="media/image32.emf"/><Relationship Id="rId265" Type="http://schemas.openxmlformats.org/officeDocument/2006/relationships/image" Target="media/image253.emf"/><Relationship Id="rId286" Type="http://schemas.openxmlformats.org/officeDocument/2006/relationships/image" Target="media/image274.emf"/><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6.emf"/><Relationship Id="rId146" Type="http://schemas.openxmlformats.org/officeDocument/2006/relationships/image" Target="media/image137.emf"/><Relationship Id="rId167" Type="http://schemas.openxmlformats.org/officeDocument/2006/relationships/image" Target="media/image157.emf"/><Relationship Id="rId188" Type="http://schemas.openxmlformats.org/officeDocument/2006/relationships/image" Target="media/image178.emf"/><Relationship Id="rId71" Type="http://schemas.openxmlformats.org/officeDocument/2006/relationships/image" Target="media/image64.png"/><Relationship Id="rId92" Type="http://schemas.openxmlformats.org/officeDocument/2006/relationships/image" Target="media/image85.emf"/><Relationship Id="rId213" Type="http://schemas.openxmlformats.org/officeDocument/2006/relationships/image" Target="media/image203.emf"/><Relationship Id="rId234" Type="http://schemas.openxmlformats.org/officeDocument/2006/relationships/image" Target="media/image224.e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https://pa.leggiditalia.it/" TargetMode="External"/><Relationship Id="rId276" Type="http://schemas.openxmlformats.org/officeDocument/2006/relationships/image" Target="media/image264.emf"/><Relationship Id="rId40" Type="http://schemas.openxmlformats.org/officeDocument/2006/relationships/image" Target="media/image33.png"/><Relationship Id="rId115" Type="http://schemas.openxmlformats.org/officeDocument/2006/relationships/image" Target="media/image106.emf"/><Relationship Id="rId136" Type="http://schemas.openxmlformats.org/officeDocument/2006/relationships/image" Target="media/image127.png"/><Relationship Id="rId157" Type="http://schemas.openxmlformats.org/officeDocument/2006/relationships/image" Target="media/image148.emf"/><Relationship Id="rId178" Type="http://schemas.openxmlformats.org/officeDocument/2006/relationships/image" Target="media/image168.emf"/><Relationship Id="rId61" Type="http://schemas.openxmlformats.org/officeDocument/2006/relationships/image" Target="media/image54.emf"/><Relationship Id="rId82" Type="http://schemas.openxmlformats.org/officeDocument/2006/relationships/image" Target="media/image75.emf"/><Relationship Id="rId199" Type="http://schemas.openxmlformats.org/officeDocument/2006/relationships/image" Target="media/image189.emf"/><Relationship Id="rId203" Type="http://schemas.openxmlformats.org/officeDocument/2006/relationships/image" Target="media/image193.emf"/><Relationship Id="rId19" Type="http://schemas.openxmlformats.org/officeDocument/2006/relationships/image" Target="media/image12.png"/><Relationship Id="rId224" Type="http://schemas.openxmlformats.org/officeDocument/2006/relationships/image" Target="media/image214.emf"/><Relationship Id="rId245" Type="http://schemas.openxmlformats.org/officeDocument/2006/relationships/image" Target="media/image235.emf"/><Relationship Id="rId266" Type="http://schemas.openxmlformats.org/officeDocument/2006/relationships/image" Target="media/image254.emf"/><Relationship Id="rId287" Type="http://schemas.openxmlformats.org/officeDocument/2006/relationships/image" Target="media/image275.emf"/><Relationship Id="rId30" Type="http://schemas.openxmlformats.org/officeDocument/2006/relationships/image" Target="media/image23.emf"/><Relationship Id="rId105" Type="http://schemas.openxmlformats.org/officeDocument/2006/relationships/image" Target="media/image98.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8.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189" Type="http://schemas.openxmlformats.org/officeDocument/2006/relationships/image" Target="media/image179.emf"/><Relationship Id="rId3" Type="http://schemas.openxmlformats.org/officeDocument/2006/relationships/styles" Target="styles.xml"/><Relationship Id="rId214" Type="http://schemas.openxmlformats.org/officeDocument/2006/relationships/image" Target="media/image204.emf"/><Relationship Id="rId235" Type="http://schemas.openxmlformats.org/officeDocument/2006/relationships/image" Target="media/image225.emf"/><Relationship Id="rId256" Type="http://schemas.openxmlformats.org/officeDocument/2006/relationships/hyperlink" Target="https://pa.leggiditalia.it/" TargetMode="External"/><Relationship Id="rId277" Type="http://schemas.openxmlformats.org/officeDocument/2006/relationships/image" Target="media/image265.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png"/><Relationship Id="rId83" Type="http://schemas.openxmlformats.org/officeDocument/2006/relationships/image" Target="media/image76.emf"/><Relationship Id="rId179" Type="http://schemas.openxmlformats.org/officeDocument/2006/relationships/image" Target="media/image169.emf"/><Relationship Id="rId190" Type="http://schemas.openxmlformats.org/officeDocument/2006/relationships/image" Target="media/image180.emf"/><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emf"/><Relationship Id="rId267" Type="http://schemas.openxmlformats.org/officeDocument/2006/relationships/image" Target="media/image255.emf"/><Relationship Id="rId288" Type="http://schemas.openxmlformats.org/officeDocument/2006/relationships/image" Target="media/image276.emf"/><Relationship Id="rId106" Type="http://schemas.openxmlformats.org/officeDocument/2006/relationships/image" Target="media/image99.emf"/><Relationship Id="rId127" Type="http://schemas.openxmlformats.org/officeDocument/2006/relationships/image" Target="media/image118.png"/><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png"/><Relationship Id="rId73" Type="http://schemas.openxmlformats.org/officeDocument/2006/relationships/image" Target="media/image66.emf"/><Relationship Id="rId94" Type="http://schemas.openxmlformats.org/officeDocument/2006/relationships/image" Target="media/image87.png"/><Relationship Id="rId148" Type="http://schemas.openxmlformats.org/officeDocument/2006/relationships/image" Target="media/image139.emf"/><Relationship Id="rId169" Type="http://schemas.openxmlformats.org/officeDocument/2006/relationships/image" Target="media/image159.png"/><Relationship Id="rId4" Type="http://schemas.openxmlformats.org/officeDocument/2006/relationships/settings" Target="settings.xml"/><Relationship Id="rId180" Type="http://schemas.openxmlformats.org/officeDocument/2006/relationships/image" Target="media/image170.emf"/><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5.emf"/><Relationship Id="rId278" Type="http://schemas.openxmlformats.org/officeDocument/2006/relationships/image" Target="media/image266.emf"/><Relationship Id="rId42" Type="http://schemas.openxmlformats.org/officeDocument/2006/relationships/image" Target="media/image35.png"/><Relationship Id="rId84" Type="http://schemas.openxmlformats.org/officeDocument/2006/relationships/image" Target="media/image77.emf"/><Relationship Id="rId138" Type="http://schemas.openxmlformats.org/officeDocument/2006/relationships/image" Target="media/image129.emf"/><Relationship Id="rId191" Type="http://schemas.openxmlformats.org/officeDocument/2006/relationships/image" Target="media/image181.emf"/><Relationship Id="rId205" Type="http://schemas.openxmlformats.org/officeDocument/2006/relationships/image" Target="media/image195.emf"/><Relationship Id="rId247" Type="http://schemas.openxmlformats.org/officeDocument/2006/relationships/image" Target="media/image237.png"/><Relationship Id="rId107" Type="http://schemas.openxmlformats.org/officeDocument/2006/relationships/image" Target="media/image100.emf"/><Relationship Id="rId289" Type="http://schemas.openxmlformats.org/officeDocument/2006/relationships/image" Target="media/image277.emf"/><Relationship Id="rId11" Type="http://schemas.openxmlformats.org/officeDocument/2006/relationships/image" Target="media/image4.emf"/><Relationship Id="rId53" Type="http://schemas.openxmlformats.org/officeDocument/2006/relationships/image" Target="media/image46.emf"/><Relationship Id="rId149" Type="http://schemas.openxmlformats.org/officeDocument/2006/relationships/image" Target="media/image140.png"/><Relationship Id="rId95" Type="http://schemas.openxmlformats.org/officeDocument/2006/relationships/image" Target="media/image88.emf"/><Relationship Id="rId160" Type="http://schemas.openxmlformats.org/officeDocument/2006/relationships/image" Target="media/image150.emf"/><Relationship Id="rId216" Type="http://schemas.openxmlformats.org/officeDocument/2006/relationships/image" Target="media/image206.emf"/><Relationship Id="rId258" Type="http://schemas.openxmlformats.org/officeDocument/2006/relationships/image" Target="media/image246.emf"/><Relationship Id="rId22" Type="http://schemas.openxmlformats.org/officeDocument/2006/relationships/image" Target="media/image15.emf"/><Relationship Id="rId64" Type="http://schemas.openxmlformats.org/officeDocument/2006/relationships/image" Target="media/image57.emf"/><Relationship Id="rId118" Type="http://schemas.openxmlformats.org/officeDocument/2006/relationships/image" Target="media/image109.emf"/><Relationship Id="rId171" Type="http://schemas.openxmlformats.org/officeDocument/2006/relationships/image" Target="media/image161.emf"/><Relationship Id="rId227" Type="http://schemas.openxmlformats.org/officeDocument/2006/relationships/image" Target="media/image21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6615B-F559-4FA8-BDDC-83804A1B4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1770</TotalTime>
  <Pages>386</Pages>
  <Words>94286</Words>
  <Characters>537432</Characters>
  <Application>Microsoft Office Word</Application>
  <DocSecurity>0</DocSecurity>
  <Lines>4478</Lines>
  <Paragraphs>1260</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630458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Hilbrat Aleandro</dc:creator>
  <cp:lastModifiedBy>Calabria Alessandro</cp:lastModifiedBy>
  <cp:revision>220</cp:revision>
  <cp:lastPrinted>2023-06-06T11:06:00Z</cp:lastPrinted>
  <dcterms:created xsi:type="dcterms:W3CDTF">2023-05-04T13:27:00Z</dcterms:created>
  <dcterms:modified xsi:type="dcterms:W3CDTF">2023-06-06T14:51:00Z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Enabled">
    <vt:lpwstr>true</vt:lpwstr>
  </property>
  <property fmtid="{D5CDD505-2E9C-101B-9397-08002B2CF9AE}" pid="3" name="MSIP_Label_5097a60d-5525-435b-8989-8eb48ac0c8cd_SetDate">
    <vt:lpwstr>2023-05-08T14:35:27Z</vt:lpwstr>
  </property>
  <property fmtid="{D5CDD505-2E9C-101B-9397-08002B2CF9AE}" pid="4" name="MSIP_Label_5097a60d-5525-435b-8989-8eb48ac0c8cd_Method">
    <vt:lpwstr>Standard</vt:lpwstr>
  </property>
  <property fmtid="{D5CDD505-2E9C-101B-9397-08002B2CF9AE}" pid="5" name="MSIP_Label_5097a60d-5525-435b-8989-8eb48ac0c8cd_Name">
    <vt:lpwstr>defa4170-0d19-0005-0004-bc88714345d2</vt:lpwstr>
  </property>
  <property fmtid="{D5CDD505-2E9C-101B-9397-08002B2CF9AE}" pid="6" name="MSIP_Label_5097a60d-5525-435b-8989-8eb48ac0c8cd_SiteId">
    <vt:lpwstr>3e90938b-8b27-4762-b4e8-006a8127a119</vt:lpwstr>
  </property>
  <property fmtid="{D5CDD505-2E9C-101B-9397-08002B2CF9AE}" pid="7" name="MSIP_Label_5097a60d-5525-435b-8989-8eb48ac0c8cd_ActionId">
    <vt:lpwstr>673bd018-5afd-41fb-a06b-6f396b29a02f</vt:lpwstr>
  </property>
  <property fmtid="{D5CDD505-2E9C-101B-9397-08002B2CF9AE}" pid="8" name="MSIP_Label_5097a60d-5525-435b-8989-8eb48ac0c8cd_ContentBits">
    <vt:lpwstr>0</vt:lpwstr>
  </property>
</Properties>
</file>